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D40" w:rsidRDefault="00265A30" w:rsidP="005B279E">
      <w:pPr>
        <w:pStyle w:val="Ttulo1"/>
        <w:tabs>
          <w:tab w:val="left" w:pos="0"/>
        </w:tabs>
        <w:rPr>
          <w:sz w:val="28"/>
          <w:szCs w:val="28"/>
        </w:rPr>
      </w:pPr>
      <w:r>
        <w:rPr>
          <w:sz w:val="28"/>
          <w:szCs w:val="28"/>
        </w:rPr>
        <w:t xml:space="preserve">Industria de casinos de juego registra ingresos </w:t>
      </w:r>
      <w:r w:rsidR="00A729EA" w:rsidRPr="00C8471D">
        <w:rPr>
          <w:sz w:val="28"/>
          <w:szCs w:val="28"/>
        </w:rPr>
        <w:t xml:space="preserve">brutos </w:t>
      </w:r>
      <w:r>
        <w:rPr>
          <w:sz w:val="28"/>
          <w:szCs w:val="28"/>
        </w:rPr>
        <w:t>por $ 3</w:t>
      </w:r>
      <w:r w:rsidR="00F41C39">
        <w:rPr>
          <w:sz w:val="28"/>
          <w:szCs w:val="28"/>
        </w:rPr>
        <w:t>7</w:t>
      </w:r>
      <w:r>
        <w:rPr>
          <w:sz w:val="28"/>
          <w:szCs w:val="28"/>
        </w:rPr>
        <w:t>.</w:t>
      </w:r>
      <w:r w:rsidR="00F41C39">
        <w:rPr>
          <w:sz w:val="28"/>
          <w:szCs w:val="28"/>
        </w:rPr>
        <w:t>150</w:t>
      </w:r>
      <w:r>
        <w:rPr>
          <w:sz w:val="28"/>
          <w:szCs w:val="28"/>
        </w:rPr>
        <w:t xml:space="preserve"> millones en </w:t>
      </w:r>
      <w:r w:rsidR="00F41C39">
        <w:rPr>
          <w:sz w:val="28"/>
          <w:szCs w:val="28"/>
        </w:rPr>
        <w:t>diciembr</w:t>
      </w:r>
      <w:r w:rsidR="00625D82">
        <w:rPr>
          <w:sz w:val="28"/>
          <w:szCs w:val="28"/>
        </w:rPr>
        <w:t>e</w:t>
      </w:r>
      <w:r w:rsidR="005B279E">
        <w:rPr>
          <w:sz w:val="28"/>
          <w:szCs w:val="28"/>
        </w:rPr>
        <w:t xml:space="preserve"> de 2016.</w:t>
      </w:r>
      <w:r w:rsidR="004942E1" w:rsidRPr="004942E1">
        <w:rPr>
          <w:sz w:val="28"/>
          <w:szCs w:val="28"/>
        </w:rPr>
        <w:t xml:space="preserve"> </w:t>
      </w:r>
    </w:p>
    <w:p w:rsidR="00083908" w:rsidRPr="00231D40" w:rsidRDefault="00231D40" w:rsidP="00231D40">
      <w:pPr>
        <w:pStyle w:val="Ttulo1"/>
        <w:numPr>
          <w:ilvl w:val="0"/>
          <w:numId w:val="5"/>
        </w:numPr>
        <w:tabs>
          <w:tab w:val="left" w:pos="0"/>
        </w:tabs>
        <w:ind w:hanging="294"/>
        <w:rPr>
          <w:i/>
          <w:sz w:val="22"/>
        </w:rPr>
      </w:pPr>
      <w:r>
        <w:rPr>
          <w:i/>
          <w:sz w:val="22"/>
        </w:rPr>
        <w:t xml:space="preserve">Esto implica un crecimiento real acumulado </w:t>
      </w:r>
      <w:r w:rsidRPr="00231D40">
        <w:rPr>
          <w:i/>
          <w:sz w:val="22"/>
        </w:rPr>
        <w:t>de 2,1%</w:t>
      </w:r>
      <w:r w:rsidRPr="00231D40">
        <w:rPr>
          <w:i/>
          <w:sz w:val="22"/>
        </w:rPr>
        <w:footnoteReference w:id="1"/>
      </w:r>
      <w:r w:rsidRPr="00231D40">
        <w:rPr>
          <w:i/>
          <w:sz w:val="22"/>
        </w:rPr>
        <w:t xml:space="preserve"> en los últimos 12 meses</w:t>
      </w:r>
      <w:r>
        <w:rPr>
          <w:i/>
          <w:sz w:val="22"/>
        </w:rPr>
        <w:t xml:space="preserve">, así como </w:t>
      </w:r>
      <w:r w:rsidR="004942E1" w:rsidRPr="00231D40">
        <w:rPr>
          <w:i/>
          <w:sz w:val="22"/>
        </w:rPr>
        <w:t xml:space="preserve">una variación mensual </w:t>
      </w:r>
      <w:r w:rsidRPr="00231D40">
        <w:rPr>
          <w:i/>
          <w:sz w:val="22"/>
        </w:rPr>
        <w:t>de 0</w:t>
      </w:r>
      <w:r w:rsidR="004942E1" w:rsidRPr="00231D40">
        <w:rPr>
          <w:i/>
          <w:sz w:val="22"/>
        </w:rPr>
        <w:t>,</w:t>
      </w:r>
      <w:r w:rsidR="00F41C39" w:rsidRPr="00231D40">
        <w:rPr>
          <w:i/>
          <w:sz w:val="22"/>
        </w:rPr>
        <w:t>8</w:t>
      </w:r>
      <w:r w:rsidR="004942E1" w:rsidRPr="00231D40">
        <w:rPr>
          <w:i/>
          <w:sz w:val="22"/>
        </w:rPr>
        <w:t xml:space="preserve">% en </w:t>
      </w:r>
      <w:r w:rsidR="005B279E" w:rsidRPr="00231D40">
        <w:rPr>
          <w:i/>
          <w:sz w:val="22"/>
        </w:rPr>
        <w:t xml:space="preserve">comparación con el mismo mes del </w:t>
      </w:r>
      <w:r>
        <w:rPr>
          <w:i/>
          <w:sz w:val="22"/>
        </w:rPr>
        <w:t>año anterior.</w:t>
      </w:r>
      <w:bookmarkStart w:id="0" w:name="_GoBack"/>
      <w:bookmarkEnd w:id="0"/>
    </w:p>
    <w:p w:rsidR="00AA4471" w:rsidRDefault="00AA4471" w:rsidP="00083908">
      <w:pPr>
        <w:tabs>
          <w:tab w:val="left" w:pos="0"/>
        </w:tabs>
        <w:spacing w:after="0" w:line="240" w:lineRule="auto"/>
      </w:pPr>
      <w:r>
        <w:t>La industria de casinos de juego, conformada por los 17</w:t>
      </w:r>
      <w:r w:rsidR="002406D6" w:rsidRPr="00C8471D">
        <w:rPr>
          <w:rStyle w:val="Refdenotaalpie"/>
          <w:sz w:val="28"/>
          <w:szCs w:val="28"/>
        </w:rPr>
        <w:footnoteReference w:id="2"/>
      </w:r>
      <w:r>
        <w:t xml:space="preserve"> casinos de juegos autorizados por la </w:t>
      </w:r>
      <w:r w:rsidR="005B01F2">
        <w:t xml:space="preserve">Ley N° 19.995 </w:t>
      </w:r>
      <w:r>
        <w:t xml:space="preserve">y los </w:t>
      </w:r>
      <w:r w:rsidR="00A83B60">
        <w:t xml:space="preserve">7 </w:t>
      </w:r>
      <w:r>
        <w:t xml:space="preserve">casinos de concesión municipal, </w:t>
      </w:r>
      <w:r w:rsidR="00A729EA" w:rsidRPr="00FD382C">
        <w:t xml:space="preserve">registraron durante </w:t>
      </w:r>
      <w:r w:rsidR="000C1CF5">
        <w:t>diciembre</w:t>
      </w:r>
      <w:r>
        <w:t xml:space="preserve"> </w:t>
      </w:r>
      <w:r w:rsidR="00A729EA" w:rsidRPr="00FD382C">
        <w:t>ingresos bru</w:t>
      </w:r>
      <w:r>
        <w:t>tos del juego (win) por $ 3</w:t>
      </w:r>
      <w:r w:rsidR="00F41C39">
        <w:t>7</w:t>
      </w:r>
      <w:r>
        <w:t>.</w:t>
      </w:r>
      <w:r w:rsidR="00F41C39">
        <w:t>150</w:t>
      </w:r>
      <w:r>
        <w:t xml:space="preserve"> millones.</w:t>
      </w:r>
      <w:r w:rsidR="005B279E" w:rsidRPr="005B279E">
        <w:t xml:space="preserve"> Esto implica un</w:t>
      </w:r>
      <w:r w:rsidR="00231D40">
        <w:t xml:space="preserve"> crecimiento real acumulado de </w:t>
      </w:r>
      <w:r w:rsidR="00231D40" w:rsidRPr="005B279E">
        <w:t>2,</w:t>
      </w:r>
      <w:r w:rsidR="00231D40">
        <w:t>1</w:t>
      </w:r>
      <w:r w:rsidR="00231D40" w:rsidRPr="005B279E">
        <w:t xml:space="preserve">% en </w:t>
      </w:r>
      <w:r w:rsidR="00231D40">
        <w:t>los últimos 12 meses y una</w:t>
      </w:r>
      <w:r w:rsidR="005B279E" w:rsidRPr="005B279E">
        <w:t xml:space="preserve"> variación real mensual de </w:t>
      </w:r>
      <w:r w:rsidR="00F41C39">
        <w:t>0</w:t>
      </w:r>
      <w:r w:rsidR="005B279E" w:rsidRPr="005B279E">
        <w:t>,</w:t>
      </w:r>
      <w:r w:rsidR="00F41C39">
        <w:t>8</w:t>
      </w:r>
      <w:r w:rsidR="00231D40" w:rsidRPr="005B279E">
        <w:t>% en</w:t>
      </w:r>
      <w:r w:rsidR="005B279E" w:rsidRPr="005B279E">
        <w:t xml:space="preserve"> el mes de </w:t>
      </w:r>
      <w:r w:rsidR="00F41C39">
        <w:t>diciembre</w:t>
      </w:r>
      <w:r w:rsidR="005B279E" w:rsidRPr="005B279E">
        <w:t xml:space="preserve"> </w:t>
      </w:r>
      <w:r w:rsidR="00F41C39">
        <w:t xml:space="preserve">de </w:t>
      </w:r>
      <w:r w:rsidR="005B279E" w:rsidRPr="005B279E">
        <w:t>2016, en comparación con el mismo mes del año anterior</w:t>
      </w:r>
      <w:r w:rsidR="00231D40">
        <w:t>.</w:t>
      </w:r>
      <w:r w:rsidR="005B279E" w:rsidRPr="005B279E">
        <w:t xml:space="preserve"> </w:t>
      </w:r>
    </w:p>
    <w:p w:rsidR="00AA4471" w:rsidRDefault="00AA4471" w:rsidP="00083908">
      <w:pPr>
        <w:tabs>
          <w:tab w:val="left" w:pos="0"/>
        </w:tabs>
        <w:spacing w:after="0" w:line="240" w:lineRule="auto"/>
      </w:pPr>
    </w:p>
    <w:p w:rsidR="00070FBD" w:rsidRDefault="00070FBD" w:rsidP="00083908">
      <w:pPr>
        <w:tabs>
          <w:tab w:val="left" w:pos="0"/>
        </w:tabs>
        <w:spacing w:after="0" w:line="240" w:lineRule="auto"/>
      </w:pPr>
      <w:r>
        <w:t>Del total de  $ 3</w:t>
      </w:r>
      <w:r w:rsidR="00F41C39">
        <w:t>7</w:t>
      </w:r>
      <w:r>
        <w:t>.</w:t>
      </w:r>
      <w:r w:rsidR="00F41C39">
        <w:t>150</w:t>
      </w:r>
      <w:r>
        <w:t xml:space="preserve"> millones de ingresos brutos del juego o </w:t>
      </w:r>
      <w:proofErr w:type="spellStart"/>
      <w:r>
        <w:t>win</w:t>
      </w:r>
      <w:proofErr w:type="spellEnd"/>
      <w:r>
        <w:t xml:space="preserve">, </w:t>
      </w:r>
      <w:proofErr w:type="spellStart"/>
      <w:r>
        <w:t>Sun</w:t>
      </w:r>
      <w:proofErr w:type="spellEnd"/>
      <w:r>
        <w:t xml:space="preserve"> Monticello representó el 1</w:t>
      </w:r>
      <w:r w:rsidR="00F41C39">
        <w:t>7</w:t>
      </w:r>
      <w:r>
        <w:t>,</w:t>
      </w:r>
      <w:r w:rsidR="00625D82">
        <w:t>2</w:t>
      </w:r>
      <w:r>
        <w:t xml:space="preserve"> % ($ </w:t>
      </w:r>
      <w:r w:rsidR="00DB1263">
        <w:t>6</w:t>
      </w:r>
      <w:r>
        <w:t>.</w:t>
      </w:r>
      <w:r w:rsidR="00F41C39">
        <w:t>408</w:t>
      </w:r>
      <w:r>
        <w:t xml:space="preserve"> millones), Casino de Viña del Mar 1</w:t>
      </w:r>
      <w:r w:rsidR="00F41C39">
        <w:t>2</w:t>
      </w:r>
      <w:r>
        <w:t>,</w:t>
      </w:r>
      <w:r w:rsidR="00F41C39">
        <w:t>7</w:t>
      </w:r>
      <w:r w:rsidR="00625D82">
        <w:t xml:space="preserve"> % ($ </w:t>
      </w:r>
      <w:r w:rsidR="00634709">
        <w:t>4</w:t>
      </w:r>
      <w:r w:rsidR="00625D82">
        <w:t>.</w:t>
      </w:r>
      <w:r w:rsidR="00634709">
        <w:t>699</w:t>
      </w:r>
      <w:r>
        <w:t xml:space="preserve"> millones), </w:t>
      </w:r>
      <w:r w:rsidR="00625D82">
        <w:t xml:space="preserve">Marina del Sol Talcahuano 8,9 % ($ </w:t>
      </w:r>
      <w:r w:rsidR="00634709">
        <w:t>3</w:t>
      </w:r>
      <w:r w:rsidR="00625D82">
        <w:t>.</w:t>
      </w:r>
      <w:r w:rsidR="00634709">
        <w:t>293</w:t>
      </w:r>
      <w:r w:rsidR="00625D82">
        <w:t xml:space="preserve"> millones),</w:t>
      </w:r>
      <w:r w:rsidR="00634709">
        <w:t xml:space="preserve"> </w:t>
      </w:r>
      <w:r>
        <w:t xml:space="preserve">Casino Rinconada </w:t>
      </w:r>
      <w:r w:rsidR="00625D82">
        <w:t>8</w:t>
      </w:r>
      <w:r>
        <w:t>,</w:t>
      </w:r>
      <w:r w:rsidR="00634709">
        <w:t>3</w:t>
      </w:r>
      <w:r>
        <w:t xml:space="preserve"> % ($ </w:t>
      </w:r>
      <w:r w:rsidR="00634709">
        <w:t>3</w:t>
      </w:r>
      <w:r>
        <w:t>.</w:t>
      </w:r>
      <w:r w:rsidR="00634709">
        <w:t>075</w:t>
      </w:r>
      <w:r>
        <w:t xml:space="preserve"> millones),</w:t>
      </w:r>
      <w:r w:rsidR="00634709">
        <w:t xml:space="preserve"> Coquimbo 6,3% ($ 2.350 millones), </w:t>
      </w:r>
      <w:r>
        <w:t xml:space="preserve"> </w:t>
      </w:r>
      <w:proofErr w:type="spellStart"/>
      <w:r w:rsidR="00625D82">
        <w:t>Enjoy</w:t>
      </w:r>
      <w:proofErr w:type="spellEnd"/>
      <w:r w:rsidR="00625D82">
        <w:t xml:space="preserve"> Antofagasta 6,</w:t>
      </w:r>
      <w:r w:rsidR="00634709">
        <w:t>1</w:t>
      </w:r>
      <w:r w:rsidR="00625D82">
        <w:t xml:space="preserve"> % ($ </w:t>
      </w:r>
      <w:r w:rsidR="00634709">
        <w:t>2</w:t>
      </w:r>
      <w:r w:rsidR="00625D82">
        <w:t>.</w:t>
      </w:r>
      <w:r w:rsidR="00634709">
        <w:t>283</w:t>
      </w:r>
      <w:r w:rsidR="00625D82">
        <w:t xml:space="preserve"> millones),</w:t>
      </w:r>
      <w:r>
        <w:t xml:space="preserve"> </w:t>
      </w:r>
      <w:r w:rsidR="001E1087">
        <w:t>Casino de Iquique 4,9 % ($ 1.822 millones),</w:t>
      </w:r>
      <w:r w:rsidR="00DB1263">
        <w:t>Dreams Temuco 4,</w:t>
      </w:r>
      <w:r w:rsidR="00634709">
        <w:t>7</w:t>
      </w:r>
      <w:r w:rsidR="00DB1263">
        <w:t xml:space="preserve"> % ($ 1.</w:t>
      </w:r>
      <w:r w:rsidR="001E1087">
        <w:t>742</w:t>
      </w:r>
      <w:r w:rsidR="00DB1263">
        <w:t xml:space="preserve">  millones), </w:t>
      </w:r>
      <w:r>
        <w:t xml:space="preserve">Dreams Punta Arenas </w:t>
      </w:r>
      <w:r w:rsidR="001E1087">
        <w:t>4</w:t>
      </w:r>
      <w:r>
        <w:t>,</w:t>
      </w:r>
      <w:r w:rsidR="001E1087">
        <w:t>0</w:t>
      </w:r>
      <w:r>
        <w:t xml:space="preserve"> % ($ 1.</w:t>
      </w:r>
      <w:r w:rsidR="001E1087">
        <w:t>489</w:t>
      </w:r>
      <w:r>
        <w:t xml:space="preserve"> millones), Casino Puerto Varas 3,</w:t>
      </w:r>
      <w:r w:rsidR="001E1087">
        <w:t>6</w:t>
      </w:r>
      <w:r>
        <w:t xml:space="preserve"> % (</w:t>
      </w:r>
      <w:r w:rsidR="001E1087">
        <w:t xml:space="preserve">$ </w:t>
      </w:r>
      <w:r>
        <w:t>1.</w:t>
      </w:r>
      <w:r w:rsidR="001E1087">
        <w:t>325 millones</w:t>
      </w:r>
      <w:r>
        <w:t>), Marina del Sol Calama 2,</w:t>
      </w:r>
      <w:r w:rsidR="00CB5765">
        <w:t>8</w:t>
      </w:r>
      <w:r>
        <w:t xml:space="preserve">% ($ </w:t>
      </w:r>
      <w:r w:rsidR="001E1087">
        <w:t>1.036</w:t>
      </w:r>
      <w:r>
        <w:t xml:space="preserve"> millones),</w:t>
      </w:r>
      <w:r w:rsidRPr="00A809A5">
        <w:t xml:space="preserve"> </w:t>
      </w:r>
      <w:r w:rsidR="001E1087">
        <w:t xml:space="preserve">Dreams Valdivia 2,7 % ($ 1.012 millones), </w:t>
      </w:r>
      <w:r>
        <w:t>Gran Casino de Talca 2,</w:t>
      </w:r>
      <w:r w:rsidR="001E1087">
        <w:t>6</w:t>
      </w:r>
      <w:r>
        <w:t xml:space="preserve"> % ($ </w:t>
      </w:r>
      <w:r w:rsidR="001E1087">
        <w:t>963</w:t>
      </w:r>
      <w:r>
        <w:t xml:space="preserve"> millones), </w:t>
      </w:r>
      <w:r w:rsidR="001E1087">
        <w:t xml:space="preserve"> Casino de Pucón 2,4 % ($ 906 millones), </w:t>
      </w:r>
      <w:proofErr w:type="spellStart"/>
      <w:r>
        <w:t>Antay</w:t>
      </w:r>
      <w:proofErr w:type="spellEnd"/>
      <w:r>
        <w:t xml:space="preserve"> Casino &amp; Hotel 2,</w:t>
      </w:r>
      <w:r w:rsidR="00CB5765">
        <w:t>4</w:t>
      </w:r>
      <w:r>
        <w:t xml:space="preserve"> % ($ </w:t>
      </w:r>
      <w:r w:rsidR="001E1087">
        <w:t>893</w:t>
      </w:r>
      <w:r>
        <w:t xml:space="preserve"> millones) , Marina del Sol Osorno </w:t>
      </w:r>
      <w:r w:rsidR="00F033B3">
        <w:t>1,</w:t>
      </w:r>
      <w:r w:rsidR="00CB5765">
        <w:t>8</w:t>
      </w:r>
      <w:r w:rsidR="00F033B3">
        <w:t xml:space="preserve"> </w:t>
      </w:r>
      <w:r>
        <w:t xml:space="preserve">% ($ </w:t>
      </w:r>
      <w:r w:rsidR="001E1087">
        <w:t>653</w:t>
      </w:r>
      <w:r w:rsidR="00F033B3">
        <w:t xml:space="preserve"> </w:t>
      </w:r>
      <w:r>
        <w:t>millones),</w:t>
      </w:r>
      <w:r w:rsidR="001E1087">
        <w:t xml:space="preserve"> Casino de Arica 1,7 % ($ 615 millones), </w:t>
      </w:r>
      <w:r>
        <w:t xml:space="preserve"> </w:t>
      </w:r>
      <w:r w:rsidR="00F033B3">
        <w:t>Casino de Juegos del Pacífico 1,</w:t>
      </w:r>
      <w:r w:rsidR="001E1087">
        <w:t>6</w:t>
      </w:r>
      <w:r w:rsidR="00F033B3">
        <w:t xml:space="preserve"> </w:t>
      </w:r>
      <w:r>
        <w:t xml:space="preserve">% ($ </w:t>
      </w:r>
      <w:r w:rsidR="001E1087">
        <w:t>600</w:t>
      </w:r>
      <w:r>
        <w:t xml:space="preserve"> millones), Casino de Colchagua 1,</w:t>
      </w:r>
      <w:r w:rsidR="00CB5765">
        <w:t>4</w:t>
      </w:r>
      <w:r w:rsidR="00F033B3">
        <w:t xml:space="preserve"> </w:t>
      </w:r>
      <w:r>
        <w:t>% ($</w:t>
      </w:r>
      <w:r w:rsidR="001E1087">
        <w:t xml:space="preserve"> 520</w:t>
      </w:r>
      <w:r>
        <w:t xml:space="preserve"> millo</w:t>
      </w:r>
      <w:r w:rsidR="00CB5765">
        <w:t xml:space="preserve">nes), </w:t>
      </w:r>
      <w:r w:rsidR="001E1087">
        <w:t xml:space="preserve">Dreams Coyhaique 1,2 % ($ 463 millones), Casino Gran Los Ángeles 1,1 % ($ 400 millones), </w:t>
      </w:r>
      <w:proofErr w:type="spellStart"/>
      <w:r w:rsidR="00CB5765">
        <w:t>Enjoy</w:t>
      </w:r>
      <w:proofErr w:type="spellEnd"/>
      <w:r w:rsidR="00CB5765">
        <w:t xml:space="preserve"> Chiloé 0,</w:t>
      </w:r>
      <w:r w:rsidR="001E1087">
        <w:t>7</w:t>
      </w:r>
      <w:r w:rsidR="00CB5765">
        <w:t xml:space="preserve"> % ($ </w:t>
      </w:r>
      <w:r w:rsidR="001E1087">
        <w:t>273</w:t>
      </w:r>
      <w:r w:rsidR="00CB5765">
        <w:t xml:space="preserve"> millones), </w:t>
      </w:r>
      <w:r w:rsidR="00F033B3">
        <w:t>Ovalle Casino Resort S.A. 0,</w:t>
      </w:r>
      <w:r w:rsidR="00CB5765">
        <w:t>5</w:t>
      </w:r>
      <w:r w:rsidR="00F033B3">
        <w:t xml:space="preserve"> % (1</w:t>
      </w:r>
      <w:r w:rsidR="001E1087">
        <w:t>73</w:t>
      </w:r>
      <w:r w:rsidR="00F033B3">
        <w:t xml:space="preserve"> m</w:t>
      </w:r>
      <w:r w:rsidR="009E3CDD">
        <w:t>illones), Casino de Natales</w:t>
      </w:r>
      <w:r w:rsidR="00F033B3">
        <w:t xml:space="preserve"> 0,4 % ($15</w:t>
      </w:r>
      <w:r w:rsidR="001E1087">
        <w:t>6</w:t>
      </w:r>
      <w:r w:rsidR="00F033B3">
        <w:t xml:space="preserve"> millones).</w:t>
      </w:r>
    </w:p>
    <w:p w:rsidR="00083908" w:rsidRDefault="00083908" w:rsidP="00083908">
      <w:pPr>
        <w:tabs>
          <w:tab w:val="left" w:pos="0"/>
        </w:tabs>
        <w:spacing w:after="0" w:line="240" w:lineRule="auto"/>
      </w:pPr>
    </w:p>
    <w:p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rsidR="0017349B" w:rsidRDefault="0017349B" w:rsidP="00083908">
      <w:pPr>
        <w:tabs>
          <w:tab w:val="left" w:pos="0"/>
        </w:tabs>
        <w:spacing w:after="0" w:line="240" w:lineRule="auto"/>
      </w:pPr>
    </w:p>
    <w:p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tos del juego (win) por $ 2</w:t>
      </w:r>
      <w:r w:rsidR="001E1087">
        <w:t>5</w:t>
      </w:r>
      <w:r w:rsidR="00AA4471">
        <w:t>.</w:t>
      </w:r>
      <w:r w:rsidR="001E1087">
        <w:t>276</w:t>
      </w:r>
      <w:r w:rsidR="00AA4471" w:rsidRPr="00FD382C">
        <w:t xml:space="preserve"> millones,</w:t>
      </w:r>
      <w:r w:rsidR="00070FBD">
        <w:t xml:space="preserve"> lo que representa un </w:t>
      </w:r>
      <w:r w:rsidR="001E1087">
        <w:t>68</w:t>
      </w:r>
      <w:r w:rsidR="00070FBD">
        <w:t>,</w:t>
      </w:r>
      <w:r w:rsidR="001E1087">
        <w:t>0</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3"/>
      </w:r>
      <w:r w:rsidR="00AA4471" w:rsidRPr="00C8471D">
        <w:rPr>
          <w:sz w:val="28"/>
          <w:szCs w:val="28"/>
        </w:rPr>
        <w:t xml:space="preserve"> </w:t>
      </w:r>
      <w:r w:rsidR="00AA4471">
        <w:t xml:space="preserve">de </w:t>
      </w:r>
      <w:r w:rsidR="00EF38DA">
        <w:t>-</w:t>
      </w:r>
      <w:r w:rsidR="001E1087">
        <w:t>1</w:t>
      </w:r>
      <w:r w:rsidR="00AA4471">
        <w:t>,</w:t>
      </w:r>
      <w:r w:rsidR="001E1087">
        <w:t>9</w:t>
      </w:r>
      <w:r w:rsidR="00AA4471">
        <w:t>%</w:t>
      </w:r>
      <w:r w:rsidR="00AA4471" w:rsidRPr="00C8471D">
        <w:rPr>
          <w:rStyle w:val="Refdenotaalpie"/>
          <w:sz w:val="28"/>
          <w:szCs w:val="28"/>
        </w:rPr>
        <w:footnoteReference w:id="4"/>
      </w:r>
      <w:r w:rsidR="00AA4471">
        <w:t xml:space="preserve">, en comparación con </w:t>
      </w:r>
      <w:r w:rsidR="001E1087">
        <w:t>diciembre</w:t>
      </w:r>
      <w:r w:rsidR="00AA4471">
        <w:t xml:space="preserve"> de 2015.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5"/>
      </w:r>
      <w:r w:rsidR="00AA4471">
        <w:t xml:space="preserve">de </w:t>
      </w:r>
      <w:r w:rsidR="009070A6">
        <w:t>1</w:t>
      </w:r>
      <w:r w:rsidR="00AA4471">
        <w:t>,</w:t>
      </w:r>
      <w:r w:rsidR="001E1087">
        <w:t>2</w:t>
      </w:r>
      <w:r w:rsidR="00AA4471" w:rsidRPr="00FD382C">
        <w:t xml:space="preserve">%, en </w:t>
      </w:r>
      <w:r w:rsidR="00AF439E" w:rsidRPr="00FD382C">
        <w:t>los últimos</w:t>
      </w:r>
      <w:r w:rsidR="00AA4471" w:rsidRPr="00FD382C">
        <w:t xml:space="preserve"> doce meses. </w:t>
      </w:r>
    </w:p>
    <w:p w:rsidR="00AF439E" w:rsidRDefault="00AF439E" w:rsidP="00083908">
      <w:pPr>
        <w:tabs>
          <w:tab w:val="left" w:pos="0"/>
        </w:tabs>
        <w:spacing w:after="0" w:line="240" w:lineRule="auto"/>
      </w:pPr>
    </w:p>
    <w:p w:rsidR="00265A30" w:rsidRDefault="00265A30" w:rsidP="00083908">
      <w:pPr>
        <w:tabs>
          <w:tab w:val="left" w:pos="0"/>
        </w:tabs>
        <w:spacing w:after="0" w:line="240" w:lineRule="auto"/>
      </w:pPr>
      <w:r>
        <w:t xml:space="preserve">En los mismos términos, las </w:t>
      </w:r>
      <w:r w:rsidR="009070A6">
        <w:t>4</w:t>
      </w:r>
      <w:r w:rsidR="001E1087">
        <w:t>71</w:t>
      </w:r>
      <w:r>
        <w:t>.</w:t>
      </w:r>
      <w:r w:rsidR="001E1087">
        <w:t>290</w:t>
      </w:r>
      <w:r>
        <w:t xml:space="preserve"> visitas registradas a los casinos regulados equivalen a una variación de </w:t>
      </w:r>
      <w:r w:rsidR="001E1087">
        <w:t>5</w:t>
      </w:r>
      <w:r>
        <w:t>,</w:t>
      </w:r>
      <w:r w:rsidR="001E1087">
        <w:t>1</w:t>
      </w:r>
      <w:r w:rsidRPr="00FD382C">
        <w:t>% en el número de visitas</w:t>
      </w:r>
      <w:r>
        <w:t xml:space="preserve"> en comparación con </w:t>
      </w:r>
      <w:r w:rsidR="001E1087">
        <w:t>diciembre</w:t>
      </w:r>
      <w:r>
        <w:t xml:space="preserve"> de 2015</w:t>
      </w:r>
      <w:r w:rsidRPr="00FD382C">
        <w:t>,</w:t>
      </w:r>
      <w:r>
        <w:t xml:space="preserve"> lo que implica un crecimiento </w:t>
      </w:r>
      <w:r w:rsidR="003E7430">
        <w:t xml:space="preserve">acumulado </w:t>
      </w:r>
      <w:r>
        <w:t xml:space="preserve">del </w:t>
      </w:r>
      <w:r w:rsidR="009070A6">
        <w:t>0</w:t>
      </w:r>
      <w:r>
        <w:t>,</w:t>
      </w:r>
      <w:r w:rsidR="009070A6">
        <w:t>8</w:t>
      </w:r>
      <w:r>
        <w:t>% en los últimos 12 meses.</w:t>
      </w:r>
    </w:p>
    <w:p w:rsidR="00265A30" w:rsidRDefault="00265A30" w:rsidP="00083908">
      <w:pPr>
        <w:tabs>
          <w:tab w:val="left" w:pos="0"/>
        </w:tabs>
        <w:spacing w:after="0" w:line="240" w:lineRule="auto"/>
      </w:pPr>
    </w:p>
    <w:p w:rsidR="00265A30" w:rsidRDefault="00265A30" w:rsidP="00083908">
      <w:pPr>
        <w:tabs>
          <w:tab w:val="left" w:pos="0"/>
        </w:tabs>
        <w:spacing w:after="0" w:line="240" w:lineRule="auto"/>
      </w:pPr>
      <w:r>
        <w:t xml:space="preserve">Respecto del gasto de los visitantes, durante el mes de </w:t>
      </w:r>
      <w:r w:rsidR="001E1087">
        <w:t>diciembre</w:t>
      </w:r>
      <w:r>
        <w:t xml:space="preserve"> se registró un gasto promedio de $ 5</w:t>
      </w:r>
      <w:r w:rsidR="001E1087">
        <w:t>3</w:t>
      </w:r>
      <w:r>
        <w:t>.</w:t>
      </w:r>
      <w:r w:rsidR="001E1087">
        <w:t>632</w:t>
      </w:r>
      <w:r>
        <w:t xml:space="preserve"> por visita, lo que muestra una variación </w:t>
      </w:r>
      <w:r w:rsidR="004E6E42">
        <w:t xml:space="preserve">real </w:t>
      </w:r>
      <w:r>
        <w:t>de -</w:t>
      </w:r>
      <w:r w:rsidR="001E1087">
        <w:t>6</w:t>
      </w:r>
      <w:r>
        <w:t>,</w:t>
      </w:r>
      <w:r w:rsidR="001E1087">
        <w:t>7</w:t>
      </w:r>
      <w:r>
        <w:t xml:space="preserve">% respecto de </w:t>
      </w:r>
      <w:r w:rsidR="001E1087">
        <w:t>diciembre</w:t>
      </w:r>
      <w:r>
        <w:t xml:space="preserve"> de 2015, alcanzando un crecimiento acumulado real del gasto de </w:t>
      </w:r>
      <w:r w:rsidR="001E1087">
        <w:t>0</w:t>
      </w:r>
      <w:r>
        <w:t>,</w:t>
      </w:r>
      <w:r w:rsidR="001E1087">
        <w:t>8</w:t>
      </w:r>
      <w:r>
        <w:t>% en los últimos 12 meses.</w:t>
      </w:r>
    </w:p>
    <w:p w:rsidR="00AF439E" w:rsidRDefault="00AF439E" w:rsidP="00083908">
      <w:pPr>
        <w:tabs>
          <w:tab w:val="left" w:pos="0"/>
        </w:tabs>
        <w:spacing w:after="0" w:line="240" w:lineRule="auto"/>
      </w:pPr>
    </w:p>
    <w:p w:rsidR="00265A30" w:rsidRDefault="00265A30" w:rsidP="00083908">
      <w:pPr>
        <w:tabs>
          <w:tab w:val="left" w:pos="0"/>
        </w:tabs>
        <w:spacing w:after="0" w:line="240" w:lineRule="auto"/>
      </w:pPr>
      <w:r>
        <w:t xml:space="preserve">Finalmente, respecto al pago de impuestos, las Municipalidades y el Gobierno Regional percibieron un total de $ </w:t>
      </w:r>
      <w:r w:rsidR="001E1087">
        <w:t>4</w:t>
      </w:r>
      <w:r>
        <w:t>.</w:t>
      </w:r>
      <w:r w:rsidR="001E1087">
        <w:t>127</w:t>
      </w:r>
      <w:r>
        <w:t xml:space="preserve"> millones por concepto de impuesto al específico al juego</w:t>
      </w:r>
      <w:r>
        <w:rPr>
          <w:rStyle w:val="Refdenotaalpie"/>
        </w:rPr>
        <w:footnoteReference w:id="6"/>
      </w:r>
      <w:r>
        <w:t>, mientras que por concepto de entradas se pagó al fisco la suma de $ 1.</w:t>
      </w:r>
      <w:r w:rsidR="001E1087">
        <w:t>524</w:t>
      </w:r>
      <w:r>
        <w:t xml:space="preserve"> millones. Finalmente, por concepto de IVA, las sociedades operadoras pagaron $ </w:t>
      </w:r>
      <w:r w:rsidR="001E1087">
        <w:t>4</w:t>
      </w:r>
      <w:r>
        <w:t>.</w:t>
      </w:r>
      <w:r w:rsidR="001E1087">
        <w:t>036</w:t>
      </w:r>
      <w:r>
        <w:t xml:space="preserve"> durante el mes de </w:t>
      </w:r>
      <w:r w:rsidR="001E1087">
        <w:t>diciembre</w:t>
      </w:r>
      <w:r w:rsidR="009070A6">
        <w:t>.</w:t>
      </w:r>
    </w:p>
    <w:p w:rsidR="00070FBD" w:rsidRDefault="00070FBD" w:rsidP="00083908">
      <w:pPr>
        <w:tabs>
          <w:tab w:val="left" w:pos="0"/>
        </w:tabs>
        <w:spacing w:after="0" w:line="240" w:lineRule="auto"/>
      </w:pPr>
    </w:p>
    <w:p w:rsidR="00070FBD" w:rsidRDefault="00070FBD" w:rsidP="00083908">
      <w:pPr>
        <w:tabs>
          <w:tab w:val="left" w:pos="0"/>
        </w:tabs>
        <w:spacing w:after="0" w:line="240" w:lineRule="auto"/>
      </w:pPr>
      <w:r>
        <w:t>El monto jugado</w:t>
      </w:r>
      <w:r>
        <w:rPr>
          <w:rStyle w:val="Refdenotaalpie"/>
        </w:rPr>
        <w:footnoteReference w:id="7"/>
      </w:r>
      <w:r>
        <w:t xml:space="preserve"> en el mes de </w:t>
      </w:r>
      <w:r w:rsidR="00181717">
        <w:t>diciembre</w:t>
      </w:r>
      <w:r>
        <w:t>, en las 10.</w:t>
      </w:r>
      <w:r w:rsidR="00901177">
        <w:t>4</w:t>
      </w:r>
      <w:r w:rsidR="001E1087">
        <w:t>52</w:t>
      </w:r>
      <w:r>
        <w:t xml:space="preserve"> máquinas de azar que estuvieron en funcionamiento en los 17 casinos regulados ascendió a $ 3</w:t>
      </w:r>
      <w:r w:rsidR="001E1087">
        <w:t>52</w:t>
      </w:r>
      <w:r>
        <w:t>.</w:t>
      </w:r>
      <w:r w:rsidR="00BF1779">
        <w:t>1</w:t>
      </w:r>
      <w:r w:rsidR="001E1087">
        <w:t>94</w:t>
      </w:r>
      <w:r>
        <w:t xml:space="preserve"> millones. Los premios pagados a los jugadores alcanzaron los $ 3</w:t>
      </w:r>
      <w:r w:rsidR="001E1087">
        <w:t>3</w:t>
      </w:r>
      <w:r w:rsidR="00BF1779">
        <w:t>1</w:t>
      </w:r>
      <w:r>
        <w:t>.</w:t>
      </w:r>
      <w:r w:rsidR="001E1087">
        <w:t>295</w:t>
      </w:r>
      <w:r>
        <w:t xml:space="preserve"> millones, equivalentes al 9</w:t>
      </w:r>
      <w:r w:rsidR="00BF1779">
        <w:t>4</w:t>
      </w:r>
      <w:r>
        <w:t>,</w:t>
      </w:r>
      <w:r w:rsidR="001E1087">
        <w:t>1</w:t>
      </w:r>
      <w:r>
        <w:t>% del total apostado. Como</w:t>
      </w:r>
      <w:r w:rsidR="005B279E">
        <w:t xml:space="preserve"> resultado, el ingreso bruto o w</w:t>
      </w:r>
      <w:r>
        <w:t>in correspondiente al juego en máquinas de azar fue de $</w:t>
      </w:r>
      <w:r w:rsidR="001E1087">
        <w:t>20</w:t>
      </w:r>
      <w:r>
        <w:t>.</w:t>
      </w:r>
      <w:r w:rsidR="001E1087">
        <w:t>899</w:t>
      </w:r>
      <w:r>
        <w:t xml:space="preserve"> millones que equivale al 8</w:t>
      </w:r>
      <w:r w:rsidR="001E1087">
        <w:t>2</w:t>
      </w:r>
      <w:r>
        <w:t>,</w:t>
      </w:r>
      <w:r w:rsidR="00BF1779">
        <w:t>7</w:t>
      </w:r>
      <w:r>
        <w:t xml:space="preserve"> % del ingreso bruto total.</w:t>
      </w:r>
    </w:p>
    <w:p w:rsidR="00070FBD" w:rsidRDefault="00070FBD" w:rsidP="00083908">
      <w:pPr>
        <w:tabs>
          <w:tab w:val="left" w:pos="0"/>
        </w:tabs>
        <w:spacing w:after="0" w:line="240" w:lineRule="auto"/>
        <w:rPr>
          <w:b/>
        </w:rPr>
      </w:pPr>
    </w:p>
    <w:p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rsidR="00E57CA1" w:rsidRPr="00265A30" w:rsidRDefault="00E57CA1" w:rsidP="00083908">
      <w:pPr>
        <w:tabs>
          <w:tab w:val="left" w:pos="0"/>
        </w:tabs>
        <w:spacing w:after="0" w:line="240" w:lineRule="auto"/>
        <w:rPr>
          <w:b/>
        </w:rPr>
      </w:pPr>
    </w:p>
    <w:p w:rsidR="00265A30" w:rsidRDefault="00070FBD" w:rsidP="00083908">
      <w:pPr>
        <w:spacing w:after="0" w:line="240" w:lineRule="auto"/>
      </w:pPr>
      <w:r>
        <w:t xml:space="preserve">Por su parte, </w:t>
      </w:r>
      <w:r w:rsidR="00265A30" w:rsidRPr="00265A30">
        <w:t>los casinos municipales obtuvieron un total de $ 1</w:t>
      </w:r>
      <w:r w:rsidR="001E1087">
        <w:t>1</w:t>
      </w:r>
      <w:r w:rsidR="00265A30" w:rsidRPr="00265A30">
        <w:t>.</w:t>
      </w:r>
      <w:r w:rsidR="00E810F9">
        <w:t>873</w:t>
      </w:r>
      <w:r w:rsidR="00265A30" w:rsidRPr="00265A30">
        <w:t xml:space="preserve"> millones de ingresos brutos del juego o win, </w:t>
      </w:r>
      <w:r>
        <w:t xml:space="preserve">lo que representa un total de </w:t>
      </w:r>
      <w:r w:rsidR="00E810F9">
        <w:t>32</w:t>
      </w:r>
      <w:r>
        <w:t>,</w:t>
      </w:r>
      <w:r w:rsidR="00E810F9">
        <w:t>0</w:t>
      </w:r>
      <w:r>
        <w:t xml:space="preserve"> % del total de la industria. Esta cifra implica </w:t>
      </w:r>
      <w:r w:rsidR="00AF439E" w:rsidRPr="00265A30">
        <w:t xml:space="preserve">un crecimiento real acumulado de </w:t>
      </w:r>
      <w:r w:rsidR="00AF439E" w:rsidRPr="00265A30">
        <w:rPr>
          <w:bCs/>
        </w:rPr>
        <w:t>3,</w:t>
      </w:r>
      <w:r w:rsidR="00AF439E">
        <w:rPr>
          <w:bCs/>
        </w:rPr>
        <w:t>2</w:t>
      </w:r>
      <w:r w:rsidR="00AF439E" w:rsidRPr="00265A30">
        <w:rPr>
          <w:bCs/>
        </w:rPr>
        <w:t>%</w:t>
      </w:r>
      <w:r w:rsidR="00AF439E" w:rsidRPr="00265A30">
        <w:t xml:space="preserve"> en </w:t>
      </w:r>
      <w:r w:rsidR="00AF439E">
        <w:t xml:space="preserve">los últimos 12 meses y </w:t>
      </w:r>
      <w:r>
        <w:t xml:space="preserve">una </w:t>
      </w:r>
      <w:r w:rsidR="00265A30" w:rsidRPr="00265A30">
        <w:t>variación real mensual</w:t>
      </w:r>
      <w:r w:rsidR="00265A30" w:rsidRPr="00265A30">
        <w:rPr>
          <w:sz w:val="28"/>
          <w:szCs w:val="28"/>
        </w:rPr>
        <w:t xml:space="preserve"> </w:t>
      </w:r>
      <w:r w:rsidR="00265A30" w:rsidRPr="00265A30">
        <w:t xml:space="preserve">de </w:t>
      </w:r>
      <w:r w:rsidR="00E810F9">
        <w:t>5</w:t>
      </w:r>
      <w:r w:rsidR="00265A30" w:rsidRPr="00265A30">
        <w:rPr>
          <w:bCs/>
        </w:rPr>
        <w:t>,</w:t>
      </w:r>
      <w:r w:rsidR="00E810F9">
        <w:rPr>
          <w:bCs/>
        </w:rPr>
        <w:t>5</w:t>
      </w:r>
      <w:r w:rsidR="00265A30" w:rsidRPr="00265A30">
        <w:rPr>
          <w:bCs/>
        </w:rPr>
        <w:t>%</w:t>
      </w:r>
      <w:r w:rsidR="00265A30" w:rsidRPr="00265A30">
        <w:t xml:space="preserve"> en comparación con </w:t>
      </w:r>
      <w:r w:rsidR="00E047BA">
        <w:t>diciembre de</w:t>
      </w:r>
      <w:r w:rsidR="00AF439E">
        <w:t xml:space="preserve"> 2015.</w:t>
      </w:r>
    </w:p>
    <w:p w:rsidR="00E57CA1" w:rsidRPr="00265A30" w:rsidRDefault="00E57CA1" w:rsidP="00083908">
      <w:pPr>
        <w:spacing w:after="0" w:line="240" w:lineRule="auto"/>
      </w:pPr>
    </w:p>
    <w:p w:rsidR="0017349B" w:rsidRDefault="00265A30" w:rsidP="00083908">
      <w:pPr>
        <w:tabs>
          <w:tab w:val="left" w:pos="0"/>
        </w:tabs>
        <w:spacing w:after="0" w:line="240" w:lineRule="auto"/>
      </w:pPr>
      <w:r>
        <w:t>Respecto de las visitas, los casinos de concesión municipal (exceptuando a Puerto Varas que no cuenta con la información) registraron un total de 2</w:t>
      </w:r>
      <w:r w:rsidR="00E810F9">
        <w:t>41</w:t>
      </w:r>
      <w:r>
        <w:t>.</w:t>
      </w:r>
      <w:r w:rsidR="00E810F9">
        <w:t>055</w:t>
      </w:r>
      <w:r>
        <w:t xml:space="preserve"> visitas.</w:t>
      </w:r>
      <w:r w:rsidR="001D7E9E">
        <w:t xml:space="preserve"> Respecto a lo anterior, es importante señalar que dicha información no se puede comparar, indexar ni sumar con la que registra la industria autorizada por la Ley N° 19.995, debido a que no son medidas de manera estandarizada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rsidR="00E57CA1" w:rsidRDefault="00E57CA1" w:rsidP="00083908">
      <w:pPr>
        <w:tabs>
          <w:tab w:val="left" w:pos="0"/>
        </w:tabs>
        <w:spacing w:after="0" w:line="240" w:lineRule="auto"/>
        <w:rPr>
          <w:b/>
        </w:rPr>
      </w:pPr>
    </w:p>
    <w:p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rsidR="00FB3D8B" w:rsidRDefault="00FB3D8B" w:rsidP="00083908">
      <w:pPr>
        <w:tabs>
          <w:tab w:val="left" w:pos="0"/>
        </w:tabs>
        <w:spacing w:after="0" w:line="240" w:lineRule="auto"/>
      </w:pPr>
    </w:p>
    <w:p w:rsidR="0004531A" w:rsidRDefault="009C4049" w:rsidP="00083908">
      <w:pPr>
        <w:tabs>
          <w:tab w:val="left" w:pos="0"/>
        </w:tabs>
        <w:spacing w:after="0" w:line="240" w:lineRule="auto"/>
      </w:pPr>
      <w:r>
        <w:t>Cabe recordar</w:t>
      </w:r>
      <w:r w:rsidR="00A729EA">
        <w:t xml:space="preserve"> que </w:t>
      </w:r>
      <w:r>
        <w:t xml:space="preserve">desde el mes </w:t>
      </w:r>
      <w:r w:rsidR="005B01F2">
        <w:t xml:space="preserve">de mayo, en </w:t>
      </w:r>
      <w:r>
        <w:t xml:space="preserve">los comunicados de prensa </w:t>
      </w:r>
      <w:r w:rsidR="0004531A" w:rsidRPr="0004531A">
        <w:t xml:space="preserve"> referido a los resultados </w:t>
      </w:r>
      <w:r>
        <w:t>operacionales</w:t>
      </w:r>
      <w:r w:rsidR="0004531A" w:rsidRPr="0004531A">
        <w:t>, los porcentajes de variación de los ingresos brutos del juego y gasto promedio, respecto a per</w:t>
      </w:r>
      <w:r w:rsidR="005B01F2">
        <w:t xml:space="preserve">íodos anteriores, se comunican </w:t>
      </w:r>
      <w:r w:rsidR="0004531A" w:rsidRPr="0004531A">
        <w:t xml:space="preserve"> en términos reales. Esto es, corregidos por la UF del último día del mes, a diferencia de los valores nominales que se informaban en los boletines anteriores.</w:t>
      </w:r>
    </w:p>
    <w:p w:rsidR="00083908" w:rsidRDefault="00083908" w:rsidP="00083908">
      <w:pPr>
        <w:tabs>
          <w:tab w:val="left" w:pos="0"/>
        </w:tabs>
        <w:spacing w:after="0" w:line="240" w:lineRule="auto"/>
        <w:jc w:val="left"/>
      </w:pPr>
    </w:p>
    <w:p w:rsidR="00083908" w:rsidRPr="00083908" w:rsidRDefault="00083908" w:rsidP="00083908">
      <w:pPr>
        <w:tabs>
          <w:tab w:val="left" w:pos="0"/>
        </w:tabs>
        <w:spacing w:after="0" w:line="240" w:lineRule="auto"/>
      </w:pPr>
      <w:r>
        <w:t xml:space="preserve">Asimismo, y en el </w:t>
      </w:r>
      <w:r w:rsidRPr="00083908">
        <w:t xml:space="preserve">marco de su tarea de difusión encomendada por ley, a partir de </w:t>
      </w:r>
      <w:r w:rsidR="003D3765">
        <w:t>octubre de 2016</w:t>
      </w:r>
      <w:r w:rsidR="00CC0521">
        <w:t xml:space="preserve">, la Superintendencia reporta </w:t>
      </w:r>
      <w:r w:rsidRPr="00083908">
        <w:t xml:space="preserve">los resultados conjuntos, tanto de los casinos autorizados por la Ley N° 19.995 como de los municipales, con el objetivo de generar información más completa </w:t>
      </w:r>
      <w:r w:rsidRPr="00083908">
        <w:lastRenderedPageBreak/>
        <w:t>de la industria local. Lo anterior, a través del comunicado de prensa y del boletín estadístico que se publica mensualmente en el sitio web institucional</w:t>
      </w:r>
      <w:r w:rsidR="00FB3D8B">
        <w:t>.</w:t>
      </w:r>
    </w:p>
    <w:p w:rsidR="009858E3" w:rsidRDefault="009858E3" w:rsidP="00E57CA1">
      <w:pPr>
        <w:tabs>
          <w:tab w:val="left" w:pos="0"/>
        </w:tabs>
        <w:spacing w:after="0" w:line="240" w:lineRule="auto"/>
        <w:jc w:val="left"/>
      </w:pPr>
      <w:r>
        <w:br w:type="page"/>
      </w:r>
    </w:p>
    <w:p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0C1CF5">
        <w:rPr>
          <w:rFonts w:ascii="Calibri" w:hAnsi="Calibri" w:cs="Calibri"/>
          <w:b/>
          <w:sz w:val="21"/>
          <w:szCs w:val="21"/>
        </w:rPr>
        <w:t>DICIEMBRE</w:t>
      </w:r>
      <w:r w:rsidR="00FB3D8B">
        <w:rPr>
          <w:rFonts w:ascii="Calibri" w:hAnsi="Calibri" w:cs="Calibri"/>
          <w:b/>
          <w:sz w:val="21"/>
          <w:szCs w:val="21"/>
        </w:rPr>
        <w:t xml:space="preserve"> </w:t>
      </w:r>
      <w:r>
        <w:rPr>
          <w:rFonts w:ascii="Calibri" w:hAnsi="Calibri" w:cs="Calibri"/>
          <w:b/>
          <w:sz w:val="21"/>
          <w:szCs w:val="21"/>
        </w:rPr>
        <w:t>DE 2016</w:t>
      </w:r>
    </w:p>
    <w:p w:rsidR="00196290" w:rsidRDefault="00196290" w:rsidP="00196290">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p>
    <w:p w:rsidR="00252772" w:rsidRDefault="00E810F9" w:rsidP="005F17F7">
      <w:pPr>
        <w:ind w:left="-567"/>
        <w:jc w:val="center"/>
        <w:rPr>
          <w:rFonts w:ascii="Calibri" w:hAnsi="Calibri" w:cs="Calibri"/>
          <w:b/>
          <w:sz w:val="21"/>
          <w:szCs w:val="21"/>
        </w:rPr>
      </w:pPr>
      <w:r>
        <w:rPr>
          <w:rFonts w:ascii="Calibri" w:hAnsi="Calibri" w:cs="Calibri"/>
          <w:b/>
          <w:noProof/>
          <w:sz w:val="21"/>
          <w:szCs w:val="21"/>
          <w:lang w:eastAsia="es-CL"/>
        </w:rPr>
        <w:drawing>
          <wp:inline distT="0" distB="0" distL="0" distR="0" wp14:anchorId="7D542A75" wp14:editId="2C1D2DDE">
            <wp:extent cx="5745467" cy="3945890"/>
            <wp:effectExtent l="0" t="0" r="825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9822" cy="3948881"/>
                    </a:xfrm>
                    <a:prstGeom prst="rect">
                      <a:avLst/>
                    </a:prstGeom>
                    <a:noFill/>
                  </pic:spPr>
                </pic:pic>
              </a:graphicData>
            </a:graphic>
          </wp:inline>
        </w:drawing>
      </w:r>
      <w:r>
        <w:rPr>
          <w:rFonts w:ascii="Calibri" w:hAnsi="Calibri" w:cs="Calibri"/>
          <w:b/>
          <w:noProof/>
          <w:sz w:val="21"/>
          <w:szCs w:val="21"/>
          <w:lang w:eastAsia="es-CL"/>
        </w:rPr>
        <w:drawing>
          <wp:inline distT="0" distB="0" distL="0" distR="0" wp14:anchorId="405540CA" wp14:editId="559669A1">
            <wp:extent cx="4667250" cy="3663803"/>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948" cy="3664351"/>
                    </a:xfrm>
                    <a:prstGeom prst="rect">
                      <a:avLst/>
                    </a:prstGeom>
                    <a:noFill/>
                  </pic:spPr>
                </pic:pic>
              </a:graphicData>
            </a:graphic>
          </wp:inline>
        </w:drawing>
      </w:r>
    </w:p>
    <w:p w:rsidR="00E810F9" w:rsidRDefault="00E810F9" w:rsidP="005F17F7">
      <w:pPr>
        <w:ind w:left="-567"/>
        <w:jc w:val="center"/>
        <w:rPr>
          <w:rFonts w:ascii="Calibri" w:hAnsi="Calibri" w:cs="Calibri"/>
          <w:b/>
          <w:sz w:val="21"/>
          <w:szCs w:val="21"/>
        </w:rPr>
      </w:pPr>
    </w:p>
    <w:p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lastRenderedPageBreak/>
        <w:t>Casinos de juego autorizados por la Ley N° 19.995</w:t>
      </w:r>
    </w:p>
    <w:p w:rsidR="00FB3D8B" w:rsidRDefault="00FB3D8B" w:rsidP="00E0320F">
      <w:pPr>
        <w:tabs>
          <w:tab w:val="left" w:pos="0"/>
        </w:tabs>
        <w:spacing w:after="0" w:line="240" w:lineRule="auto"/>
        <w:rPr>
          <w:rFonts w:ascii="Calibri" w:hAnsi="Calibri" w:cs="Arial"/>
          <w:b/>
          <w:sz w:val="20"/>
          <w:szCs w:val="20"/>
        </w:rPr>
      </w:pPr>
    </w:p>
    <w:p w:rsidR="00FB3D8B" w:rsidRDefault="00FB3D8B" w:rsidP="00FB3D8B">
      <w:pPr>
        <w:pStyle w:val="Prrafodelista"/>
        <w:numPr>
          <w:ilvl w:val="0"/>
          <w:numId w:val="1"/>
        </w:numPr>
        <w:tabs>
          <w:tab w:val="left" w:pos="0"/>
        </w:tabs>
        <w:ind w:left="0"/>
        <w:rPr>
          <w:rFonts w:ascii="Calibri" w:hAnsi="Calibri" w:cs="Calibri"/>
          <w:b/>
          <w:sz w:val="21"/>
          <w:szCs w:val="21"/>
        </w:rPr>
      </w:pPr>
      <w:r>
        <w:rPr>
          <w:rFonts w:ascii="Calibri" w:hAnsi="Calibri" w:cs="Calibri"/>
          <w:b/>
          <w:sz w:val="21"/>
          <w:szCs w:val="21"/>
        </w:rPr>
        <w:t xml:space="preserve">Resultados Generales, valores nominales ($): </w:t>
      </w:r>
      <w:r w:rsidR="00E810F9">
        <w:rPr>
          <w:rFonts w:ascii="Calibri" w:hAnsi="Calibri" w:cs="Calibri"/>
          <w:b/>
          <w:sz w:val="21"/>
          <w:szCs w:val="21"/>
        </w:rPr>
        <w:t>diciembre</w:t>
      </w:r>
      <w:r>
        <w:rPr>
          <w:rFonts w:ascii="Calibri" w:hAnsi="Calibri" w:cs="Calibri"/>
          <w:b/>
          <w:sz w:val="21"/>
          <w:szCs w:val="21"/>
        </w:rPr>
        <w:t xml:space="preserve"> 2016</w:t>
      </w:r>
    </w:p>
    <w:p w:rsidR="00196290" w:rsidRDefault="00196290" w:rsidP="00196290">
      <w:pPr>
        <w:pStyle w:val="Prrafodelista"/>
        <w:tabs>
          <w:tab w:val="left" w:pos="0"/>
        </w:tabs>
        <w:ind w:left="0"/>
        <w:rPr>
          <w:rFonts w:ascii="Calibri" w:hAnsi="Calibri" w:cs="Calibri"/>
          <w:b/>
          <w:sz w:val="21"/>
          <w:szCs w:val="21"/>
        </w:rPr>
      </w:pPr>
    </w:p>
    <w:p w:rsidR="00FB3D8B" w:rsidRDefault="009303C5" w:rsidP="00FB3D8B">
      <w:pPr>
        <w:pStyle w:val="Prrafodelista"/>
        <w:tabs>
          <w:tab w:val="left" w:pos="0"/>
        </w:tabs>
        <w:ind w:left="0"/>
        <w:rPr>
          <w:rFonts w:ascii="Calibri" w:hAnsi="Calibri" w:cs="Calibri"/>
          <w:b/>
          <w:sz w:val="21"/>
          <w:szCs w:val="21"/>
        </w:rPr>
      </w:pPr>
      <w:r>
        <w:rPr>
          <w:rFonts w:ascii="Calibri" w:hAnsi="Calibri" w:cs="Calibri"/>
          <w:b/>
          <w:noProof/>
          <w:sz w:val="21"/>
          <w:szCs w:val="21"/>
          <w:lang w:eastAsia="es-CL"/>
        </w:rPr>
        <w:drawing>
          <wp:inline distT="0" distB="0" distL="0" distR="0" wp14:anchorId="73E83BCC" wp14:editId="5753F253">
            <wp:extent cx="5376515" cy="377761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2395" cy="3781746"/>
                    </a:xfrm>
                    <a:prstGeom prst="rect">
                      <a:avLst/>
                    </a:prstGeom>
                    <a:noFill/>
                  </pic:spPr>
                </pic:pic>
              </a:graphicData>
            </a:graphic>
          </wp:inline>
        </w:drawing>
      </w:r>
    </w:p>
    <w:p w:rsidR="00FB3D8B" w:rsidRDefault="00FB3D8B" w:rsidP="00DE53E5">
      <w:pPr>
        <w:tabs>
          <w:tab w:val="left" w:pos="0"/>
        </w:tabs>
        <w:jc w:val="center"/>
        <w:rPr>
          <w:rFonts w:ascii="Calibri" w:hAnsi="Calibri" w:cs="Calibri"/>
          <w:b/>
          <w:sz w:val="21"/>
          <w:szCs w:val="21"/>
        </w:rPr>
      </w:pPr>
    </w:p>
    <w:p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2014-2016</w:t>
      </w:r>
    </w:p>
    <w:p w:rsidR="005B1CCB" w:rsidRPr="001152D3" w:rsidRDefault="005B1CCB" w:rsidP="005B1CCB">
      <w:pPr>
        <w:pStyle w:val="Prrafodelista"/>
        <w:tabs>
          <w:tab w:val="left" w:pos="0"/>
        </w:tabs>
        <w:ind w:left="0"/>
        <w:rPr>
          <w:b/>
        </w:rPr>
      </w:pPr>
    </w:p>
    <w:p w:rsidR="00FB3D8B" w:rsidRPr="001E2D5F" w:rsidRDefault="00E810F9" w:rsidP="005B1CCB">
      <w:pPr>
        <w:pStyle w:val="Prrafodelista"/>
        <w:tabs>
          <w:tab w:val="left" w:pos="0"/>
        </w:tabs>
        <w:ind w:left="0" w:hanging="567"/>
        <w:rPr>
          <w:b/>
        </w:rPr>
      </w:pPr>
      <w:r>
        <w:rPr>
          <w:b/>
          <w:noProof/>
          <w:lang w:eastAsia="es-CL"/>
        </w:rPr>
        <w:drawing>
          <wp:inline distT="0" distB="0" distL="0" distR="0" wp14:anchorId="5C2FD8C0" wp14:editId="1FE90484">
            <wp:extent cx="5782310" cy="2189171"/>
            <wp:effectExtent l="0" t="0" r="0" b="190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8015" cy="2195117"/>
                    </a:xfrm>
                    <a:prstGeom prst="rect">
                      <a:avLst/>
                    </a:prstGeom>
                    <a:noFill/>
                  </pic:spPr>
                </pic:pic>
              </a:graphicData>
            </a:graphic>
          </wp:inline>
        </w:drawing>
      </w:r>
    </w:p>
    <w:p w:rsidR="00FB3D8B" w:rsidRDefault="00FB3D8B" w:rsidP="00FB3D8B">
      <w:pPr>
        <w:tabs>
          <w:tab w:val="left" w:pos="0"/>
        </w:tabs>
        <w:jc w:val="center"/>
      </w:pPr>
    </w:p>
    <w:p w:rsidR="004F66A2" w:rsidRDefault="004F66A2" w:rsidP="00FB3D8B">
      <w:pPr>
        <w:tabs>
          <w:tab w:val="left" w:pos="0"/>
        </w:tabs>
        <w:jc w:val="center"/>
      </w:pPr>
    </w:p>
    <w:p w:rsidR="00AC7932" w:rsidRDefault="00AC7932" w:rsidP="00FB3D8B">
      <w:pPr>
        <w:tabs>
          <w:tab w:val="left" w:pos="0"/>
        </w:tabs>
        <w:jc w:val="center"/>
      </w:pPr>
    </w:p>
    <w:p w:rsidR="00196290" w:rsidRDefault="00196290" w:rsidP="00FB3D8B">
      <w:pPr>
        <w:tabs>
          <w:tab w:val="left" w:pos="0"/>
        </w:tabs>
        <w:jc w:val="center"/>
      </w:pPr>
    </w:p>
    <w:p w:rsidR="00FB3D8B" w:rsidRDefault="00FB3D8B" w:rsidP="00FB3D8B">
      <w:pPr>
        <w:pStyle w:val="Prrafodelista"/>
        <w:numPr>
          <w:ilvl w:val="0"/>
          <w:numId w:val="1"/>
        </w:numPr>
        <w:tabs>
          <w:tab w:val="left" w:pos="0"/>
          <w:tab w:val="left" w:pos="6285"/>
        </w:tabs>
        <w:ind w:left="0"/>
        <w:jc w:val="left"/>
        <w:rPr>
          <w:b/>
          <w:sz w:val="21"/>
          <w:szCs w:val="21"/>
        </w:rPr>
      </w:pPr>
      <w:r w:rsidRPr="003D15B6">
        <w:rPr>
          <w:b/>
          <w:sz w:val="21"/>
          <w:szCs w:val="21"/>
        </w:rPr>
        <w:lastRenderedPageBreak/>
        <w:t>Ingresos brutos del juego o win en valores nominales ($) y reales (UF): Año 2014-201</w:t>
      </w:r>
      <w:r>
        <w:rPr>
          <w:b/>
          <w:sz w:val="21"/>
          <w:szCs w:val="21"/>
        </w:rPr>
        <w:t>6</w:t>
      </w:r>
    </w:p>
    <w:p w:rsidR="005B1CCB" w:rsidRDefault="005B1CCB" w:rsidP="005B1CCB">
      <w:pPr>
        <w:pStyle w:val="Prrafodelista"/>
        <w:tabs>
          <w:tab w:val="left" w:pos="0"/>
          <w:tab w:val="left" w:pos="6285"/>
        </w:tabs>
        <w:ind w:left="0"/>
        <w:jc w:val="left"/>
        <w:rPr>
          <w:b/>
          <w:sz w:val="21"/>
          <w:szCs w:val="21"/>
        </w:rPr>
      </w:pPr>
    </w:p>
    <w:tbl>
      <w:tblPr>
        <w:tblW w:w="5397" w:type="pct"/>
        <w:tblInd w:w="-426" w:type="dxa"/>
        <w:tblLayout w:type="fixed"/>
        <w:tblCellMar>
          <w:left w:w="70" w:type="dxa"/>
          <w:right w:w="70" w:type="dxa"/>
        </w:tblCellMar>
        <w:tblLook w:val="04A0" w:firstRow="1" w:lastRow="0" w:firstColumn="1" w:lastColumn="0" w:noHBand="0" w:noVBand="1"/>
      </w:tblPr>
      <w:tblGrid>
        <w:gridCol w:w="1319"/>
        <w:gridCol w:w="76"/>
        <w:gridCol w:w="668"/>
        <w:gridCol w:w="647"/>
        <w:gridCol w:w="647"/>
        <w:gridCol w:w="647"/>
        <w:gridCol w:w="634"/>
        <w:gridCol w:w="647"/>
        <w:gridCol w:w="647"/>
        <w:gridCol w:w="647"/>
        <w:gridCol w:w="647"/>
        <w:gridCol w:w="662"/>
        <w:gridCol w:w="644"/>
        <w:gridCol w:w="636"/>
      </w:tblGrid>
      <w:tr w:rsidR="00574797" w:rsidRPr="00FD5AE7" w:rsidTr="00574797">
        <w:trPr>
          <w:trHeight w:val="397"/>
        </w:trPr>
        <w:tc>
          <w:tcPr>
            <w:tcW w:w="719" w:type="pct"/>
            <w:tcBorders>
              <w:top w:val="nil"/>
              <w:left w:val="nil"/>
              <w:bottom w:val="single" w:sz="8" w:space="0" w:color="auto"/>
              <w:right w:val="nil"/>
            </w:tcBorders>
            <w:shd w:val="clear" w:color="auto" w:fill="auto"/>
            <w:noWrap/>
            <w:vAlign w:val="center"/>
            <w:hideMark/>
          </w:tcPr>
          <w:p w:rsidR="00574797" w:rsidRPr="00FD5AE7" w:rsidRDefault="00574797" w:rsidP="00574797">
            <w:pPr>
              <w:spacing w:after="0" w:line="240" w:lineRule="auto"/>
              <w:ind w:left="-496"/>
              <w:jc w:val="center"/>
              <w:rPr>
                <w:rFonts w:ascii="Calibri" w:eastAsia="Times New Roman" w:hAnsi="Calibri" w:cs="Times New Roman"/>
                <w:color w:val="000000"/>
                <w:sz w:val="10"/>
                <w:szCs w:val="10"/>
                <w:lang w:val="es-ES" w:eastAsia="es-ES"/>
              </w:rPr>
            </w:pPr>
          </w:p>
        </w:tc>
        <w:tc>
          <w:tcPr>
            <w:tcW w:w="405" w:type="pct"/>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rsidR="00574797" w:rsidRPr="00FD5AE7" w:rsidRDefault="00574797" w:rsidP="00574797">
            <w:pPr>
              <w:spacing w:line="240" w:lineRule="auto"/>
              <w:jc w:val="center"/>
              <w:rPr>
                <w:rFonts w:ascii="Calibri" w:hAnsi="Calibri"/>
                <w:b/>
                <w:bCs/>
                <w:color w:val="FFFFFF"/>
                <w:sz w:val="10"/>
                <w:szCs w:val="10"/>
              </w:rPr>
            </w:pPr>
            <w:r>
              <w:rPr>
                <w:rFonts w:ascii="Calibri" w:hAnsi="Calibri"/>
                <w:b/>
                <w:bCs/>
                <w:color w:val="FFFFFF"/>
                <w:sz w:val="12"/>
                <w:szCs w:val="12"/>
              </w:rPr>
              <w:t>Ene</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rsidR="00574797" w:rsidRPr="00FD5AE7" w:rsidRDefault="00574797" w:rsidP="00574797">
            <w:pPr>
              <w:jc w:val="center"/>
              <w:rPr>
                <w:rFonts w:ascii="Calibri" w:hAnsi="Calibri"/>
                <w:b/>
                <w:bCs/>
                <w:color w:val="FFFFFF"/>
                <w:sz w:val="10"/>
                <w:szCs w:val="10"/>
              </w:rPr>
            </w:pPr>
            <w:r>
              <w:rPr>
                <w:rFonts w:ascii="Calibri" w:hAnsi="Calibri"/>
                <w:b/>
                <w:bCs/>
                <w:color w:val="FFFFFF"/>
                <w:sz w:val="12"/>
                <w:szCs w:val="12"/>
              </w:rPr>
              <w:t>Feb</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rsidR="00574797" w:rsidRPr="00FD5AE7" w:rsidRDefault="00574797" w:rsidP="00574797">
            <w:pPr>
              <w:jc w:val="center"/>
              <w:rPr>
                <w:rFonts w:ascii="Calibri" w:hAnsi="Calibri"/>
                <w:b/>
                <w:bCs/>
                <w:color w:val="FFFFFF"/>
                <w:sz w:val="10"/>
                <w:szCs w:val="10"/>
              </w:rPr>
            </w:pPr>
            <w:r>
              <w:rPr>
                <w:rFonts w:ascii="Calibri" w:hAnsi="Calibri"/>
                <w:b/>
                <w:bCs/>
                <w:color w:val="FFFFFF"/>
                <w:sz w:val="12"/>
                <w:szCs w:val="12"/>
              </w:rPr>
              <w:t>Mar</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rsidR="00574797" w:rsidRPr="00FD5AE7" w:rsidRDefault="00574797" w:rsidP="00574797">
            <w:pPr>
              <w:jc w:val="center"/>
              <w:rPr>
                <w:rFonts w:ascii="Calibri" w:hAnsi="Calibri"/>
                <w:b/>
                <w:bCs/>
                <w:color w:val="FFFFFF"/>
                <w:sz w:val="10"/>
                <w:szCs w:val="10"/>
              </w:rPr>
            </w:pPr>
            <w:r>
              <w:rPr>
                <w:rFonts w:ascii="Calibri" w:hAnsi="Calibri"/>
                <w:b/>
                <w:bCs/>
                <w:color w:val="FFFFFF"/>
                <w:sz w:val="12"/>
                <w:szCs w:val="12"/>
              </w:rPr>
              <w:t>Abr</w:t>
            </w:r>
          </w:p>
        </w:tc>
        <w:tc>
          <w:tcPr>
            <w:tcW w:w="346" w:type="pct"/>
            <w:tcBorders>
              <w:top w:val="single" w:sz="8" w:space="0" w:color="auto"/>
              <w:left w:val="nil"/>
              <w:bottom w:val="single" w:sz="8" w:space="0" w:color="auto"/>
              <w:right w:val="single" w:sz="8" w:space="0" w:color="auto"/>
            </w:tcBorders>
            <w:shd w:val="clear" w:color="000000" w:fill="0F243E"/>
            <w:noWrap/>
            <w:vAlign w:val="bottom"/>
          </w:tcPr>
          <w:p w:rsidR="00574797" w:rsidRPr="00FD5AE7" w:rsidRDefault="00574797" w:rsidP="00574797">
            <w:pPr>
              <w:jc w:val="center"/>
              <w:rPr>
                <w:rFonts w:ascii="Calibri" w:hAnsi="Calibri"/>
                <w:b/>
                <w:bCs/>
                <w:color w:val="FFFFFF"/>
                <w:sz w:val="10"/>
                <w:szCs w:val="10"/>
              </w:rPr>
            </w:pPr>
            <w:proofErr w:type="spellStart"/>
            <w:r>
              <w:rPr>
                <w:rFonts w:ascii="Calibri" w:hAnsi="Calibri"/>
                <w:b/>
                <w:bCs/>
                <w:color w:val="FFFFFF"/>
                <w:sz w:val="12"/>
                <w:szCs w:val="12"/>
              </w:rPr>
              <w:t>May</w:t>
            </w:r>
            <w:proofErr w:type="spellEnd"/>
          </w:p>
        </w:tc>
        <w:tc>
          <w:tcPr>
            <w:tcW w:w="353" w:type="pct"/>
            <w:tcBorders>
              <w:top w:val="single" w:sz="8" w:space="0" w:color="auto"/>
              <w:left w:val="nil"/>
              <w:bottom w:val="single" w:sz="8" w:space="0" w:color="auto"/>
              <w:right w:val="single" w:sz="8" w:space="0" w:color="auto"/>
            </w:tcBorders>
            <w:shd w:val="clear" w:color="000000" w:fill="0F243E"/>
            <w:noWrap/>
            <w:vAlign w:val="bottom"/>
          </w:tcPr>
          <w:p w:rsidR="00574797" w:rsidRPr="00FD5AE7" w:rsidRDefault="00574797" w:rsidP="00574797">
            <w:pPr>
              <w:jc w:val="center"/>
              <w:rPr>
                <w:rFonts w:ascii="Calibri" w:hAnsi="Calibri"/>
                <w:b/>
                <w:bCs/>
                <w:color w:val="FFFFFF"/>
                <w:sz w:val="10"/>
                <w:szCs w:val="10"/>
              </w:rPr>
            </w:pPr>
            <w:r>
              <w:rPr>
                <w:rFonts w:ascii="Calibri" w:hAnsi="Calibri"/>
                <w:b/>
                <w:bCs/>
                <w:color w:val="FFFFFF"/>
                <w:sz w:val="12"/>
                <w:szCs w:val="12"/>
              </w:rPr>
              <w:t>Jun</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rsidR="00574797" w:rsidRPr="00FD5AE7" w:rsidRDefault="00574797" w:rsidP="00574797">
            <w:pPr>
              <w:jc w:val="center"/>
              <w:rPr>
                <w:rFonts w:ascii="Calibri" w:hAnsi="Calibri"/>
                <w:b/>
                <w:bCs/>
                <w:color w:val="FFFFFF"/>
                <w:sz w:val="10"/>
                <w:szCs w:val="10"/>
              </w:rPr>
            </w:pPr>
            <w:r>
              <w:rPr>
                <w:rFonts w:ascii="Calibri" w:hAnsi="Calibri"/>
                <w:b/>
                <w:bCs/>
                <w:color w:val="FFFFFF"/>
                <w:sz w:val="12"/>
                <w:szCs w:val="12"/>
              </w:rPr>
              <w:t>Jul</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rsidR="00574797" w:rsidRPr="00FD5AE7" w:rsidRDefault="00574797" w:rsidP="00574797">
            <w:pPr>
              <w:jc w:val="center"/>
              <w:rPr>
                <w:rFonts w:ascii="Calibri" w:hAnsi="Calibri"/>
                <w:b/>
                <w:bCs/>
                <w:color w:val="FFFFFF"/>
                <w:sz w:val="10"/>
                <w:szCs w:val="10"/>
              </w:rPr>
            </w:pPr>
            <w:proofErr w:type="spellStart"/>
            <w:r>
              <w:rPr>
                <w:rFonts w:ascii="Calibri" w:hAnsi="Calibri"/>
                <w:b/>
                <w:bCs/>
                <w:color w:val="FFFFFF"/>
                <w:sz w:val="12"/>
                <w:szCs w:val="12"/>
              </w:rPr>
              <w:t>Ago</w:t>
            </w:r>
            <w:proofErr w:type="spellEnd"/>
          </w:p>
        </w:tc>
        <w:tc>
          <w:tcPr>
            <w:tcW w:w="353" w:type="pct"/>
            <w:tcBorders>
              <w:top w:val="single" w:sz="8" w:space="0" w:color="auto"/>
              <w:left w:val="nil"/>
              <w:bottom w:val="single" w:sz="8" w:space="0" w:color="auto"/>
              <w:right w:val="single" w:sz="8" w:space="0" w:color="auto"/>
            </w:tcBorders>
            <w:shd w:val="clear" w:color="000000" w:fill="0F243E"/>
            <w:noWrap/>
            <w:vAlign w:val="bottom"/>
          </w:tcPr>
          <w:p w:rsidR="00574797" w:rsidRPr="00FD5AE7" w:rsidRDefault="00574797" w:rsidP="00574797">
            <w:pPr>
              <w:jc w:val="center"/>
              <w:rPr>
                <w:rFonts w:ascii="Calibri" w:hAnsi="Calibri"/>
                <w:b/>
                <w:bCs/>
                <w:color w:val="FFFFFF"/>
                <w:sz w:val="10"/>
                <w:szCs w:val="10"/>
              </w:rPr>
            </w:pPr>
            <w:r>
              <w:rPr>
                <w:rFonts w:ascii="Calibri" w:hAnsi="Calibri"/>
                <w:b/>
                <w:bCs/>
                <w:color w:val="FFFFFF"/>
                <w:sz w:val="12"/>
                <w:szCs w:val="12"/>
              </w:rPr>
              <w:t>Sep</w:t>
            </w:r>
          </w:p>
        </w:tc>
        <w:tc>
          <w:tcPr>
            <w:tcW w:w="361" w:type="pct"/>
            <w:tcBorders>
              <w:top w:val="single" w:sz="8" w:space="0" w:color="auto"/>
              <w:left w:val="nil"/>
              <w:bottom w:val="single" w:sz="8" w:space="0" w:color="auto"/>
              <w:right w:val="single" w:sz="8" w:space="0" w:color="auto"/>
            </w:tcBorders>
            <w:shd w:val="clear" w:color="000000" w:fill="0F243E"/>
            <w:noWrap/>
            <w:vAlign w:val="bottom"/>
          </w:tcPr>
          <w:p w:rsidR="00574797" w:rsidRPr="00FD5AE7" w:rsidRDefault="00574797" w:rsidP="00574797">
            <w:pPr>
              <w:jc w:val="center"/>
              <w:rPr>
                <w:rFonts w:ascii="Calibri" w:hAnsi="Calibri"/>
                <w:b/>
                <w:bCs/>
                <w:color w:val="FFFFFF"/>
                <w:sz w:val="10"/>
                <w:szCs w:val="10"/>
              </w:rPr>
            </w:pPr>
            <w:r>
              <w:rPr>
                <w:rFonts w:ascii="Calibri" w:hAnsi="Calibri"/>
                <w:b/>
                <w:bCs/>
                <w:color w:val="FFFFFF"/>
                <w:sz w:val="12"/>
                <w:szCs w:val="12"/>
              </w:rPr>
              <w:t>Oct</w:t>
            </w:r>
          </w:p>
        </w:tc>
        <w:tc>
          <w:tcPr>
            <w:tcW w:w="351" w:type="pct"/>
            <w:tcBorders>
              <w:top w:val="single" w:sz="8" w:space="0" w:color="auto"/>
              <w:left w:val="nil"/>
              <w:bottom w:val="single" w:sz="8" w:space="0" w:color="auto"/>
              <w:right w:val="single" w:sz="8" w:space="0" w:color="auto"/>
            </w:tcBorders>
            <w:shd w:val="clear" w:color="000000" w:fill="0F243E"/>
            <w:noWrap/>
            <w:vAlign w:val="bottom"/>
          </w:tcPr>
          <w:p w:rsidR="00574797" w:rsidRPr="00FD5AE7" w:rsidRDefault="00574797" w:rsidP="00574797">
            <w:pPr>
              <w:jc w:val="center"/>
              <w:rPr>
                <w:rFonts w:ascii="Calibri" w:hAnsi="Calibri"/>
                <w:b/>
                <w:bCs/>
                <w:color w:val="FFFFFF"/>
                <w:sz w:val="10"/>
                <w:szCs w:val="10"/>
              </w:rPr>
            </w:pPr>
            <w:r>
              <w:rPr>
                <w:rFonts w:ascii="Calibri" w:hAnsi="Calibri"/>
                <w:b/>
                <w:bCs/>
                <w:color w:val="FFFFFF"/>
                <w:sz w:val="12"/>
                <w:szCs w:val="12"/>
              </w:rPr>
              <w:t>Nov</w:t>
            </w:r>
          </w:p>
        </w:tc>
        <w:tc>
          <w:tcPr>
            <w:tcW w:w="348" w:type="pct"/>
            <w:tcBorders>
              <w:top w:val="single" w:sz="8" w:space="0" w:color="auto"/>
              <w:left w:val="nil"/>
              <w:bottom w:val="single" w:sz="8" w:space="0" w:color="auto"/>
              <w:right w:val="single" w:sz="8" w:space="0" w:color="auto"/>
            </w:tcBorders>
            <w:shd w:val="clear" w:color="000000" w:fill="0F243E"/>
            <w:noWrap/>
            <w:vAlign w:val="bottom"/>
          </w:tcPr>
          <w:p w:rsidR="00574797" w:rsidRPr="00FD5AE7" w:rsidRDefault="00574797" w:rsidP="00574797">
            <w:pPr>
              <w:jc w:val="center"/>
              <w:rPr>
                <w:rFonts w:ascii="Calibri" w:hAnsi="Calibri"/>
                <w:b/>
                <w:bCs/>
                <w:color w:val="FFFFFF"/>
                <w:sz w:val="10"/>
                <w:szCs w:val="10"/>
              </w:rPr>
            </w:pPr>
            <w:r>
              <w:rPr>
                <w:rFonts w:ascii="Calibri" w:hAnsi="Calibri"/>
                <w:b/>
                <w:bCs/>
                <w:color w:val="FFFFFF"/>
                <w:sz w:val="12"/>
                <w:szCs w:val="12"/>
              </w:rPr>
              <w:t>Dic</w:t>
            </w:r>
          </w:p>
        </w:tc>
      </w:tr>
      <w:tr w:rsidR="00FB3D8B" w:rsidRPr="00FD5AE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D5AE7">
              <w:rPr>
                <w:rFonts w:ascii="Calibri" w:eastAsia="Times New Roman" w:hAnsi="Calibri" w:cs="Times New Roman"/>
                <w:b/>
                <w:bCs/>
                <w:color w:val="FFFFFF"/>
                <w:sz w:val="10"/>
                <w:szCs w:val="10"/>
                <w:lang w:val="es-ES" w:eastAsia="es-ES"/>
              </w:rPr>
              <w:t>Ingresos brutos del juego o win ($ millones)</w:t>
            </w:r>
          </w:p>
        </w:tc>
      </w:tr>
      <w:tr w:rsidR="00FB3D8B" w:rsidRPr="00FD5AE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D5AE7">
              <w:rPr>
                <w:rFonts w:ascii="Calibri" w:eastAsia="Times New Roman" w:hAnsi="Calibri" w:cs="Times New Roman"/>
                <w:b/>
                <w:bCs/>
                <w:color w:val="FFFFFF"/>
                <w:sz w:val="10"/>
                <w:szCs w:val="10"/>
                <w:lang w:val="es-ES" w:eastAsia="es-ES"/>
              </w:rPr>
              <w:t>VALORES NOMINALES</w:t>
            </w:r>
          </w:p>
        </w:tc>
      </w:tr>
      <w:tr w:rsidR="00574797" w:rsidRPr="00FD5AE7" w:rsidTr="00574797">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rsidR="00574797" w:rsidRPr="00FD5AE7" w:rsidRDefault="00574797" w:rsidP="00574797">
            <w:pPr>
              <w:spacing w:line="240" w:lineRule="auto"/>
              <w:jc w:val="left"/>
              <w:rPr>
                <w:rFonts w:ascii="Calibri" w:hAnsi="Calibri"/>
                <w:color w:val="000000"/>
                <w:sz w:val="10"/>
                <w:szCs w:val="10"/>
              </w:rPr>
            </w:pPr>
            <w:r>
              <w:rPr>
                <w:rFonts w:ascii="Calibri" w:hAnsi="Calibri"/>
                <w:color w:val="000000"/>
                <w:sz w:val="12"/>
                <w:szCs w:val="12"/>
              </w:rPr>
              <w:t>Win  Enero 2015-Diciembre 2015 ($ millones)</w:t>
            </w:r>
          </w:p>
        </w:tc>
        <w:tc>
          <w:tcPr>
            <w:tcW w:w="405" w:type="pct"/>
            <w:gridSpan w:val="2"/>
            <w:tcBorders>
              <w:top w:val="nil"/>
              <w:left w:val="single" w:sz="8" w:space="0" w:color="auto"/>
              <w:bottom w:val="single" w:sz="8" w:space="0" w:color="auto"/>
              <w:right w:val="single" w:sz="8" w:space="0" w:color="auto"/>
            </w:tcBorders>
            <w:shd w:val="clear" w:color="000000" w:fill="DCE6F1"/>
            <w:noWrap/>
            <w:vAlign w:val="bottom"/>
            <w:hideMark/>
          </w:tcPr>
          <w:p w:rsidR="00574797" w:rsidRPr="00FD5AE7" w:rsidRDefault="00574797" w:rsidP="00574797">
            <w:pPr>
              <w:spacing w:line="240" w:lineRule="auto"/>
              <w:jc w:val="center"/>
              <w:rPr>
                <w:rFonts w:ascii="Calibri" w:hAnsi="Calibri"/>
                <w:color w:val="000000"/>
                <w:sz w:val="10"/>
                <w:szCs w:val="10"/>
              </w:rPr>
            </w:pPr>
            <w:r>
              <w:rPr>
                <w:rFonts w:ascii="Calibri" w:hAnsi="Calibri"/>
                <w:color w:val="000000"/>
                <w:sz w:val="12"/>
                <w:szCs w:val="12"/>
              </w:rPr>
              <w:t xml:space="preserve">                       23.808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20.446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23.278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23.793 </w:t>
            </w:r>
          </w:p>
        </w:tc>
        <w:tc>
          <w:tcPr>
            <w:tcW w:w="346"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26.329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24.086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25.761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26.229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23.876 </w:t>
            </w:r>
          </w:p>
        </w:tc>
        <w:tc>
          <w:tcPr>
            <w:tcW w:w="361"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27.138 </w:t>
            </w:r>
          </w:p>
        </w:tc>
        <w:tc>
          <w:tcPr>
            <w:tcW w:w="351"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23.637 </w:t>
            </w:r>
          </w:p>
        </w:tc>
        <w:tc>
          <w:tcPr>
            <w:tcW w:w="348"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25.066 </w:t>
            </w:r>
          </w:p>
        </w:tc>
      </w:tr>
      <w:tr w:rsidR="00574797" w:rsidRPr="00FD5AE7" w:rsidTr="00574797">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rsidR="00574797" w:rsidRPr="00FD5AE7" w:rsidRDefault="00574797" w:rsidP="00574797">
            <w:pPr>
              <w:jc w:val="left"/>
              <w:rPr>
                <w:rFonts w:ascii="Calibri" w:hAnsi="Calibri"/>
                <w:color w:val="000000"/>
                <w:sz w:val="10"/>
                <w:szCs w:val="10"/>
              </w:rPr>
            </w:pPr>
            <w:r>
              <w:rPr>
                <w:rFonts w:ascii="Calibri" w:hAnsi="Calibri"/>
                <w:color w:val="000000"/>
                <w:sz w:val="12"/>
                <w:szCs w:val="12"/>
              </w:rPr>
              <w:t>Win  Enero 2016-Diciembre 2016 ($ millones)</w:t>
            </w:r>
          </w:p>
        </w:tc>
        <w:tc>
          <w:tcPr>
            <w:tcW w:w="405" w:type="pct"/>
            <w:gridSpan w:val="2"/>
            <w:tcBorders>
              <w:top w:val="nil"/>
              <w:left w:val="single" w:sz="8" w:space="0" w:color="auto"/>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25.785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23.933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25.473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25.472 </w:t>
            </w:r>
          </w:p>
        </w:tc>
        <w:tc>
          <w:tcPr>
            <w:tcW w:w="346"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26.801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24.918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27.565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26.945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25.789 </w:t>
            </w:r>
          </w:p>
        </w:tc>
        <w:tc>
          <w:tcPr>
            <w:tcW w:w="361"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26.974 </w:t>
            </w:r>
          </w:p>
        </w:tc>
        <w:tc>
          <w:tcPr>
            <w:tcW w:w="351"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23.653 </w:t>
            </w:r>
          </w:p>
        </w:tc>
        <w:tc>
          <w:tcPr>
            <w:tcW w:w="348"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25.276 </w:t>
            </w:r>
          </w:p>
        </w:tc>
      </w:tr>
      <w:tr w:rsidR="00574797" w:rsidRPr="00FD5AE7" w:rsidTr="00574797">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rsidR="00574797" w:rsidRPr="00FD5AE7" w:rsidRDefault="00574797" w:rsidP="00574797">
            <w:pPr>
              <w:jc w:val="left"/>
              <w:rPr>
                <w:rFonts w:ascii="Calibri" w:hAnsi="Calibri"/>
                <w:color w:val="000000"/>
                <w:sz w:val="10"/>
                <w:szCs w:val="10"/>
              </w:rPr>
            </w:pPr>
            <w:r>
              <w:rPr>
                <w:rFonts w:ascii="Calibri" w:hAnsi="Calibri"/>
                <w:color w:val="000000"/>
                <w:sz w:val="12"/>
                <w:szCs w:val="12"/>
              </w:rPr>
              <w:t>Crecimiento Win Nominal</w:t>
            </w:r>
          </w:p>
        </w:tc>
        <w:tc>
          <w:tcPr>
            <w:tcW w:w="405" w:type="pct"/>
            <w:gridSpan w:val="2"/>
            <w:tcBorders>
              <w:top w:val="nil"/>
              <w:left w:val="single" w:sz="8" w:space="0" w:color="auto"/>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8,3%</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17,1%</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9,4%</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7,1%</w:t>
            </w:r>
          </w:p>
        </w:tc>
        <w:tc>
          <w:tcPr>
            <w:tcW w:w="346"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1,8%</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3,5%</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7,0%</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2,7%</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8,0%</w:t>
            </w:r>
          </w:p>
        </w:tc>
        <w:tc>
          <w:tcPr>
            <w:tcW w:w="361"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-0,6%</w:t>
            </w:r>
          </w:p>
        </w:tc>
        <w:tc>
          <w:tcPr>
            <w:tcW w:w="351"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0,1%</w:t>
            </w:r>
          </w:p>
        </w:tc>
        <w:tc>
          <w:tcPr>
            <w:tcW w:w="348"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0,8%</w:t>
            </w:r>
          </w:p>
        </w:tc>
      </w:tr>
      <w:tr w:rsidR="00FB3D8B" w:rsidRPr="00FD5AE7" w:rsidTr="00574797">
        <w:trPr>
          <w:trHeight w:val="397"/>
        </w:trPr>
        <w:tc>
          <w:tcPr>
            <w:tcW w:w="4652"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FB3D8B" w:rsidRPr="00FD5AE7" w:rsidRDefault="00FB3D8B" w:rsidP="00DE53E5">
            <w:pPr>
              <w:spacing w:line="240" w:lineRule="auto"/>
              <w:jc w:val="left"/>
              <w:rPr>
                <w:rFonts w:ascii="Calibri" w:hAnsi="Calibri"/>
                <w:bCs/>
                <w:color w:val="000000"/>
                <w:sz w:val="10"/>
                <w:szCs w:val="10"/>
              </w:rPr>
            </w:pPr>
            <w:r w:rsidRPr="00FD5AE7">
              <w:rPr>
                <w:rFonts w:ascii="Calibri" w:hAnsi="Calibri"/>
                <w:bCs/>
                <w:color w:val="000000"/>
                <w:sz w:val="10"/>
                <w:szCs w:val="10"/>
              </w:rPr>
              <w:t>Crecimiento Win Nominal (Anual)</w:t>
            </w:r>
          </w:p>
        </w:tc>
        <w:tc>
          <w:tcPr>
            <w:tcW w:w="348" w:type="pct"/>
            <w:tcBorders>
              <w:top w:val="nil"/>
              <w:left w:val="nil"/>
              <w:bottom w:val="single" w:sz="8" w:space="0" w:color="auto"/>
              <w:right w:val="single" w:sz="8" w:space="0" w:color="auto"/>
            </w:tcBorders>
            <w:shd w:val="clear" w:color="000000" w:fill="DCE6F1"/>
            <w:noWrap/>
            <w:vAlign w:val="center"/>
            <w:hideMark/>
          </w:tcPr>
          <w:p w:rsidR="00FB3D8B" w:rsidRPr="00FD5AE7" w:rsidRDefault="00574797" w:rsidP="004843DA">
            <w:pPr>
              <w:jc w:val="center"/>
              <w:rPr>
                <w:rFonts w:ascii="Calibri" w:hAnsi="Calibri"/>
                <w:color w:val="000000"/>
                <w:sz w:val="10"/>
                <w:szCs w:val="10"/>
              </w:rPr>
            </w:pPr>
            <w:r>
              <w:rPr>
                <w:rFonts w:ascii="Calibri" w:hAnsi="Calibri"/>
                <w:color w:val="000000"/>
                <w:sz w:val="10"/>
                <w:szCs w:val="10"/>
              </w:rPr>
              <w:t>5,2</w:t>
            </w:r>
            <w:r w:rsidR="004F66A2">
              <w:rPr>
                <w:rFonts w:ascii="Calibri" w:hAnsi="Calibri"/>
                <w:color w:val="000000"/>
                <w:sz w:val="10"/>
                <w:szCs w:val="10"/>
              </w:rPr>
              <w:t>%</w:t>
            </w:r>
          </w:p>
        </w:tc>
      </w:tr>
      <w:tr w:rsidR="00FB3D8B" w:rsidRPr="00FD5AE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D5AE7">
              <w:rPr>
                <w:rFonts w:ascii="Calibri" w:eastAsia="Times New Roman" w:hAnsi="Calibri" w:cs="Times New Roman"/>
                <w:b/>
                <w:bCs/>
                <w:color w:val="FFFFFF"/>
                <w:sz w:val="10"/>
                <w:szCs w:val="10"/>
                <w:lang w:val="es-ES" w:eastAsia="es-ES"/>
              </w:rPr>
              <w:t>Ingresos brutos del juego o win UF)</w:t>
            </w:r>
          </w:p>
        </w:tc>
      </w:tr>
      <w:tr w:rsidR="00FB3D8B" w:rsidRPr="00FD5AE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D5AE7">
              <w:rPr>
                <w:rFonts w:ascii="Calibri" w:eastAsia="Times New Roman" w:hAnsi="Calibri" w:cs="Times New Roman"/>
                <w:b/>
                <w:bCs/>
                <w:color w:val="FFFFFF"/>
                <w:sz w:val="10"/>
                <w:szCs w:val="10"/>
                <w:lang w:val="es-ES" w:eastAsia="es-ES"/>
              </w:rPr>
              <w:t>VALORES REALES</w:t>
            </w:r>
          </w:p>
        </w:tc>
      </w:tr>
      <w:tr w:rsidR="00574797" w:rsidRPr="00FD5AE7" w:rsidTr="00574797">
        <w:trPr>
          <w:trHeight w:val="397"/>
        </w:trPr>
        <w:tc>
          <w:tcPr>
            <w:tcW w:w="760" w:type="pct"/>
            <w:gridSpan w:val="2"/>
            <w:tcBorders>
              <w:top w:val="nil"/>
              <w:left w:val="single" w:sz="8" w:space="0" w:color="auto"/>
              <w:bottom w:val="single" w:sz="8" w:space="0" w:color="auto"/>
              <w:right w:val="single" w:sz="8" w:space="0" w:color="auto"/>
            </w:tcBorders>
            <w:shd w:val="clear" w:color="000000" w:fill="DCE6F1"/>
            <w:noWrap/>
            <w:vAlign w:val="bottom"/>
            <w:hideMark/>
          </w:tcPr>
          <w:p w:rsidR="00574797" w:rsidRPr="00FD5AE7" w:rsidRDefault="00574797" w:rsidP="00574797">
            <w:pPr>
              <w:spacing w:line="240" w:lineRule="auto"/>
              <w:jc w:val="left"/>
              <w:rPr>
                <w:rFonts w:ascii="Calibri" w:hAnsi="Calibri"/>
                <w:color w:val="000000"/>
                <w:sz w:val="10"/>
                <w:szCs w:val="10"/>
              </w:rPr>
            </w:pPr>
            <w:r>
              <w:rPr>
                <w:rFonts w:ascii="Calibri" w:hAnsi="Calibri"/>
                <w:color w:val="000000"/>
                <w:sz w:val="12"/>
                <w:szCs w:val="12"/>
              </w:rPr>
              <w:t>Win  Enero 2015-Diciembre 2015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rsidR="00574797" w:rsidRPr="00FD5AE7" w:rsidRDefault="00574797" w:rsidP="00574797">
            <w:pPr>
              <w:spacing w:line="240" w:lineRule="auto"/>
              <w:jc w:val="center"/>
              <w:rPr>
                <w:rFonts w:ascii="Calibri" w:hAnsi="Calibri"/>
                <w:color w:val="000000"/>
                <w:sz w:val="10"/>
                <w:szCs w:val="10"/>
              </w:rPr>
            </w:pPr>
            <w:r>
              <w:rPr>
                <w:rFonts w:ascii="Calibri" w:hAnsi="Calibri"/>
                <w:color w:val="000000"/>
                <w:sz w:val="12"/>
                <w:szCs w:val="12"/>
              </w:rPr>
              <w:t xml:space="preserve">                     969.481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833.010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945.404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961.168 </w:t>
            </w:r>
          </w:p>
        </w:tc>
        <w:tc>
          <w:tcPr>
            <w:tcW w:w="346"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1.057.203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964.108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1.026.893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1.041.055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941.970 </w:t>
            </w:r>
          </w:p>
        </w:tc>
        <w:tc>
          <w:tcPr>
            <w:tcW w:w="361"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1.064.658 </w:t>
            </w:r>
          </w:p>
        </w:tc>
        <w:tc>
          <w:tcPr>
            <w:tcW w:w="351"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923.372 </w:t>
            </w:r>
          </w:p>
        </w:tc>
        <w:tc>
          <w:tcPr>
            <w:tcW w:w="348"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978.021 </w:t>
            </w:r>
          </w:p>
        </w:tc>
      </w:tr>
      <w:tr w:rsidR="00574797" w:rsidRPr="00FD5AE7" w:rsidTr="00574797">
        <w:trPr>
          <w:trHeight w:val="397"/>
        </w:trPr>
        <w:tc>
          <w:tcPr>
            <w:tcW w:w="760" w:type="pct"/>
            <w:gridSpan w:val="2"/>
            <w:tcBorders>
              <w:top w:val="nil"/>
              <w:left w:val="single" w:sz="8" w:space="0" w:color="auto"/>
              <w:bottom w:val="single" w:sz="8" w:space="0" w:color="auto"/>
              <w:right w:val="single" w:sz="8" w:space="0" w:color="auto"/>
            </w:tcBorders>
            <w:shd w:val="clear" w:color="000000" w:fill="DCE6F1"/>
            <w:noWrap/>
            <w:vAlign w:val="bottom"/>
            <w:hideMark/>
          </w:tcPr>
          <w:p w:rsidR="00574797" w:rsidRPr="00FD5AE7" w:rsidRDefault="00574797" w:rsidP="00574797">
            <w:pPr>
              <w:jc w:val="left"/>
              <w:rPr>
                <w:rFonts w:ascii="Calibri" w:hAnsi="Calibri"/>
                <w:color w:val="000000"/>
                <w:sz w:val="10"/>
                <w:szCs w:val="10"/>
              </w:rPr>
            </w:pPr>
            <w:r>
              <w:rPr>
                <w:rFonts w:ascii="Calibri" w:hAnsi="Calibri"/>
                <w:color w:val="000000"/>
                <w:sz w:val="12"/>
                <w:szCs w:val="12"/>
              </w:rPr>
              <w:t>Win  Enero 2016-Diciembre 2016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1.006.072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930.609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986.864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983.225 </w:t>
            </w:r>
          </w:p>
        </w:tc>
        <w:tc>
          <w:tcPr>
            <w:tcW w:w="346"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1.031.081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956.484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1.054.459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1.028.064 </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983.407 </w:t>
            </w:r>
          </w:p>
        </w:tc>
        <w:tc>
          <w:tcPr>
            <w:tcW w:w="361"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1.027.149 </w:t>
            </w:r>
          </w:p>
        </w:tc>
        <w:tc>
          <w:tcPr>
            <w:tcW w:w="351"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898.880 </w:t>
            </w:r>
          </w:p>
        </w:tc>
        <w:tc>
          <w:tcPr>
            <w:tcW w:w="348" w:type="pct"/>
            <w:tcBorders>
              <w:top w:val="nil"/>
              <w:left w:val="nil"/>
              <w:bottom w:val="single" w:sz="8" w:space="0" w:color="auto"/>
              <w:right w:val="single" w:sz="8" w:space="0" w:color="auto"/>
            </w:tcBorders>
            <w:shd w:val="clear" w:color="000000" w:fill="DCE6F1"/>
            <w:noWrap/>
            <w:vAlign w:val="bottom"/>
            <w:hideMark/>
          </w:tcPr>
          <w:p w:rsidR="00574797" w:rsidRPr="00FD5AE7" w:rsidRDefault="00574797" w:rsidP="00574797">
            <w:pPr>
              <w:jc w:val="center"/>
              <w:rPr>
                <w:rFonts w:ascii="Calibri" w:hAnsi="Calibri"/>
                <w:color w:val="000000"/>
                <w:sz w:val="10"/>
                <w:szCs w:val="10"/>
              </w:rPr>
            </w:pPr>
            <w:r>
              <w:rPr>
                <w:rFonts w:ascii="Calibri" w:hAnsi="Calibri"/>
                <w:color w:val="000000"/>
                <w:sz w:val="12"/>
                <w:szCs w:val="12"/>
              </w:rPr>
              <w:t xml:space="preserve">                     959.328 </w:t>
            </w:r>
          </w:p>
        </w:tc>
      </w:tr>
      <w:tr w:rsidR="00574797" w:rsidRPr="00FD5AE7" w:rsidTr="00574797">
        <w:trPr>
          <w:trHeight w:val="397"/>
        </w:trPr>
        <w:tc>
          <w:tcPr>
            <w:tcW w:w="760" w:type="pct"/>
            <w:gridSpan w:val="2"/>
            <w:tcBorders>
              <w:top w:val="nil"/>
              <w:left w:val="single" w:sz="8" w:space="0" w:color="auto"/>
              <w:bottom w:val="single" w:sz="8" w:space="0" w:color="auto"/>
              <w:right w:val="single" w:sz="8" w:space="0" w:color="auto"/>
            </w:tcBorders>
            <w:shd w:val="clear" w:color="000000" w:fill="DCE6F1"/>
            <w:noWrap/>
            <w:vAlign w:val="bottom"/>
            <w:hideMark/>
          </w:tcPr>
          <w:p w:rsidR="00574797" w:rsidRPr="00FD5AE7" w:rsidRDefault="00574797" w:rsidP="00574797">
            <w:pPr>
              <w:jc w:val="left"/>
              <w:rPr>
                <w:rFonts w:ascii="Calibri" w:hAnsi="Calibri"/>
                <w:bCs/>
                <w:color w:val="000000"/>
                <w:sz w:val="10"/>
                <w:szCs w:val="10"/>
              </w:rPr>
            </w:pPr>
            <w:r>
              <w:rPr>
                <w:rFonts w:ascii="Calibri" w:hAnsi="Calibri"/>
                <w:b/>
                <w:bCs/>
                <w:color w:val="000000"/>
                <w:sz w:val="12"/>
                <w:szCs w:val="12"/>
              </w:rPr>
              <w:t>Crecimiento Win Real</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rsidR="00574797" w:rsidRPr="000C1CF5" w:rsidRDefault="00574797" w:rsidP="00574797">
            <w:pPr>
              <w:jc w:val="center"/>
              <w:rPr>
                <w:rFonts w:ascii="Calibri" w:hAnsi="Calibri"/>
                <w:color w:val="000000"/>
                <w:sz w:val="16"/>
                <w:szCs w:val="10"/>
              </w:rPr>
            </w:pPr>
            <w:r w:rsidRPr="000C1CF5">
              <w:rPr>
                <w:rFonts w:ascii="Calibri" w:hAnsi="Calibri"/>
                <w:color w:val="000000"/>
                <w:sz w:val="16"/>
                <w:szCs w:val="12"/>
              </w:rPr>
              <w:t>3,8%</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0C1CF5" w:rsidRDefault="00574797" w:rsidP="00574797">
            <w:pPr>
              <w:jc w:val="center"/>
              <w:rPr>
                <w:rFonts w:ascii="Calibri" w:hAnsi="Calibri"/>
                <w:color w:val="000000"/>
                <w:sz w:val="16"/>
                <w:szCs w:val="10"/>
              </w:rPr>
            </w:pPr>
            <w:r w:rsidRPr="000C1CF5">
              <w:rPr>
                <w:rFonts w:ascii="Calibri" w:hAnsi="Calibri"/>
                <w:color w:val="000000"/>
                <w:sz w:val="16"/>
                <w:szCs w:val="12"/>
              </w:rPr>
              <w:t>11,7%</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0C1CF5" w:rsidRDefault="00574797" w:rsidP="00574797">
            <w:pPr>
              <w:jc w:val="center"/>
              <w:rPr>
                <w:rFonts w:ascii="Calibri" w:hAnsi="Calibri"/>
                <w:color w:val="000000"/>
                <w:sz w:val="16"/>
                <w:szCs w:val="10"/>
              </w:rPr>
            </w:pPr>
            <w:r w:rsidRPr="000C1CF5">
              <w:rPr>
                <w:rFonts w:ascii="Calibri" w:hAnsi="Calibri"/>
                <w:color w:val="000000"/>
                <w:sz w:val="16"/>
                <w:szCs w:val="12"/>
              </w:rPr>
              <w:t>4,4%</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0C1CF5" w:rsidRDefault="00574797" w:rsidP="00574797">
            <w:pPr>
              <w:jc w:val="center"/>
              <w:rPr>
                <w:rFonts w:ascii="Calibri" w:hAnsi="Calibri"/>
                <w:color w:val="000000"/>
                <w:sz w:val="16"/>
                <w:szCs w:val="10"/>
              </w:rPr>
            </w:pPr>
            <w:r w:rsidRPr="000C1CF5">
              <w:rPr>
                <w:rFonts w:ascii="Calibri" w:hAnsi="Calibri"/>
                <w:color w:val="000000"/>
                <w:sz w:val="16"/>
                <w:szCs w:val="12"/>
              </w:rPr>
              <w:t>2,3%</w:t>
            </w:r>
          </w:p>
        </w:tc>
        <w:tc>
          <w:tcPr>
            <w:tcW w:w="346" w:type="pct"/>
            <w:tcBorders>
              <w:top w:val="nil"/>
              <w:left w:val="nil"/>
              <w:bottom w:val="single" w:sz="8" w:space="0" w:color="auto"/>
              <w:right w:val="single" w:sz="8" w:space="0" w:color="auto"/>
            </w:tcBorders>
            <w:shd w:val="clear" w:color="000000" w:fill="DCE6F1"/>
            <w:noWrap/>
            <w:vAlign w:val="bottom"/>
            <w:hideMark/>
          </w:tcPr>
          <w:p w:rsidR="00574797" w:rsidRPr="000C1CF5" w:rsidRDefault="00574797" w:rsidP="00574797">
            <w:pPr>
              <w:jc w:val="center"/>
              <w:rPr>
                <w:rFonts w:ascii="Calibri" w:hAnsi="Calibri"/>
                <w:color w:val="000000"/>
                <w:sz w:val="16"/>
                <w:szCs w:val="10"/>
              </w:rPr>
            </w:pPr>
            <w:r w:rsidRPr="000C1CF5">
              <w:rPr>
                <w:rFonts w:ascii="Calibri" w:hAnsi="Calibri"/>
                <w:color w:val="000000"/>
                <w:sz w:val="16"/>
                <w:szCs w:val="12"/>
              </w:rPr>
              <w:t>-2,5%</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0C1CF5" w:rsidRDefault="00574797" w:rsidP="00574797">
            <w:pPr>
              <w:jc w:val="center"/>
              <w:rPr>
                <w:rFonts w:ascii="Calibri" w:hAnsi="Calibri"/>
                <w:color w:val="000000"/>
                <w:sz w:val="16"/>
                <w:szCs w:val="10"/>
              </w:rPr>
            </w:pPr>
            <w:r w:rsidRPr="000C1CF5">
              <w:rPr>
                <w:rFonts w:ascii="Calibri" w:hAnsi="Calibri"/>
                <w:color w:val="000000"/>
                <w:sz w:val="16"/>
                <w:szCs w:val="12"/>
              </w:rPr>
              <w:t>-0,8%</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0C1CF5" w:rsidRDefault="00574797" w:rsidP="00574797">
            <w:pPr>
              <w:jc w:val="center"/>
              <w:rPr>
                <w:rFonts w:ascii="Calibri" w:hAnsi="Calibri"/>
                <w:color w:val="000000"/>
                <w:sz w:val="16"/>
                <w:szCs w:val="10"/>
              </w:rPr>
            </w:pPr>
            <w:r w:rsidRPr="000C1CF5">
              <w:rPr>
                <w:rFonts w:ascii="Calibri" w:hAnsi="Calibri"/>
                <w:color w:val="000000"/>
                <w:sz w:val="16"/>
                <w:szCs w:val="12"/>
              </w:rPr>
              <w:t>2,7%</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0C1CF5" w:rsidRDefault="00574797" w:rsidP="00574797">
            <w:pPr>
              <w:jc w:val="center"/>
              <w:rPr>
                <w:rFonts w:ascii="Calibri" w:hAnsi="Calibri"/>
                <w:color w:val="000000"/>
                <w:sz w:val="16"/>
                <w:szCs w:val="10"/>
              </w:rPr>
            </w:pPr>
            <w:r w:rsidRPr="000C1CF5">
              <w:rPr>
                <w:rFonts w:ascii="Calibri" w:hAnsi="Calibri"/>
                <w:color w:val="000000"/>
                <w:sz w:val="16"/>
                <w:szCs w:val="12"/>
              </w:rPr>
              <w:t>-1,2%</w:t>
            </w:r>
          </w:p>
        </w:tc>
        <w:tc>
          <w:tcPr>
            <w:tcW w:w="353" w:type="pct"/>
            <w:tcBorders>
              <w:top w:val="nil"/>
              <w:left w:val="nil"/>
              <w:bottom w:val="single" w:sz="8" w:space="0" w:color="auto"/>
              <w:right w:val="single" w:sz="8" w:space="0" w:color="auto"/>
            </w:tcBorders>
            <w:shd w:val="clear" w:color="000000" w:fill="DCE6F1"/>
            <w:noWrap/>
            <w:vAlign w:val="bottom"/>
            <w:hideMark/>
          </w:tcPr>
          <w:p w:rsidR="00574797" w:rsidRPr="000C1CF5" w:rsidRDefault="00574797" w:rsidP="00574797">
            <w:pPr>
              <w:jc w:val="center"/>
              <w:rPr>
                <w:rFonts w:ascii="Calibri" w:hAnsi="Calibri"/>
                <w:color w:val="000000"/>
                <w:sz w:val="16"/>
                <w:szCs w:val="10"/>
              </w:rPr>
            </w:pPr>
            <w:r w:rsidRPr="000C1CF5">
              <w:rPr>
                <w:rFonts w:ascii="Calibri" w:hAnsi="Calibri"/>
                <w:color w:val="000000"/>
                <w:sz w:val="16"/>
                <w:szCs w:val="12"/>
              </w:rPr>
              <w:t>4,4%</w:t>
            </w:r>
          </w:p>
        </w:tc>
        <w:tc>
          <w:tcPr>
            <w:tcW w:w="361" w:type="pct"/>
            <w:tcBorders>
              <w:top w:val="nil"/>
              <w:left w:val="nil"/>
              <w:bottom w:val="single" w:sz="8" w:space="0" w:color="auto"/>
              <w:right w:val="single" w:sz="8" w:space="0" w:color="auto"/>
            </w:tcBorders>
            <w:shd w:val="clear" w:color="000000" w:fill="DCE6F1"/>
            <w:noWrap/>
            <w:vAlign w:val="bottom"/>
            <w:hideMark/>
          </w:tcPr>
          <w:p w:rsidR="00574797" w:rsidRPr="000C1CF5" w:rsidRDefault="00574797" w:rsidP="00574797">
            <w:pPr>
              <w:jc w:val="center"/>
              <w:rPr>
                <w:rFonts w:ascii="Calibri" w:hAnsi="Calibri"/>
                <w:color w:val="000000"/>
                <w:sz w:val="16"/>
                <w:szCs w:val="10"/>
              </w:rPr>
            </w:pPr>
            <w:r w:rsidRPr="000C1CF5">
              <w:rPr>
                <w:rFonts w:ascii="Calibri" w:hAnsi="Calibri"/>
                <w:color w:val="000000"/>
                <w:sz w:val="16"/>
                <w:szCs w:val="12"/>
              </w:rPr>
              <w:t>-3,5%</w:t>
            </w:r>
          </w:p>
        </w:tc>
        <w:tc>
          <w:tcPr>
            <w:tcW w:w="351" w:type="pct"/>
            <w:tcBorders>
              <w:top w:val="nil"/>
              <w:left w:val="nil"/>
              <w:bottom w:val="single" w:sz="8" w:space="0" w:color="auto"/>
              <w:right w:val="single" w:sz="8" w:space="0" w:color="auto"/>
            </w:tcBorders>
            <w:shd w:val="clear" w:color="000000" w:fill="DCE6F1"/>
            <w:noWrap/>
            <w:vAlign w:val="bottom"/>
            <w:hideMark/>
          </w:tcPr>
          <w:p w:rsidR="00574797" w:rsidRPr="000C1CF5" w:rsidRDefault="00574797" w:rsidP="00574797">
            <w:pPr>
              <w:jc w:val="center"/>
              <w:rPr>
                <w:rFonts w:ascii="Calibri" w:hAnsi="Calibri"/>
                <w:color w:val="000000"/>
                <w:sz w:val="16"/>
                <w:szCs w:val="10"/>
              </w:rPr>
            </w:pPr>
            <w:r w:rsidRPr="000C1CF5">
              <w:rPr>
                <w:rFonts w:ascii="Calibri" w:hAnsi="Calibri"/>
                <w:color w:val="000000"/>
                <w:sz w:val="16"/>
                <w:szCs w:val="12"/>
              </w:rPr>
              <w:t>-2,7%</w:t>
            </w:r>
          </w:p>
        </w:tc>
        <w:tc>
          <w:tcPr>
            <w:tcW w:w="348" w:type="pct"/>
            <w:tcBorders>
              <w:top w:val="nil"/>
              <w:left w:val="nil"/>
              <w:bottom w:val="single" w:sz="8" w:space="0" w:color="auto"/>
              <w:right w:val="single" w:sz="8" w:space="0" w:color="auto"/>
            </w:tcBorders>
            <w:shd w:val="clear" w:color="000000" w:fill="DCE6F1"/>
            <w:noWrap/>
            <w:vAlign w:val="bottom"/>
            <w:hideMark/>
          </w:tcPr>
          <w:p w:rsidR="00574797" w:rsidRPr="000C1CF5" w:rsidRDefault="00574797" w:rsidP="00574797">
            <w:pPr>
              <w:jc w:val="center"/>
              <w:rPr>
                <w:rFonts w:ascii="Calibri" w:hAnsi="Calibri"/>
                <w:color w:val="000000"/>
                <w:sz w:val="16"/>
                <w:szCs w:val="10"/>
              </w:rPr>
            </w:pPr>
            <w:r w:rsidRPr="000C1CF5">
              <w:rPr>
                <w:rFonts w:ascii="Calibri" w:hAnsi="Calibri"/>
                <w:color w:val="000000"/>
                <w:sz w:val="16"/>
                <w:szCs w:val="12"/>
              </w:rPr>
              <w:t>-1,9%</w:t>
            </w:r>
          </w:p>
        </w:tc>
      </w:tr>
      <w:tr w:rsidR="00FB3D8B" w:rsidRPr="00FD5AE7" w:rsidTr="00574797">
        <w:trPr>
          <w:trHeight w:val="397"/>
        </w:trPr>
        <w:tc>
          <w:tcPr>
            <w:tcW w:w="4652"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FB3D8B" w:rsidRPr="000C1CF5" w:rsidRDefault="00FB3D8B" w:rsidP="00DE53E5">
            <w:pPr>
              <w:spacing w:line="240" w:lineRule="auto"/>
              <w:jc w:val="left"/>
              <w:rPr>
                <w:rFonts w:ascii="Calibri" w:hAnsi="Calibri"/>
                <w:bCs/>
                <w:color w:val="000000"/>
                <w:sz w:val="16"/>
                <w:szCs w:val="10"/>
              </w:rPr>
            </w:pPr>
            <w:r w:rsidRPr="000C1CF5">
              <w:rPr>
                <w:rFonts w:ascii="Calibri" w:hAnsi="Calibri"/>
                <w:bCs/>
                <w:color w:val="000000"/>
                <w:sz w:val="16"/>
                <w:szCs w:val="10"/>
              </w:rPr>
              <w:t>Crecimiento Win Anual Real</w:t>
            </w:r>
          </w:p>
        </w:tc>
        <w:tc>
          <w:tcPr>
            <w:tcW w:w="348" w:type="pct"/>
            <w:tcBorders>
              <w:top w:val="nil"/>
              <w:left w:val="nil"/>
              <w:bottom w:val="single" w:sz="8" w:space="0" w:color="auto"/>
              <w:right w:val="single" w:sz="8" w:space="0" w:color="auto"/>
            </w:tcBorders>
            <w:shd w:val="clear" w:color="000000" w:fill="DCE6F1"/>
            <w:noWrap/>
            <w:vAlign w:val="center"/>
            <w:hideMark/>
          </w:tcPr>
          <w:p w:rsidR="00FB3D8B" w:rsidRPr="000C1CF5" w:rsidRDefault="004F66A2" w:rsidP="00574797">
            <w:pPr>
              <w:jc w:val="center"/>
              <w:rPr>
                <w:rFonts w:ascii="Calibri" w:hAnsi="Calibri"/>
                <w:color w:val="000000"/>
                <w:sz w:val="16"/>
                <w:szCs w:val="10"/>
              </w:rPr>
            </w:pPr>
            <w:r w:rsidRPr="000C1CF5">
              <w:rPr>
                <w:rFonts w:ascii="Calibri" w:hAnsi="Calibri"/>
                <w:color w:val="000000"/>
                <w:sz w:val="16"/>
                <w:szCs w:val="10"/>
              </w:rPr>
              <w:t>1</w:t>
            </w:r>
            <w:r w:rsidR="00FB3D8B" w:rsidRPr="000C1CF5">
              <w:rPr>
                <w:rFonts w:ascii="Calibri" w:hAnsi="Calibri"/>
                <w:color w:val="000000"/>
                <w:sz w:val="16"/>
                <w:szCs w:val="10"/>
              </w:rPr>
              <w:t>,</w:t>
            </w:r>
            <w:r w:rsidR="00574797" w:rsidRPr="000C1CF5">
              <w:rPr>
                <w:rFonts w:ascii="Calibri" w:hAnsi="Calibri"/>
                <w:color w:val="000000"/>
                <w:sz w:val="16"/>
                <w:szCs w:val="10"/>
              </w:rPr>
              <w:t>2</w:t>
            </w:r>
            <w:r w:rsidR="00FB3D8B" w:rsidRPr="000C1CF5">
              <w:rPr>
                <w:rFonts w:ascii="Calibri" w:hAnsi="Calibri"/>
                <w:color w:val="000000"/>
                <w:sz w:val="16"/>
                <w:szCs w:val="10"/>
              </w:rPr>
              <w:t>%</w:t>
            </w:r>
          </w:p>
        </w:tc>
      </w:tr>
    </w:tbl>
    <w:p w:rsidR="005B1CCB" w:rsidRDefault="005B1CCB" w:rsidP="00FB3D8B">
      <w:pPr>
        <w:tabs>
          <w:tab w:val="left" w:pos="0"/>
        </w:tabs>
        <w:ind w:left="-284"/>
        <w:rPr>
          <w:b/>
          <w:sz w:val="18"/>
          <w:szCs w:val="18"/>
        </w:rPr>
      </w:pPr>
    </w:p>
    <w:p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que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rsidR="00196290" w:rsidRDefault="00196290" w:rsidP="00FB3D8B">
      <w:pPr>
        <w:tabs>
          <w:tab w:val="left" w:pos="0"/>
        </w:tabs>
        <w:ind w:left="-284"/>
        <w:rPr>
          <w:sz w:val="18"/>
          <w:szCs w:val="18"/>
          <w:lang w:val="es-ES"/>
        </w:rPr>
      </w:pPr>
    </w:p>
    <w:p w:rsidR="00FB3D8B" w:rsidRDefault="00FB3D8B" w:rsidP="00FB3D8B">
      <w:pPr>
        <w:pStyle w:val="Prrafodelista"/>
        <w:numPr>
          <w:ilvl w:val="0"/>
          <w:numId w:val="1"/>
        </w:numPr>
        <w:tabs>
          <w:tab w:val="left" w:pos="0"/>
          <w:tab w:val="left" w:pos="6285"/>
        </w:tabs>
        <w:ind w:left="0"/>
        <w:jc w:val="left"/>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2014-2016</w:t>
      </w:r>
    </w:p>
    <w:p w:rsidR="00196290" w:rsidRDefault="00196290" w:rsidP="00196290">
      <w:pPr>
        <w:pStyle w:val="Prrafodelista"/>
        <w:tabs>
          <w:tab w:val="left" w:pos="0"/>
          <w:tab w:val="left" w:pos="6285"/>
        </w:tabs>
        <w:ind w:left="0"/>
        <w:jc w:val="left"/>
        <w:rPr>
          <w:b/>
        </w:rPr>
      </w:pPr>
    </w:p>
    <w:p w:rsidR="00FB3D8B" w:rsidRDefault="00574797" w:rsidP="00196290">
      <w:pPr>
        <w:tabs>
          <w:tab w:val="left" w:pos="0"/>
          <w:tab w:val="left" w:pos="6285"/>
        </w:tabs>
        <w:ind w:hanging="567"/>
      </w:pPr>
      <w:r>
        <w:rPr>
          <w:noProof/>
          <w:lang w:eastAsia="es-CL"/>
        </w:rPr>
        <w:drawing>
          <wp:inline distT="0" distB="0" distL="0" distR="0" wp14:anchorId="7212A5C5" wp14:editId="055457F5">
            <wp:extent cx="6151771" cy="2179320"/>
            <wp:effectExtent l="0" t="0" r="190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70596" cy="2185989"/>
                    </a:xfrm>
                    <a:prstGeom prst="rect">
                      <a:avLst/>
                    </a:prstGeom>
                    <a:noFill/>
                  </pic:spPr>
                </pic:pic>
              </a:graphicData>
            </a:graphic>
          </wp:inline>
        </w:drawing>
      </w:r>
    </w:p>
    <w:p w:rsidR="00AC7932" w:rsidRDefault="00AC7932" w:rsidP="00196290">
      <w:pPr>
        <w:tabs>
          <w:tab w:val="left" w:pos="0"/>
          <w:tab w:val="left" w:pos="6285"/>
        </w:tabs>
        <w:ind w:hanging="567"/>
      </w:pPr>
    </w:p>
    <w:p w:rsidR="00AC7932" w:rsidRDefault="00AC7932" w:rsidP="00196290">
      <w:pPr>
        <w:tabs>
          <w:tab w:val="left" w:pos="0"/>
          <w:tab w:val="left" w:pos="6285"/>
        </w:tabs>
        <w:ind w:hanging="567"/>
      </w:pPr>
    </w:p>
    <w:p w:rsidR="00FB3D8B" w:rsidRDefault="00FB3D8B" w:rsidP="00FB3D8B">
      <w:pPr>
        <w:pStyle w:val="Prrafodelista"/>
        <w:numPr>
          <w:ilvl w:val="0"/>
          <w:numId w:val="1"/>
        </w:numPr>
        <w:tabs>
          <w:tab w:val="left" w:pos="0"/>
          <w:tab w:val="left" w:pos="6285"/>
        </w:tabs>
        <w:ind w:left="0"/>
        <w:jc w:val="left"/>
        <w:rPr>
          <w:b/>
        </w:rPr>
      </w:pPr>
      <w:r w:rsidRPr="002D141C">
        <w:rPr>
          <w:b/>
        </w:rPr>
        <w:lastRenderedPageBreak/>
        <w:t>Evolución IVA, valores reales (UF)</w:t>
      </w:r>
      <w:r>
        <w:rPr>
          <w:b/>
        </w:rPr>
        <w:t>: Año 2014-2016</w:t>
      </w:r>
    </w:p>
    <w:p w:rsidR="00FB3D8B" w:rsidRDefault="00FB3D8B" w:rsidP="00FB3D8B">
      <w:pPr>
        <w:pStyle w:val="Prrafodelista"/>
        <w:tabs>
          <w:tab w:val="left" w:pos="0"/>
          <w:tab w:val="left" w:pos="6285"/>
        </w:tabs>
        <w:ind w:left="0"/>
        <w:jc w:val="left"/>
      </w:pPr>
    </w:p>
    <w:p w:rsidR="00FB3D8B" w:rsidRDefault="00574797" w:rsidP="00FB3D8B">
      <w:pPr>
        <w:pStyle w:val="Prrafodelista"/>
        <w:tabs>
          <w:tab w:val="left" w:pos="0"/>
        </w:tabs>
        <w:ind w:left="0"/>
        <w:jc w:val="left"/>
      </w:pPr>
      <w:r>
        <w:rPr>
          <w:noProof/>
          <w:lang w:eastAsia="es-CL"/>
        </w:rPr>
        <w:drawing>
          <wp:inline distT="0" distB="0" distL="0" distR="0" wp14:anchorId="2FE5FC16" wp14:editId="58B02BFD">
            <wp:extent cx="5746115" cy="2035613"/>
            <wp:effectExtent l="0" t="0" r="6985" b="317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5769" cy="2042575"/>
                    </a:xfrm>
                    <a:prstGeom prst="rect">
                      <a:avLst/>
                    </a:prstGeom>
                    <a:noFill/>
                  </pic:spPr>
                </pic:pic>
              </a:graphicData>
            </a:graphic>
          </wp:inline>
        </w:drawing>
      </w:r>
    </w:p>
    <w:p w:rsidR="00FB3D8B" w:rsidRDefault="00FB3D8B" w:rsidP="00FB3D8B">
      <w:pPr>
        <w:pStyle w:val="Prrafodelista"/>
        <w:tabs>
          <w:tab w:val="left" w:pos="0"/>
          <w:tab w:val="left" w:pos="6285"/>
        </w:tabs>
        <w:ind w:left="0"/>
        <w:jc w:val="left"/>
        <w:rPr>
          <w:b/>
        </w:rPr>
      </w:pPr>
    </w:p>
    <w:p w:rsidR="00FB3D8B" w:rsidRDefault="00FB3D8B" w:rsidP="00FB3D8B">
      <w:pPr>
        <w:pStyle w:val="Prrafodelista"/>
        <w:numPr>
          <w:ilvl w:val="0"/>
          <w:numId w:val="1"/>
        </w:numPr>
        <w:tabs>
          <w:tab w:val="left" w:pos="0"/>
          <w:tab w:val="left" w:pos="6285"/>
        </w:tabs>
        <w:ind w:left="0" w:hanging="426"/>
        <w:jc w:val="left"/>
        <w:rPr>
          <w:b/>
        </w:rPr>
      </w:pPr>
      <w:r w:rsidRPr="002D141C">
        <w:rPr>
          <w:b/>
        </w:rPr>
        <w:t xml:space="preserve">Evolución impuesto </w:t>
      </w:r>
      <w:r>
        <w:rPr>
          <w:b/>
        </w:rPr>
        <w:t>por entradas</w:t>
      </w:r>
      <w:r w:rsidRPr="002D141C">
        <w:rPr>
          <w:b/>
        </w:rPr>
        <w:t>, valores reales (UF)</w:t>
      </w:r>
      <w:r>
        <w:rPr>
          <w:b/>
        </w:rPr>
        <w:t>: Año 2014-2016</w:t>
      </w:r>
    </w:p>
    <w:p w:rsidR="005B1CCB" w:rsidRPr="00E80F2B" w:rsidRDefault="005B1CCB" w:rsidP="005B1CCB">
      <w:pPr>
        <w:pStyle w:val="Prrafodelista"/>
        <w:tabs>
          <w:tab w:val="left" w:pos="0"/>
          <w:tab w:val="left" w:pos="6285"/>
        </w:tabs>
        <w:ind w:left="0"/>
        <w:jc w:val="left"/>
        <w:rPr>
          <w:b/>
        </w:rPr>
      </w:pPr>
    </w:p>
    <w:p w:rsidR="00FB3D8B" w:rsidRDefault="00574797" w:rsidP="00FB3D8B">
      <w:pPr>
        <w:pStyle w:val="Prrafodelista"/>
        <w:tabs>
          <w:tab w:val="left" w:pos="0"/>
          <w:tab w:val="left" w:pos="6285"/>
        </w:tabs>
        <w:ind w:left="0"/>
        <w:jc w:val="left"/>
        <w:rPr>
          <w:b/>
        </w:rPr>
      </w:pPr>
      <w:r>
        <w:rPr>
          <w:b/>
          <w:noProof/>
          <w:lang w:eastAsia="es-CL"/>
        </w:rPr>
        <w:drawing>
          <wp:inline distT="0" distB="0" distL="0" distR="0" wp14:anchorId="2B257EC8" wp14:editId="5B458284">
            <wp:extent cx="5753841" cy="203835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87998" cy="2050450"/>
                    </a:xfrm>
                    <a:prstGeom prst="rect">
                      <a:avLst/>
                    </a:prstGeom>
                    <a:noFill/>
                  </pic:spPr>
                </pic:pic>
              </a:graphicData>
            </a:graphic>
          </wp:inline>
        </w:drawing>
      </w:r>
    </w:p>
    <w:p w:rsidR="00FB3D8B" w:rsidRPr="00E0320F" w:rsidRDefault="00FB3D8B" w:rsidP="00FB3D8B">
      <w:pPr>
        <w:pStyle w:val="Prrafodelista"/>
        <w:tabs>
          <w:tab w:val="left" w:pos="0"/>
          <w:tab w:val="left" w:pos="6285"/>
        </w:tabs>
        <w:ind w:left="0"/>
        <w:jc w:val="left"/>
        <w:rPr>
          <w:b/>
        </w:rPr>
      </w:pPr>
    </w:p>
    <w:p w:rsidR="004843DA" w:rsidRDefault="00FB3D8B" w:rsidP="00FB3D8B">
      <w:pPr>
        <w:pStyle w:val="Prrafodelista"/>
        <w:numPr>
          <w:ilvl w:val="0"/>
          <w:numId w:val="1"/>
        </w:numPr>
        <w:tabs>
          <w:tab w:val="left" w:pos="0"/>
          <w:tab w:val="left" w:pos="6285"/>
        </w:tabs>
        <w:ind w:left="0" w:hanging="426"/>
        <w:jc w:val="left"/>
        <w:rPr>
          <w:b/>
        </w:rPr>
      </w:pPr>
      <w:r w:rsidRPr="00E80F2B">
        <w:rPr>
          <w:b/>
        </w:rPr>
        <w:t>Ingresos brutos del juego o win por casino de juego, valores reales (UF)</w:t>
      </w:r>
      <w:r>
        <w:rPr>
          <w:b/>
        </w:rPr>
        <w:t xml:space="preserve">: </w:t>
      </w:r>
    </w:p>
    <w:p w:rsidR="00FB3D8B" w:rsidRPr="00E80F2B" w:rsidRDefault="000C1CF5" w:rsidP="004843DA">
      <w:pPr>
        <w:pStyle w:val="Prrafodelista"/>
        <w:tabs>
          <w:tab w:val="left" w:pos="0"/>
          <w:tab w:val="left" w:pos="6285"/>
        </w:tabs>
        <w:ind w:left="0"/>
        <w:jc w:val="left"/>
        <w:rPr>
          <w:b/>
        </w:rPr>
      </w:pPr>
      <w:r>
        <w:rPr>
          <w:b/>
        </w:rPr>
        <w:t>Noviembre</w:t>
      </w:r>
      <w:r w:rsidR="00FB3D8B" w:rsidRPr="00E80F2B">
        <w:rPr>
          <w:b/>
        </w:rPr>
        <w:t xml:space="preserve"> -</w:t>
      </w:r>
      <w:r w:rsidR="00FB3D8B">
        <w:rPr>
          <w:b/>
        </w:rPr>
        <w:t xml:space="preserve"> </w:t>
      </w:r>
      <w:r>
        <w:rPr>
          <w:b/>
        </w:rPr>
        <w:t>Diciembre</w:t>
      </w:r>
      <w:r w:rsidR="00FB3D8B" w:rsidRPr="00E80F2B">
        <w:rPr>
          <w:b/>
        </w:rPr>
        <w:t xml:space="preserve"> 2016</w:t>
      </w:r>
    </w:p>
    <w:p w:rsidR="00FB3D8B" w:rsidRPr="000F3DC9" w:rsidRDefault="00FB3D8B" w:rsidP="00FB3D8B">
      <w:pPr>
        <w:pStyle w:val="Prrafodelista"/>
        <w:tabs>
          <w:tab w:val="left" w:pos="0"/>
          <w:tab w:val="left" w:pos="360"/>
          <w:tab w:val="left" w:pos="6285"/>
        </w:tabs>
        <w:ind w:left="0"/>
        <w:jc w:val="left"/>
        <w:rPr>
          <w:sz w:val="20"/>
          <w:szCs w:val="20"/>
        </w:rPr>
      </w:pPr>
    </w:p>
    <w:p w:rsidR="00FB3D8B" w:rsidRDefault="00574797" w:rsidP="004843DA">
      <w:pPr>
        <w:pStyle w:val="Prrafodelista"/>
        <w:tabs>
          <w:tab w:val="left" w:pos="0"/>
          <w:tab w:val="left" w:pos="360"/>
          <w:tab w:val="left" w:pos="6285"/>
        </w:tabs>
        <w:ind w:left="0" w:hanging="567"/>
        <w:jc w:val="center"/>
        <w:rPr>
          <w:b/>
        </w:rPr>
      </w:pPr>
      <w:r>
        <w:rPr>
          <w:b/>
          <w:noProof/>
          <w:lang w:eastAsia="es-CL"/>
        </w:rPr>
        <w:drawing>
          <wp:inline distT="0" distB="0" distL="0" distR="0" wp14:anchorId="5BC5144A" wp14:editId="14F3AF48">
            <wp:extent cx="6127899" cy="2779845"/>
            <wp:effectExtent l="0" t="0" r="6350" b="190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42885" cy="2786643"/>
                    </a:xfrm>
                    <a:prstGeom prst="rect">
                      <a:avLst/>
                    </a:prstGeom>
                    <a:noFill/>
                  </pic:spPr>
                </pic:pic>
              </a:graphicData>
            </a:graphic>
          </wp:inline>
        </w:drawing>
      </w:r>
    </w:p>
    <w:p w:rsidR="00FB3D8B" w:rsidRDefault="00FB3D8B" w:rsidP="00FB3D8B">
      <w:pPr>
        <w:pStyle w:val="Prrafodelista"/>
        <w:tabs>
          <w:tab w:val="left" w:pos="0"/>
          <w:tab w:val="left" w:pos="360"/>
          <w:tab w:val="left" w:pos="6285"/>
        </w:tabs>
        <w:ind w:left="0"/>
        <w:jc w:val="left"/>
        <w:rPr>
          <w:b/>
        </w:rPr>
      </w:pPr>
    </w:p>
    <w:p w:rsidR="004843DA" w:rsidRDefault="004843DA" w:rsidP="00FB3D8B">
      <w:pPr>
        <w:pStyle w:val="Prrafodelista"/>
        <w:tabs>
          <w:tab w:val="left" w:pos="0"/>
          <w:tab w:val="left" w:pos="360"/>
          <w:tab w:val="left" w:pos="6285"/>
        </w:tabs>
        <w:ind w:left="0"/>
        <w:jc w:val="left"/>
        <w:rPr>
          <w:b/>
        </w:rPr>
      </w:pPr>
    </w:p>
    <w:p w:rsidR="00FB3D8B" w:rsidRDefault="00FB3D8B" w:rsidP="00FB3D8B">
      <w:pPr>
        <w:pStyle w:val="Prrafodelista"/>
        <w:tabs>
          <w:tab w:val="left" w:pos="0"/>
          <w:tab w:val="left" w:pos="360"/>
          <w:tab w:val="left" w:pos="6285"/>
        </w:tabs>
        <w:ind w:left="0"/>
        <w:jc w:val="left"/>
        <w:rPr>
          <w:b/>
        </w:rPr>
      </w:pPr>
    </w:p>
    <w:p w:rsidR="00FB3D8B" w:rsidRPr="00F9221C" w:rsidRDefault="00FB3D8B" w:rsidP="00FB3D8B">
      <w:pPr>
        <w:pStyle w:val="Prrafodelista"/>
        <w:numPr>
          <w:ilvl w:val="0"/>
          <w:numId w:val="1"/>
        </w:numPr>
        <w:tabs>
          <w:tab w:val="left" w:pos="0"/>
          <w:tab w:val="left" w:pos="360"/>
          <w:tab w:val="left" w:pos="6285"/>
        </w:tabs>
        <w:ind w:left="0" w:firstLine="0"/>
        <w:jc w:val="left"/>
        <w:rPr>
          <w:b/>
        </w:rPr>
      </w:pPr>
      <w:r>
        <w:rPr>
          <w:b/>
        </w:rPr>
        <w:t xml:space="preserve">Gasto promedio por visita </w:t>
      </w:r>
      <w:r w:rsidR="000C1CF5">
        <w:rPr>
          <w:b/>
        </w:rPr>
        <w:t>Diciembre</w:t>
      </w:r>
      <w:r>
        <w:rPr>
          <w:b/>
        </w:rPr>
        <w:t xml:space="preserve"> de 2016, valores nominales ($)</w:t>
      </w:r>
    </w:p>
    <w:p w:rsidR="00FB3D8B" w:rsidRDefault="00574797" w:rsidP="00FB3D8B">
      <w:pPr>
        <w:tabs>
          <w:tab w:val="left" w:pos="0"/>
          <w:tab w:val="left" w:pos="6285"/>
        </w:tabs>
        <w:jc w:val="center"/>
        <w:rPr>
          <w:szCs w:val="21"/>
        </w:rPr>
      </w:pPr>
      <w:r>
        <w:rPr>
          <w:noProof/>
          <w:szCs w:val="21"/>
          <w:lang w:eastAsia="es-CL"/>
        </w:rPr>
        <w:drawing>
          <wp:inline distT="0" distB="0" distL="0" distR="0" wp14:anchorId="58EFDB3C" wp14:editId="2F2121C7">
            <wp:extent cx="5642844" cy="41148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8894" cy="4119212"/>
                    </a:xfrm>
                    <a:prstGeom prst="rect">
                      <a:avLst/>
                    </a:prstGeom>
                    <a:noFill/>
                  </pic:spPr>
                </pic:pic>
              </a:graphicData>
            </a:graphic>
          </wp:inline>
        </w:drawing>
      </w:r>
    </w:p>
    <w:p w:rsidR="00FB3D8B" w:rsidRPr="003D15B6" w:rsidRDefault="00FB3D8B" w:rsidP="00FB3D8B">
      <w:pPr>
        <w:pStyle w:val="Prrafodelista"/>
        <w:numPr>
          <w:ilvl w:val="0"/>
          <w:numId w:val="1"/>
        </w:numPr>
        <w:tabs>
          <w:tab w:val="left" w:pos="0"/>
        </w:tabs>
        <w:ind w:left="0" w:firstLine="0"/>
        <w:rPr>
          <w:b/>
          <w:szCs w:val="21"/>
        </w:rPr>
      </w:pPr>
      <w:r w:rsidRPr="003D15B6">
        <w:rPr>
          <w:b/>
          <w:szCs w:val="21"/>
        </w:rPr>
        <w:t>Monto total apostado</w:t>
      </w:r>
      <w:r>
        <w:rPr>
          <w:b/>
          <w:szCs w:val="21"/>
        </w:rPr>
        <w:t xml:space="preserve"> máquinas de azar, valores nominales ($): </w:t>
      </w:r>
      <w:r w:rsidR="000C1CF5">
        <w:rPr>
          <w:b/>
          <w:szCs w:val="21"/>
        </w:rPr>
        <w:t>Diciembre</w:t>
      </w:r>
      <w:r>
        <w:rPr>
          <w:b/>
          <w:szCs w:val="21"/>
        </w:rPr>
        <w:t xml:space="preserve"> de 2016</w:t>
      </w:r>
    </w:p>
    <w:p w:rsidR="00FB3D8B" w:rsidRDefault="00574797" w:rsidP="00FB3D8B">
      <w:pPr>
        <w:tabs>
          <w:tab w:val="left" w:pos="0"/>
          <w:tab w:val="left" w:pos="6285"/>
        </w:tabs>
        <w:jc w:val="center"/>
        <w:rPr>
          <w:szCs w:val="21"/>
        </w:rPr>
      </w:pPr>
      <w:r>
        <w:rPr>
          <w:noProof/>
          <w:szCs w:val="21"/>
          <w:lang w:eastAsia="es-CL"/>
        </w:rPr>
        <w:drawing>
          <wp:inline distT="0" distB="0" distL="0" distR="0" wp14:anchorId="7A693611" wp14:editId="1BF06E8C">
            <wp:extent cx="2743200" cy="3310154"/>
            <wp:effectExtent l="0" t="0" r="0" b="508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5811" cy="3313305"/>
                    </a:xfrm>
                    <a:prstGeom prst="rect">
                      <a:avLst/>
                    </a:prstGeom>
                    <a:noFill/>
                  </pic:spPr>
                </pic:pic>
              </a:graphicData>
            </a:graphic>
          </wp:inline>
        </w:drawing>
      </w:r>
    </w:p>
    <w:p w:rsidR="00FB3D8B" w:rsidRDefault="00FB3D8B" w:rsidP="00FB3D8B">
      <w:pPr>
        <w:tabs>
          <w:tab w:val="left" w:pos="0"/>
          <w:tab w:val="left" w:pos="6285"/>
        </w:tabs>
        <w:jc w:val="center"/>
        <w:rPr>
          <w:szCs w:val="21"/>
        </w:rPr>
      </w:pPr>
    </w:p>
    <w:p w:rsidR="00FB3D8B" w:rsidRDefault="00FB3D8B" w:rsidP="00FB3D8B">
      <w:pPr>
        <w:pStyle w:val="Prrafodelista"/>
        <w:numPr>
          <w:ilvl w:val="0"/>
          <w:numId w:val="1"/>
        </w:numPr>
        <w:tabs>
          <w:tab w:val="left" w:pos="0"/>
        </w:tabs>
        <w:ind w:left="0" w:firstLine="0"/>
        <w:jc w:val="left"/>
        <w:rPr>
          <w:b/>
          <w:sz w:val="21"/>
          <w:szCs w:val="21"/>
        </w:rPr>
      </w:pPr>
      <w:r>
        <w:rPr>
          <w:b/>
          <w:sz w:val="21"/>
          <w:szCs w:val="21"/>
        </w:rPr>
        <w:t xml:space="preserve">Máquinas de Azar: </w:t>
      </w:r>
      <w:r w:rsidRPr="003D15B6">
        <w:rPr>
          <w:b/>
          <w:sz w:val="21"/>
          <w:szCs w:val="21"/>
        </w:rPr>
        <w:t>Montos apostados y premios ganados máquinas de a</w:t>
      </w:r>
      <w:r>
        <w:rPr>
          <w:b/>
          <w:sz w:val="21"/>
          <w:szCs w:val="21"/>
        </w:rPr>
        <w:t xml:space="preserve">zar, valores nominales ($): </w:t>
      </w:r>
      <w:r w:rsidR="000C1CF5">
        <w:rPr>
          <w:b/>
          <w:sz w:val="21"/>
          <w:szCs w:val="21"/>
        </w:rPr>
        <w:t>diciembre</w:t>
      </w:r>
      <w:r w:rsidRPr="003D15B6">
        <w:rPr>
          <w:b/>
          <w:sz w:val="21"/>
          <w:szCs w:val="21"/>
        </w:rPr>
        <w:t xml:space="preserve"> de 2016</w:t>
      </w:r>
    </w:p>
    <w:tbl>
      <w:tblPr>
        <w:tblW w:w="5000" w:type="pct"/>
        <w:tblCellMar>
          <w:left w:w="70" w:type="dxa"/>
          <w:right w:w="70" w:type="dxa"/>
        </w:tblCellMar>
        <w:tblLook w:val="04A0" w:firstRow="1" w:lastRow="0" w:firstColumn="1" w:lastColumn="0" w:noHBand="0" w:noVBand="1"/>
      </w:tblPr>
      <w:tblGrid>
        <w:gridCol w:w="2294"/>
        <w:gridCol w:w="2714"/>
        <w:gridCol w:w="2384"/>
        <w:gridCol w:w="1102"/>
      </w:tblGrid>
      <w:tr w:rsidR="00574797" w:rsidRPr="00574797" w:rsidTr="00574797">
        <w:trPr>
          <w:trHeight w:val="555"/>
        </w:trPr>
        <w:tc>
          <w:tcPr>
            <w:tcW w:w="5000" w:type="pct"/>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rsidR="00574797" w:rsidRPr="00574797" w:rsidRDefault="00574797" w:rsidP="00574797">
            <w:pPr>
              <w:spacing w:after="0" w:line="240" w:lineRule="auto"/>
              <w:jc w:val="center"/>
              <w:rPr>
                <w:rFonts w:ascii="Calibri" w:eastAsia="Times New Roman" w:hAnsi="Calibri" w:cs="Times New Roman"/>
                <w:b/>
                <w:bCs/>
                <w:color w:val="FFFFFF"/>
                <w:sz w:val="18"/>
                <w:szCs w:val="18"/>
                <w:lang w:eastAsia="es-CL"/>
              </w:rPr>
            </w:pPr>
            <w:r w:rsidRPr="00574797">
              <w:rPr>
                <w:rFonts w:ascii="Calibri" w:eastAsia="Times New Roman" w:hAnsi="Calibri" w:cs="Times New Roman"/>
                <w:b/>
                <w:bCs/>
                <w:color w:val="FFFFFF"/>
                <w:sz w:val="18"/>
                <w:szCs w:val="18"/>
                <w:lang w:eastAsia="es-CL"/>
              </w:rPr>
              <w:t>MÁQUINAS DE AZAR: Montos Apostados y Premios Ganados ($ Millones)                                                                                                        Diciembre 2016 ($ Millones)</w:t>
            </w:r>
          </w:p>
        </w:tc>
      </w:tr>
      <w:tr w:rsidR="00574797" w:rsidRPr="00574797" w:rsidTr="00574797">
        <w:trPr>
          <w:trHeight w:val="765"/>
        </w:trPr>
        <w:tc>
          <w:tcPr>
            <w:tcW w:w="1328" w:type="pct"/>
            <w:tcBorders>
              <w:top w:val="nil"/>
              <w:left w:val="single" w:sz="4" w:space="0" w:color="808080"/>
              <w:bottom w:val="nil"/>
              <w:right w:val="single" w:sz="4" w:space="0" w:color="808080"/>
            </w:tcBorders>
            <w:shd w:val="clear" w:color="000000" w:fill="1F497D"/>
            <w:noWrap/>
            <w:vAlign w:val="center"/>
            <w:hideMark/>
          </w:tcPr>
          <w:p w:rsidR="00574797" w:rsidRPr="00574797" w:rsidRDefault="00574797" w:rsidP="00574797">
            <w:pPr>
              <w:spacing w:after="0" w:line="240" w:lineRule="auto"/>
              <w:jc w:val="center"/>
              <w:rPr>
                <w:rFonts w:ascii="Calibri" w:eastAsia="Times New Roman" w:hAnsi="Calibri" w:cs="Times New Roman"/>
                <w:b/>
                <w:bCs/>
                <w:color w:val="FFFFFF"/>
                <w:sz w:val="18"/>
                <w:szCs w:val="18"/>
                <w:lang w:eastAsia="es-CL"/>
              </w:rPr>
            </w:pPr>
            <w:r w:rsidRPr="00574797">
              <w:rPr>
                <w:rFonts w:ascii="Calibri" w:eastAsia="Times New Roman" w:hAnsi="Calibri" w:cs="Times New Roman"/>
                <w:b/>
                <w:bCs/>
                <w:color w:val="FFFFFF"/>
                <w:sz w:val="18"/>
                <w:szCs w:val="18"/>
                <w:lang w:eastAsia="es-CL"/>
              </w:rPr>
              <w:t xml:space="preserve">Casino de Juego </w:t>
            </w:r>
          </w:p>
        </w:tc>
        <w:tc>
          <w:tcPr>
            <w:tcW w:w="1605" w:type="pct"/>
            <w:tcBorders>
              <w:top w:val="nil"/>
              <w:left w:val="nil"/>
              <w:bottom w:val="nil"/>
              <w:right w:val="single" w:sz="4" w:space="0" w:color="808080"/>
            </w:tcBorders>
            <w:shd w:val="clear" w:color="000000" w:fill="1F497D"/>
            <w:vAlign w:val="center"/>
            <w:hideMark/>
          </w:tcPr>
          <w:p w:rsidR="00574797" w:rsidRPr="00574797" w:rsidRDefault="00574797" w:rsidP="00574797">
            <w:pPr>
              <w:spacing w:after="0" w:line="240" w:lineRule="auto"/>
              <w:jc w:val="center"/>
              <w:rPr>
                <w:rFonts w:ascii="Calibri" w:eastAsia="Times New Roman" w:hAnsi="Calibri" w:cs="Times New Roman"/>
                <w:b/>
                <w:bCs/>
                <w:color w:val="FFFFFF"/>
                <w:sz w:val="18"/>
                <w:szCs w:val="18"/>
                <w:lang w:eastAsia="es-CL"/>
              </w:rPr>
            </w:pPr>
            <w:r w:rsidRPr="00574797">
              <w:rPr>
                <w:rFonts w:ascii="Calibri" w:eastAsia="Times New Roman" w:hAnsi="Calibri" w:cs="Times New Roman"/>
                <w:b/>
                <w:bCs/>
                <w:color w:val="FFFFFF"/>
                <w:sz w:val="18"/>
                <w:szCs w:val="18"/>
                <w:lang w:eastAsia="es-CL"/>
              </w:rPr>
              <w:t>Monto total apostado</w:t>
            </w:r>
          </w:p>
        </w:tc>
        <w:tc>
          <w:tcPr>
            <w:tcW w:w="1411" w:type="pct"/>
            <w:tcBorders>
              <w:top w:val="nil"/>
              <w:left w:val="nil"/>
              <w:bottom w:val="nil"/>
              <w:right w:val="single" w:sz="4" w:space="0" w:color="808080"/>
            </w:tcBorders>
            <w:shd w:val="clear" w:color="000000" w:fill="1F497D"/>
            <w:vAlign w:val="center"/>
            <w:hideMark/>
          </w:tcPr>
          <w:p w:rsidR="00574797" w:rsidRPr="00574797" w:rsidRDefault="00574797" w:rsidP="00574797">
            <w:pPr>
              <w:spacing w:after="0" w:line="240" w:lineRule="auto"/>
              <w:jc w:val="center"/>
              <w:rPr>
                <w:rFonts w:ascii="Calibri" w:eastAsia="Times New Roman" w:hAnsi="Calibri" w:cs="Times New Roman"/>
                <w:b/>
                <w:bCs/>
                <w:color w:val="FFFFFF"/>
                <w:sz w:val="18"/>
                <w:szCs w:val="18"/>
                <w:lang w:eastAsia="es-CL"/>
              </w:rPr>
            </w:pPr>
            <w:r w:rsidRPr="00574797">
              <w:rPr>
                <w:rFonts w:ascii="Calibri" w:eastAsia="Times New Roman" w:hAnsi="Calibri" w:cs="Times New Roman"/>
                <w:b/>
                <w:bCs/>
                <w:color w:val="FFFFFF"/>
                <w:sz w:val="18"/>
                <w:szCs w:val="18"/>
                <w:lang w:eastAsia="es-CL"/>
              </w:rPr>
              <w:t>Premios ganados</w:t>
            </w:r>
          </w:p>
        </w:tc>
        <w:tc>
          <w:tcPr>
            <w:tcW w:w="657" w:type="pct"/>
            <w:tcBorders>
              <w:top w:val="nil"/>
              <w:left w:val="nil"/>
              <w:bottom w:val="nil"/>
              <w:right w:val="single" w:sz="4" w:space="0" w:color="808080"/>
            </w:tcBorders>
            <w:shd w:val="clear" w:color="000000" w:fill="1F497D"/>
            <w:vAlign w:val="center"/>
            <w:hideMark/>
          </w:tcPr>
          <w:p w:rsidR="00574797" w:rsidRPr="00574797" w:rsidRDefault="00574797" w:rsidP="00574797">
            <w:pPr>
              <w:spacing w:after="0" w:line="240" w:lineRule="auto"/>
              <w:jc w:val="center"/>
              <w:rPr>
                <w:rFonts w:ascii="Calibri" w:eastAsia="Times New Roman" w:hAnsi="Calibri" w:cs="Times New Roman"/>
                <w:b/>
                <w:bCs/>
                <w:color w:val="FFFFFF"/>
                <w:sz w:val="18"/>
                <w:szCs w:val="18"/>
                <w:lang w:eastAsia="es-CL"/>
              </w:rPr>
            </w:pPr>
            <w:r w:rsidRPr="00574797">
              <w:rPr>
                <w:rFonts w:ascii="Calibri" w:eastAsia="Times New Roman" w:hAnsi="Calibri" w:cs="Times New Roman"/>
                <w:b/>
                <w:bCs/>
                <w:color w:val="FFFFFF"/>
                <w:sz w:val="18"/>
                <w:szCs w:val="18"/>
                <w:lang w:eastAsia="es-CL"/>
              </w:rPr>
              <w:t xml:space="preserve">Porcentaje de retorno </w:t>
            </w:r>
          </w:p>
        </w:tc>
      </w:tr>
      <w:tr w:rsidR="00574797" w:rsidRPr="00574797" w:rsidTr="00574797">
        <w:trPr>
          <w:trHeight w:val="300"/>
        </w:trPr>
        <w:tc>
          <w:tcPr>
            <w:tcW w:w="1328" w:type="pct"/>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left"/>
              <w:rPr>
                <w:rFonts w:ascii="Calibri" w:eastAsia="Times New Roman" w:hAnsi="Calibri" w:cs="Times New Roman"/>
                <w:b/>
                <w:bCs/>
                <w:color w:val="000000"/>
                <w:sz w:val="18"/>
                <w:szCs w:val="18"/>
                <w:lang w:eastAsia="es-CL"/>
              </w:rPr>
            </w:pPr>
            <w:r w:rsidRPr="00574797">
              <w:rPr>
                <w:rFonts w:ascii="Calibri" w:eastAsia="Times New Roman" w:hAnsi="Calibri" w:cs="Times New Roman"/>
                <w:b/>
                <w:bCs/>
                <w:color w:val="000000"/>
                <w:sz w:val="18"/>
                <w:szCs w:val="18"/>
                <w:lang w:eastAsia="es-CL"/>
              </w:rPr>
              <w:t>Marina del Sol Calama</w:t>
            </w:r>
          </w:p>
        </w:tc>
        <w:tc>
          <w:tcPr>
            <w:tcW w:w="1605" w:type="pct"/>
            <w:tcBorders>
              <w:top w:val="single" w:sz="4" w:space="0" w:color="808080"/>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12.805 </w:t>
            </w:r>
          </w:p>
        </w:tc>
        <w:tc>
          <w:tcPr>
            <w:tcW w:w="1411" w:type="pct"/>
            <w:tcBorders>
              <w:top w:val="single" w:sz="4" w:space="0" w:color="808080"/>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11.923 </w:t>
            </w:r>
          </w:p>
        </w:tc>
        <w:tc>
          <w:tcPr>
            <w:tcW w:w="657" w:type="pct"/>
            <w:tcBorders>
              <w:top w:val="single" w:sz="4" w:space="0" w:color="808080"/>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93,1%</w:t>
            </w:r>
          </w:p>
        </w:tc>
      </w:tr>
      <w:tr w:rsidR="00574797" w:rsidRPr="00574797" w:rsidTr="0057479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center"/>
            <w:hideMark/>
          </w:tcPr>
          <w:p w:rsidR="00574797" w:rsidRPr="00574797" w:rsidRDefault="00574797" w:rsidP="00574797">
            <w:pPr>
              <w:spacing w:after="0" w:line="240" w:lineRule="auto"/>
              <w:jc w:val="left"/>
              <w:rPr>
                <w:rFonts w:ascii="Calibri" w:eastAsia="Times New Roman" w:hAnsi="Calibri" w:cs="Times New Roman"/>
                <w:b/>
                <w:bCs/>
                <w:sz w:val="18"/>
                <w:szCs w:val="18"/>
                <w:lang w:eastAsia="es-CL"/>
              </w:rPr>
            </w:pPr>
            <w:proofErr w:type="spellStart"/>
            <w:r w:rsidRPr="00574797">
              <w:rPr>
                <w:rFonts w:ascii="Calibri" w:eastAsia="Times New Roman" w:hAnsi="Calibri" w:cs="Times New Roman"/>
                <w:b/>
                <w:bCs/>
                <w:sz w:val="18"/>
                <w:szCs w:val="18"/>
                <w:lang w:eastAsia="es-CL"/>
              </w:rPr>
              <w:t>Enjoy</w:t>
            </w:r>
            <w:proofErr w:type="spellEnd"/>
            <w:r w:rsidRPr="00574797">
              <w:rPr>
                <w:rFonts w:ascii="Calibri" w:eastAsia="Times New Roman" w:hAnsi="Calibri" w:cs="Times New Roman"/>
                <w:b/>
                <w:bCs/>
                <w:sz w:val="18"/>
                <w:szCs w:val="18"/>
                <w:lang w:eastAsia="es-CL"/>
              </w:rPr>
              <w:t xml:space="preserve"> Antofagasta</w:t>
            </w:r>
          </w:p>
        </w:tc>
        <w:tc>
          <w:tcPr>
            <w:tcW w:w="1605"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30.141 </w:t>
            </w:r>
          </w:p>
        </w:tc>
        <w:tc>
          <w:tcPr>
            <w:tcW w:w="1411"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28.213 </w:t>
            </w:r>
          </w:p>
        </w:tc>
        <w:tc>
          <w:tcPr>
            <w:tcW w:w="657"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93,6%</w:t>
            </w:r>
          </w:p>
        </w:tc>
      </w:tr>
      <w:tr w:rsidR="00574797" w:rsidRPr="00574797" w:rsidTr="0057479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left"/>
              <w:rPr>
                <w:rFonts w:ascii="Calibri" w:eastAsia="Times New Roman" w:hAnsi="Calibri" w:cs="Times New Roman"/>
                <w:b/>
                <w:bCs/>
                <w:color w:val="000000"/>
                <w:sz w:val="18"/>
                <w:szCs w:val="18"/>
                <w:lang w:eastAsia="es-CL"/>
              </w:rPr>
            </w:pPr>
            <w:proofErr w:type="spellStart"/>
            <w:r w:rsidRPr="00574797">
              <w:rPr>
                <w:rFonts w:ascii="Calibri" w:eastAsia="Times New Roman" w:hAnsi="Calibri" w:cs="Times New Roman"/>
                <w:b/>
                <w:bCs/>
                <w:color w:val="000000"/>
                <w:sz w:val="18"/>
                <w:szCs w:val="18"/>
                <w:lang w:eastAsia="es-CL"/>
              </w:rPr>
              <w:t>Antay</w:t>
            </w:r>
            <w:proofErr w:type="spellEnd"/>
            <w:r w:rsidRPr="00574797">
              <w:rPr>
                <w:rFonts w:ascii="Calibri" w:eastAsia="Times New Roman" w:hAnsi="Calibri" w:cs="Times New Roman"/>
                <w:b/>
                <w:bCs/>
                <w:color w:val="000000"/>
                <w:sz w:val="18"/>
                <w:szCs w:val="18"/>
                <w:lang w:eastAsia="es-CL"/>
              </w:rPr>
              <w:t xml:space="preserve"> Casino &amp; Hotel</w:t>
            </w:r>
          </w:p>
        </w:tc>
        <w:tc>
          <w:tcPr>
            <w:tcW w:w="1605"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12.360 </w:t>
            </w:r>
          </w:p>
        </w:tc>
        <w:tc>
          <w:tcPr>
            <w:tcW w:w="1411"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11.579 </w:t>
            </w:r>
          </w:p>
        </w:tc>
        <w:tc>
          <w:tcPr>
            <w:tcW w:w="657"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93,7%</w:t>
            </w:r>
          </w:p>
        </w:tc>
      </w:tr>
      <w:tr w:rsidR="00574797" w:rsidRPr="00574797" w:rsidTr="0057479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left"/>
              <w:rPr>
                <w:rFonts w:ascii="Calibri" w:eastAsia="Times New Roman" w:hAnsi="Calibri" w:cs="Times New Roman"/>
                <w:b/>
                <w:bCs/>
                <w:color w:val="000000"/>
                <w:sz w:val="18"/>
                <w:szCs w:val="18"/>
                <w:lang w:eastAsia="es-CL"/>
              </w:rPr>
            </w:pPr>
            <w:r w:rsidRPr="00574797">
              <w:rPr>
                <w:rFonts w:ascii="Calibri" w:eastAsia="Times New Roman" w:hAnsi="Calibri" w:cs="Times New Roman"/>
                <w:b/>
                <w:bCs/>
                <w:color w:val="000000"/>
                <w:sz w:val="18"/>
                <w:szCs w:val="18"/>
                <w:lang w:eastAsia="es-CL"/>
              </w:rPr>
              <w:t>Ovalle Casino Resort S.A.</w:t>
            </w:r>
          </w:p>
        </w:tc>
        <w:tc>
          <w:tcPr>
            <w:tcW w:w="1605"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2.870 </w:t>
            </w:r>
          </w:p>
        </w:tc>
        <w:tc>
          <w:tcPr>
            <w:tcW w:w="1411"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2.742 </w:t>
            </w:r>
          </w:p>
        </w:tc>
        <w:tc>
          <w:tcPr>
            <w:tcW w:w="657"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95,5%</w:t>
            </w:r>
          </w:p>
        </w:tc>
      </w:tr>
      <w:tr w:rsidR="00574797" w:rsidRPr="00574797" w:rsidTr="0057479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left"/>
              <w:rPr>
                <w:rFonts w:ascii="Calibri" w:eastAsia="Times New Roman" w:hAnsi="Calibri" w:cs="Times New Roman"/>
                <w:b/>
                <w:bCs/>
                <w:color w:val="000000"/>
                <w:sz w:val="18"/>
                <w:szCs w:val="18"/>
                <w:lang w:eastAsia="es-CL"/>
              </w:rPr>
            </w:pPr>
            <w:r w:rsidRPr="00574797">
              <w:rPr>
                <w:rFonts w:ascii="Calibri" w:eastAsia="Times New Roman" w:hAnsi="Calibri" w:cs="Times New Roman"/>
                <w:b/>
                <w:bCs/>
                <w:color w:val="000000"/>
                <w:sz w:val="18"/>
                <w:szCs w:val="18"/>
                <w:lang w:eastAsia="es-CL"/>
              </w:rPr>
              <w:t>Casino de Juegos del Pacífico</w:t>
            </w:r>
          </w:p>
        </w:tc>
        <w:tc>
          <w:tcPr>
            <w:tcW w:w="1605"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8.361 </w:t>
            </w:r>
          </w:p>
        </w:tc>
        <w:tc>
          <w:tcPr>
            <w:tcW w:w="1411"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7.847 </w:t>
            </w:r>
          </w:p>
        </w:tc>
        <w:tc>
          <w:tcPr>
            <w:tcW w:w="657"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93,9%</w:t>
            </w:r>
          </w:p>
        </w:tc>
      </w:tr>
      <w:tr w:rsidR="00574797" w:rsidRPr="00574797" w:rsidTr="0057479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left"/>
              <w:rPr>
                <w:rFonts w:ascii="Calibri" w:eastAsia="Times New Roman" w:hAnsi="Calibri" w:cs="Times New Roman"/>
                <w:b/>
                <w:bCs/>
                <w:color w:val="000000"/>
                <w:sz w:val="18"/>
                <w:szCs w:val="18"/>
                <w:lang w:eastAsia="es-CL"/>
              </w:rPr>
            </w:pPr>
            <w:r w:rsidRPr="00574797">
              <w:rPr>
                <w:rFonts w:ascii="Calibri" w:eastAsia="Times New Roman" w:hAnsi="Calibri" w:cs="Times New Roman"/>
                <w:b/>
                <w:bCs/>
                <w:color w:val="000000"/>
                <w:sz w:val="18"/>
                <w:szCs w:val="18"/>
                <w:lang w:eastAsia="es-CL"/>
              </w:rPr>
              <w:t>Casino Rinconada</w:t>
            </w:r>
          </w:p>
        </w:tc>
        <w:tc>
          <w:tcPr>
            <w:tcW w:w="1605"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39.633 </w:t>
            </w:r>
          </w:p>
        </w:tc>
        <w:tc>
          <w:tcPr>
            <w:tcW w:w="1411"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37.341 </w:t>
            </w:r>
          </w:p>
        </w:tc>
        <w:tc>
          <w:tcPr>
            <w:tcW w:w="657"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94,2%</w:t>
            </w:r>
          </w:p>
        </w:tc>
      </w:tr>
      <w:tr w:rsidR="00574797" w:rsidRPr="00574797" w:rsidTr="0057479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left"/>
              <w:rPr>
                <w:rFonts w:ascii="Calibri" w:eastAsia="Times New Roman" w:hAnsi="Calibri" w:cs="Times New Roman"/>
                <w:b/>
                <w:bCs/>
                <w:color w:val="000000"/>
                <w:sz w:val="18"/>
                <w:szCs w:val="18"/>
                <w:lang w:eastAsia="es-CL"/>
              </w:rPr>
            </w:pPr>
            <w:proofErr w:type="spellStart"/>
            <w:r w:rsidRPr="00574797">
              <w:rPr>
                <w:rFonts w:ascii="Calibri" w:eastAsia="Times New Roman" w:hAnsi="Calibri" w:cs="Times New Roman"/>
                <w:b/>
                <w:bCs/>
                <w:color w:val="000000"/>
                <w:sz w:val="18"/>
                <w:szCs w:val="18"/>
                <w:lang w:eastAsia="es-CL"/>
              </w:rPr>
              <w:t>Sun</w:t>
            </w:r>
            <w:proofErr w:type="spellEnd"/>
            <w:r w:rsidRPr="00574797">
              <w:rPr>
                <w:rFonts w:ascii="Calibri" w:eastAsia="Times New Roman" w:hAnsi="Calibri" w:cs="Times New Roman"/>
                <w:b/>
                <w:bCs/>
                <w:color w:val="000000"/>
                <w:sz w:val="18"/>
                <w:szCs w:val="18"/>
                <w:lang w:eastAsia="es-CL"/>
              </w:rPr>
              <w:t xml:space="preserve"> Monticello</w:t>
            </w:r>
          </w:p>
        </w:tc>
        <w:tc>
          <w:tcPr>
            <w:tcW w:w="1605"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88.170 </w:t>
            </w:r>
          </w:p>
        </w:tc>
        <w:tc>
          <w:tcPr>
            <w:tcW w:w="1411"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83.698 </w:t>
            </w:r>
          </w:p>
        </w:tc>
        <w:tc>
          <w:tcPr>
            <w:tcW w:w="657"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94,9%</w:t>
            </w:r>
          </w:p>
        </w:tc>
      </w:tr>
      <w:tr w:rsidR="00574797" w:rsidRPr="00574797" w:rsidTr="0057479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left"/>
              <w:rPr>
                <w:rFonts w:ascii="Calibri" w:eastAsia="Times New Roman" w:hAnsi="Calibri" w:cs="Times New Roman"/>
                <w:b/>
                <w:bCs/>
                <w:color w:val="000000"/>
                <w:sz w:val="18"/>
                <w:szCs w:val="18"/>
                <w:lang w:eastAsia="es-CL"/>
              </w:rPr>
            </w:pPr>
            <w:r w:rsidRPr="00574797">
              <w:rPr>
                <w:rFonts w:ascii="Calibri" w:eastAsia="Times New Roman" w:hAnsi="Calibri" w:cs="Times New Roman"/>
                <w:b/>
                <w:bCs/>
                <w:color w:val="000000"/>
                <w:sz w:val="18"/>
                <w:szCs w:val="18"/>
                <w:lang w:eastAsia="es-CL"/>
              </w:rPr>
              <w:t>Casino de Colchagua</w:t>
            </w:r>
          </w:p>
        </w:tc>
        <w:tc>
          <w:tcPr>
            <w:tcW w:w="1605"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6.076 </w:t>
            </w:r>
          </w:p>
        </w:tc>
        <w:tc>
          <w:tcPr>
            <w:tcW w:w="1411"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5.640 </w:t>
            </w:r>
          </w:p>
        </w:tc>
        <w:tc>
          <w:tcPr>
            <w:tcW w:w="657"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92,8%</w:t>
            </w:r>
          </w:p>
        </w:tc>
      </w:tr>
      <w:tr w:rsidR="00574797" w:rsidRPr="00574797" w:rsidTr="0057479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left"/>
              <w:rPr>
                <w:rFonts w:ascii="Calibri" w:eastAsia="Times New Roman" w:hAnsi="Calibri" w:cs="Times New Roman"/>
                <w:b/>
                <w:bCs/>
                <w:color w:val="000000"/>
                <w:sz w:val="18"/>
                <w:szCs w:val="18"/>
                <w:lang w:eastAsia="es-CL"/>
              </w:rPr>
            </w:pPr>
            <w:r w:rsidRPr="00574797">
              <w:rPr>
                <w:rFonts w:ascii="Calibri" w:eastAsia="Times New Roman" w:hAnsi="Calibri" w:cs="Times New Roman"/>
                <w:b/>
                <w:bCs/>
                <w:color w:val="000000"/>
                <w:sz w:val="18"/>
                <w:szCs w:val="18"/>
                <w:lang w:eastAsia="es-CL"/>
              </w:rPr>
              <w:t>Gran Casino de Talca</w:t>
            </w:r>
          </w:p>
        </w:tc>
        <w:tc>
          <w:tcPr>
            <w:tcW w:w="1605"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12.805 </w:t>
            </w:r>
          </w:p>
        </w:tc>
        <w:tc>
          <w:tcPr>
            <w:tcW w:w="1411"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11.952 </w:t>
            </w:r>
          </w:p>
        </w:tc>
        <w:tc>
          <w:tcPr>
            <w:tcW w:w="657"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93,3%</w:t>
            </w:r>
          </w:p>
        </w:tc>
      </w:tr>
      <w:tr w:rsidR="00574797" w:rsidRPr="00574797" w:rsidTr="0057479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left"/>
              <w:rPr>
                <w:rFonts w:ascii="Calibri" w:eastAsia="Times New Roman" w:hAnsi="Calibri" w:cs="Times New Roman"/>
                <w:b/>
                <w:bCs/>
                <w:color w:val="000000"/>
                <w:sz w:val="18"/>
                <w:szCs w:val="18"/>
                <w:lang w:eastAsia="es-CL"/>
              </w:rPr>
            </w:pPr>
            <w:r w:rsidRPr="00574797">
              <w:rPr>
                <w:rFonts w:ascii="Calibri" w:eastAsia="Times New Roman" w:hAnsi="Calibri" w:cs="Times New Roman"/>
                <w:b/>
                <w:bCs/>
                <w:color w:val="000000"/>
                <w:sz w:val="18"/>
                <w:szCs w:val="18"/>
                <w:lang w:eastAsia="es-CL"/>
              </w:rPr>
              <w:t>Marina del Sol Talcahuano</w:t>
            </w:r>
          </w:p>
        </w:tc>
        <w:tc>
          <w:tcPr>
            <w:tcW w:w="1605"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48.170 </w:t>
            </w:r>
          </w:p>
        </w:tc>
        <w:tc>
          <w:tcPr>
            <w:tcW w:w="1411"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45.129 </w:t>
            </w:r>
          </w:p>
        </w:tc>
        <w:tc>
          <w:tcPr>
            <w:tcW w:w="657"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93,7%</w:t>
            </w:r>
          </w:p>
        </w:tc>
      </w:tr>
      <w:tr w:rsidR="00574797" w:rsidRPr="00574797" w:rsidTr="0057479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left"/>
              <w:rPr>
                <w:rFonts w:ascii="Calibri" w:eastAsia="Times New Roman" w:hAnsi="Calibri" w:cs="Times New Roman"/>
                <w:b/>
                <w:bCs/>
                <w:color w:val="000000"/>
                <w:sz w:val="18"/>
                <w:szCs w:val="18"/>
                <w:lang w:eastAsia="es-CL"/>
              </w:rPr>
            </w:pPr>
            <w:r w:rsidRPr="00574797">
              <w:rPr>
                <w:rFonts w:ascii="Calibri" w:eastAsia="Times New Roman" w:hAnsi="Calibri" w:cs="Times New Roman"/>
                <w:b/>
                <w:bCs/>
                <w:color w:val="000000"/>
                <w:sz w:val="18"/>
                <w:szCs w:val="18"/>
                <w:lang w:eastAsia="es-CL"/>
              </w:rPr>
              <w:t xml:space="preserve">Casino Gran Los </w:t>
            </w:r>
            <w:proofErr w:type="spellStart"/>
            <w:r w:rsidRPr="00574797">
              <w:rPr>
                <w:rFonts w:ascii="Calibri" w:eastAsia="Times New Roman" w:hAnsi="Calibri" w:cs="Times New Roman"/>
                <w:b/>
                <w:bCs/>
                <w:color w:val="000000"/>
                <w:sz w:val="18"/>
                <w:szCs w:val="18"/>
                <w:lang w:eastAsia="es-CL"/>
              </w:rPr>
              <w:t>Angeles</w:t>
            </w:r>
            <w:proofErr w:type="spellEnd"/>
          </w:p>
        </w:tc>
        <w:tc>
          <w:tcPr>
            <w:tcW w:w="1605"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4.997 </w:t>
            </w:r>
          </w:p>
        </w:tc>
        <w:tc>
          <w:tcPr>
            <w:tcW w:w="1411"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4.686 </w:t>
            </w:r>
          </w:p>
        </w:tc>
        <w:tc>
          <w:tcPr>
            <w:tcW w:w="657"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93,8%</w:t>
            </w:r>
          </w:p>
        </w:tc>
      </w:tr>
      <w:tr w:rsidR="00574797" w:rsidRPr="00574797" w:rsidTr="0057479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center"/>
            <w:hideMark/>
          </w:tcPr>
          <w:p w:rsidR="00574797" w:rsidRPr="00574797" w:rsidRDefault="00574797" w:rsidP="00574797">
            <w:pPr>
              <w:spacing w:after="0" w:line="240" w:lineRule="auto"/>
              <w:jc w:val="left"/>
              <w:rPr>
                <w:rFonts w:ascii="Calibri" w:eastAsia="Times New Roman" w:hAnsi="Calibri" w:cs="Times New Roman"/>
                <w:b/>
                <w:bCs/>
                <w:sz w:val="18"/>
                <w:szCs w:val="18"/>
                <w:lang w:eastAsia="es-CL"/>
              </w:rPr>
            </w:pPr>
            <w:r w:rsidRPr="00574797">
              <w:rPr>
                <w:rFonts w:ascii="Calibri" w:eastAsia="Times New Roman" w:hAnsi="Calibri" w:cs="Times New Roman"/>
                <w:b/>
                <w:bCs/>
                <w:sz w:val="18"/>
                <w:szCs w:val="18"/>
                <w:lang w:eastAsia="es-CL"/>
              </w:rPr>
              <w:t>Dreams Temuco</w:t>
            </w:r>
          </w:p>
        </w:tc>
        <w:tc>
          <w:tcPr>
            <w:tcW w:w="1605"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29.694 </w:t>
            </w:r>
          </w:p>
        </w:tc>
        <w:tc>
          <w:tcPr>
            <w:tcW w:w="1411"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28.079 </w:t>
            </w:r>
          </w:p>
        </w:tc>
        <w:tc>
          <w:tcPr>
            <w:tcW w:w="657"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94,6%</w:t>
            </w:r>
          </w:p>
        </w:tc>
      </w:tr>
      <w:tr w:rsidR="00574797" w:rsidRPr="00574797" w:rsidTr="0057479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left"/>
              <w:rPr>
                <w:rFonts w:ascii="Calibri" w:eastAsia="Times New Roman" w:hAnsi="Calibri" w:cs="Times New Roman"/>
                <w:b/>
                <w:bCs/>
                <w:color w:val="000000"/>
                <w:sz w:val="18"/>
                <w:szCs w:val="18"/>
                <w:lang w:eastAsia="es-CL"/>
              </w:rPr>
            </w:pPr>
            <w:r w:rsidRPr="00574797">
              <w:rPr>
                <w:rFonts w:ascii="Calibri" w:eastAsia="Times New Roman" w:hAnsi="Calibri" w:cs="Times New Roman"/>
                <w:b/>
                <w:bCs/>
                <w:color w:val="000000"/>
                <w:sz w:val="18"/>
                <w:szCs w:val="18"/>
                <w:lang w:eastAsia="es-CL"/>
              </w:rPr>
              <w:t>Dreams Valdivia</w:t>
            </w:r>
          </w:p>
        </w:tc>
        <w:tc>
          <w:tcPr>
            <w:tcW w:w="1605"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15.798 </w:t>
            </w:r>
          </w:p>
        </w:tc>
        <w:tc>
          <w:tcPr>
            <w:tcW w:w="1411"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14.853 </w:t>
            </w:r>
          </w:p>
        </w:tc>
        <w:tc>
          <w:tcPr>
            <w:tcW w:w="657"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94,0%</w:t>
            </w:r>
          </w:p>
        </w:tc>
      </w:tr>
      <w:tr w:rsidR="00574797" w:rsidRPr="00574797" w:rsidTr="0057479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left"/>
              <w:rPr>
                <w:rFonts w:ascii="Calibri" w:eastAsia="Times New Roman" w:hAnsi="Calibri" w:cs="Times New Roman"/>
                <w:b/>
                <w:bCs/>
                <w:color w:val="000000"/>
                <w:sz w:val="18"/>
                <w:szCs w:val="18"/>
                <w:lang w:eastAsia="es-CL"/>
              </w:rPr>
            </w:pPr>
            <w:r w:rsidRPr="00574797">
              <w:rPr>
                <w:rFonts w:ascii="Calibri" w:eastAsia="Times New Roman" w:hAnsi="Calibri" w:cs="Times New Roman"/>
                <w:b/>
                <w:bCs/>
                <w:color w:val="000000"/>
                <w:sz w:val="18"/>
                <w:szCs w:val="18"/>
                <w:lang w:eastAsia="es-CL"/>
              </w:rPr>
              <w:t>Marina del Sol Osorno</w:t>
            </w:r>
          </w:p>
        </w:tc>
        <w:tc>
          <w:tcPr>
            <w:tcW w:w="1605"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10.463 </w:t>
            </w:r>
          </w:p>
        </w:tc>
        <w:tc>
          <w:tcPr>
            <w:tcW w:w="1411"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9.849 </w:t>
            </w:r>
          </w:p>
        </w:tc>
        <w:tc>
          <w:tcPr>
            <w:tcW w:w="657"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94,1%</w:t>
            </w:r>
          </w:p>
        </w:tc>
      </w:tr>
      <w:tr w:rsidR="00574797" w:rsidRPr="00574797" w:rsidTr="0057479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left"/>
              <w:rPr>
                <w:rFonts w:ascii="Calibri" w:eastAsia="Times New Roman" w:hAnsi="Calibri" w:cs="Times New Roman"/>
                <w:b/>
                <w:bCs/>
                <w:color w:val="000000"/>
                <w:sz w:val="18"/>
                <w:szCs w:val="18"/>
                <w:lang w:eastAsia="es-CL"/>
              </w:rPr>
            </w:pPr>
            <w:proofErr w:type="spellStart"/>
            <w:r w:rsidRPr="00574797">
              <w:rPr>
                <w:rFonts w:ascii="Calibri" w:eastAsia="Times New Roman" w:hAnsi="Calibri" w:cs="Times New Roman"/>
                <w:b/>
                <w:bCs/>
                <w:color w:val="000000"/>
                <w:sz w:val="18"/>
                <w:szCs w:val="18"/>
                <w:lang w:eastAsia="es-CL"/>
              </w:rPr>
              <w:t>Enjoy</w:t>
            </w:r>
            <w:proofErr w:type="spellEnd"/>
            <w:r w:rsidRPr="00574797">
              <w:rPr>
                <w:rFonts w:ascii="Calibri" w:eastAsia="Times New Roman" w:hAnsi="Calibri" w:cs="Times New Roman"/>
                <w:b/>
                <w:bCs/>
                <w:color w:val="000000"/>
                <w:sz w:val="18"/>
                <w:szCs w:val="18"/>
                <w:lang w:eastAsia="es-CL"/>
              </w:rPr>
              <w:t xml:space="preserve"> Chiloé</w:t>
            </w:r>
          </w:p>
        </w:tc>
        <w:tc>
          <w:tcPr>
            <w:tcW w:w="1605"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3.350 </w:t>
            </w:r>
          </w:p>
        </w:tc>
        <w:tc>
          <w:tcPr>
            <w:tcW w:w="1411"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3.117 </w:t>
            </w:r>
          </w:p>
        </w:tc>
        <w:tc>
          <w:tcPr>
            <w:tcW w:w="657"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93,0%</w:t>
            </w:r>
          </w:p>
        </w:tc>
      </w:tr>
      <w:tr w:rsidR="00574797" w:rsidRPr="00574797" w:rsidTr="0057479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left"/>
              <w:rPr>
                <w:rFonts w:ascii="Calibri" w:eastAsia="Times New Roman" w:hAnsi="Calibri" w:cs="Times New Roman"/>
                <w:b/>
                <w:bCs/>
                <w:color w:val="000000"/>
                <w:sz w:val="18"/>
                <w:szCs w:val="18"/>
                <w:lang w:eastAsia="es-CL"/>
              </w:rPr>
            </w:pPr>
            <w:r w:rsidRPr="00574797">
              <w:rPr>
                <w:rFonts w:ascii="Calibri" w:eastAsia="Times New Roman" w:hAnsi="Calibri" w:cs="Times New Roman"/>
                <w:b/>
                <w:bCs/>
                <w:color w:val="000000"/>
                <w:sz w:val="18"/>
                <w:szCs w:val="18"/>
                <w:lang w:eastAsia="es-CL"/>
              </w:rPr>
              <w:t>Dreams Coyhaique</w:t>
            </w:r>
          </w:p>
        </w:tc>
        <w:tc>
          <w:tcPr>
            <w:tcW w:w="1605"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6.331 </w:t>
            </w:r>
          </w:p>
        </w:tc>
        <w:tc>
          <w:tcPr>
            <w:tcW w:w="1411"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5.923 </w:t>
            </w:r>
          </w:p>
        </w:tc>
        <w:tc>
          <w:tcPr>
            <w:tcW w:w="657"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93,6%</w:t>
            </w:r>
          </w:p>
        </w:tc>
      </w:tr>
      <w:tr w:rsidR="00574797" w:rsidRPr="00574797" w:rsidTr="00574797">
        <w:trPr>
          <w:trHeight w:val="300"/>
        </w:trPr>
        <w:tc>
          <w:tcPr>
            <w:tcW w:w="1328" w:type="pct"/>
            <w:tcBorders>
              <w:top w:val="nil"/>
              <w:left w:val="nil"/>
              <w:bottom w:val="nil"/>
              <w:right w:val="nil"/>
            </w:tcBorders>
            <w:shd w:val="clear" w:color="000000" w:fill="FFFFFF"/>
            <w:noWrap/>
            <w:vAlign w:val="bottom"/>
            <w:hideMark/>
          </w:tcPr>
          <w:p w:rsidR="00574797" w:rsidRPr="00574797" w:rsidRDefault="00574797" w:rsidP="00574797">
            <w:pPr>
              <w:spacing w:after="0" w:line="240" w:lineRule="auto"/>
              <w:jc w:val="left"/>
              <w:rPr>
                <w:rFonts w:ascii="Calibri" w:eastAsia="Times New Roman" w:hAnsi="Calibri" w:cs="Times New Roman"/>
                <w:b/>
                <w:bCs/>
                <w:color w:val="000000"/>
                <w:sz w:val="18"/>
                <w:szCs w:val="18"/>
                <w:lang w:eastAsia="es-CL"/>
              </w:rPr>
            </w:pPr>
            <w:r w:rsidRPr="00574797">
              <w:rPr>
                <w:rFonts w:ascii="Calibri" w:eastAsia="Times New Roman" w:hAnsi="Calibri" w:cs="Times New Roman"/>
                <w:b/>
                <w:bCs/>
                <w:color w:val="000000"/>
                <w:sz w:val="18"/>
                <w:szCs w:val="18"/>
                <w:lang w:eastAsia="es-CL"/>
              </w:rPr>
              <w:t>Dreams Punta Arenas</w:t>
            </w:r>
          </w:p>
        </w:tc>
        <w:tc>
          <w:tcPr>
            <w:tcW w:w="1605" w:type="pct"/>
            <w:tcBorders>
              <w:top w:val="nil"/>
              <w:left w:val="single" w:sz="4" w:space="0" w:color="808080"/>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20.169 </w:t>
            </w:r>
          </w:p>
        </w:tc>
        <w:tc>
          <w:tcPr>
            <w:tcW w:w="1411"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 xml:space="preserve">18.724 </w:t>
            </w:r>
          </w:p>
        </w:tc>
        <w:tc>
          <w:tcPr>
            <w:tcW w:w="657" w:type="pct"/>
            <w:tcBorders>
              <w:top w:val="nil"/>
              <w:left w:val="nil"/>
              <w:bottom w:val="single" w:sz="4" w:space="0" w:color="808080"/>
              <w:right w:val="single" w:sz="4" w:space="0" w:color="808080"/>
            </w:tcBorders>
            <w:shd w:val="clear" w:color="000000" w:fill="FFFFFF"/>
            <w:noWrap/>
            <w:vAlign w:val="bottom"/>
            <w:hideMark/>
          </w:tcPr>
          <w:p w:rsidR="00574797" w:rsidRPr="00574797" w:rsidRDefault="00574797" w:rsidP="00574797">
            <w:pPr>
              <w:spacing w:after="0" w:line="240" w:lineRule="auto"/>
              <w:jc w:val="right"/>
              <w:rPr>
                <w:rFonts w:ascii="Calibri" w:eastAsia="Times New Roman" w:hAnsi="Calibri" w:cs="Times New Roman"/>
                <w:sz w:val="18"/>
                <w:szCs w:val="18"/>
                <w:lang w:eastAsia="es-CL"/>
              </w:rPr>
            </w:pPr>
            <w:r w:rsidRPr="00574797">
              <w:rPr>
                <w:rFonts w:ascii="Calibri" w:eastAsia="Times New Roman" w:hAnsi="Calibri" w:cs="Times New Roman"/>
                <w:sz w:val="18"/>
                <w:szCs w:val="18"/>
                <w:lang w:eastAsia="es-CL"/>
              </w:rPr>
              <w:t>92,8%</w:t>
            </w:r>
          </w:p>
        </w:tc>
      </w:tr>
      <w:tr w:rsidR="00574797" w:rsidRPr="00574797" w:rsidTr="00574797">
        <w:trPr>
          <w:trHeight w:val="300"/>
        </w:trPr>
        <w:tc>
          <w:tcPr>
            <w:tcW w:w="1328" w:type="pct"/>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rsidR="00574797" w:rsidRPr="00574797" w:rsidRDefault="00574797" w:rsidP="00574797">
            <w:pPr>
              <w:spacing w:after="0" w:line="240" w:lineRule="auto"/>
              <w:jc w:val="left"/>
              <w:rPr>
                <w:rFonts w:ascii="Calibri" w:eastAsia="Times New Roman" w:hAnsi="Calibri" w:cs="Times New Roman"/>
                <w:b/>
                <w:bCs/>
                <w:color w:val="FFFFFF"/>
                <w:sz w:val="18"/>
                <w:szCs w:val="18"/>
                <w:lang w:eastAsia="es-CL"/>
              </w:rPr>
            </w:pPr>
            <w:r w:rsidRPr="00574797">
              <w:rPr>
                <w:rFonts w:ascii="Calibri" w:eastAsia="Times New Roman" w:hAnsi="Calibri" w:cs="Times New Roman"/>
                <w:b/>
                <w:bCs/>
                <w:color w:val="FFFFFF"/>
                <w:sz w:val="18"/>
                <w:szCs w:val="18"/>
                <w:lang w:eastAsia="es-CL"/>
              </w:rPr>
              <w:t>Total</w:t>
            </w:r>
          </w:p>
        </w:tc>
        <w:tc>
          <w:tcPr>
            <w:tcW w:w="1605" w:type="pct"/>
            <w:tcBorders>
              <w:top w:val="nil"/>
              <w:left w:val="nil"/>
              <w:bottom w:val="single" w:sz="4" w:space="0" w:color="808080"/>
              <w:right w:val="single" w:sz="4" w:space="0" w:color="808080"/>
            </w:tcBorders>
            <w:shd w:val="clear" w:color="000000" w:fill="1F497D"/>
            <w:noWrap/>
            <w:vAlign w:val="bottom"/>
            <w:hideMark/>
          </w:tcPr>
          <w:p w:rsidR="00574797" w:rsidRPr="00574797" w:rsidRDefault="00574797" w:rsidP="00574797">
            <w:pPr>
              <w:spacing w:after="0" w:line="240" w:lineRule="auto"/>
              <w:jc w:val="right"/>
              <w:rPr>
                <w:rFonts w:ascii="Calibri" w:eastAsia="Times New Roman" w:hAnsi="Calibri" w:cs="Times New Roman"/>
                <w:b/>
                <w:bCs/>
                <w:color w:val="FFFFFF"/>
                <w:sz w:val="18"/>
                <w:szCs w:val="18"/>
                <w:lang w:eastAsia="es-CL"/>
              </w:rPr>
            </w:pPr>
            <w:r w:rsidRPr="00574797">
              <w:rPr>
                <w:rFonts w:ascii="Calibri" w:eastAsia="Times New Roman" w:hAnsi="Calibri" w:cs="Times New Roman"/>
                <w:b/>
                <w:bCs/>
                <w:color w:val="FFFFFF"/>
                <w:sz w:val="18"/>
                <w:szCs w:val="18"/>
                <w:lang w:eastAsia="es-CL"/>
              </w:rPr>
              <w:t xml:space="preserve">352.194 </w:t>
            </w:r>
          </w:p>
        </w:tc>
        <w:tc>
          <w:tcPr>
            <w:tcW w:w="1411" w:type="pct"/>
            <w:tcBorders>
              <w:top w:val="nil"/>
              <w:left w:val="nil"/>
              <w:bottom w:val="single" w:sz="4" w:space="0" w:color="808080"/>
              <w:right w:val="single" w:sz="4" w:space="0" w:color="808080"/>
            </w:tcBorders>
            <w:shd w:val="clear" w:color="000000" w:fill="1F497D"/>
            <w:noWrap/>
            <w:vAlign w:val="bottom"/>
            <w:hideMark/>
          </w:tcPr>
          <w:p w:rsidR="00574797" w:rsidRPr="00574797" w:rsidRDefault="00574797" w:rsidP="00574797">
            <w:pPr>
              <w:spacing w:after="0" w:line="240" w:lineRule="auto"/>
              <w:jc w:val="right"/>
              <w:rPr>
                <w:rFonts w:ascii="Calibri" w:eastAsia="Times New Roman" w:hAnsi="Calibri" w:cs="Times New Roman"/>
                <w:b/>
                <w:bCs/>
                <w:color w:val="FFFFFF"/>
                <w:sz w:val="18"/>
                <w:szCs w:val="18"/>
                <w:lang w:eastAsia="es-CL"/>
              </w:rPr>
            </w:pPr>
            <w:r w:rsidRPr="00574797">
              <w:rPr>
                <w:rFonts w:ascii="Calibri" w:eastAsia="Times New Roman" w:hAnsi="Calibri" w:cs="Times New Roman"/>
                <w:b/>
                <w:bCs/>
                <w:color w:val="FFFFFF"/>
                <w:sz w:val="18"/>
                <w:szCs w:val="18"/>
                <w:lang w:eastAsia="es-CL"/>
              </w:rPr>
              <w:t xml:space="preserve">331.295 </w:t>
            </w:r>
          </w:p>
        </w:tc>
        <w:tc>
          <w:tcPr>
            <w:tcW w:w="657" w:type="pct"/>
            <w:tcBorders>
              <w:top w:val="nil"/>
              <w:left w:val="nil"/>
              <w:bottom w:val="single" w:sz="4" w:space="0" w:color="808080"/>
              <w:right w:val="single" w:sz="4" w:space="0" w:color="808080"/>
            </w:tcBorders>
            <w:shd w:val="clear" w:color="000000" w:fill="1F497D"/>
            <w:noWrap/>
            <w:vAlign w:val="bottom"/>
            <w:hideMark/>
          </w:tcPr>
          <w:p w:rsidR="00574797" w:rsidRPr="00574797" w:rsidRDefault="00574797" w:rsidP="00574797">
            <w:pPr>
              <w:spacing w:after="0" w:line="240" w:lineRule="auto"/>
              <w:jc w:val="right"/>
              <w:rPr>
                <w:rFonts w:ascii="Calibri" w:eastAsia="Times New Roman" w:hAnsi="Calibri" w:cs="Times New Roman"/>
                <w:b/>
                <w:bCs/>
                <w:color w:val="FFFFFF"/>
                <w:sz w:val="18"/>
                <w:szCs w:val="18"/>
                <w:lang w:eastAsia="es-CL"/>
              </w:rPr>
            </w:pPr>
            <w:r w:rsidRPr="00574797">
              <w:rPr>
                <w:rFonts w:ascii="Calibri" w:eastAsia="Times New Roman" w:hAnsi="Calibri" w:cs="Times New Roman"/>
                <w:b/>
                <w:bCs/>
                <w:color w:val="FFFFFF"/>
                <w:sz w:val="18"/>
                <w:szCs w:val="18"/>
                <w:lang w:eastAsia="es-CL"/>
              </w:rPr>
              <w:t>94,1%</w:t>
            </w:r>
          </w:p>
        </w:tc>
      </w:tr>
    </w:tbl>
    <w:p w:rsidR="00FB3D8B" w:rsidRDefault="00FB3D8B" w:rsidP="00FB3D8B">
      <w:pPr>
        <w:tabs>
          <w:tab w:val="left" w:pos="0"/>
          <w:tab w:val="left" w:pos="6285"/>
        </w:tabs>
        <w:jc w:val="center"/>
      </w:pPr>
    </w:p>
    <w:p w:rsidR="00FB3D8B" w:rsidRPr="003D15B6" w:rsidRDefault="00FB3D8B" w:rsidP="00FB3D8B">
      <w:pPr>
        <w:pStyle w:val="Prrafodelista"/>
        <w:numPr>
          <w:ilvl w:val="0"/>
          <w:numId w:val="1"/>
        </w:numPr>
        <w:tabs>
          <w:tab w:val="left" w:pos="0"/>
        </w:tabs>
        <w:ind w:left="0" w:firstLine="0"/>
        <w:rPr>
          <w:rFonts w:ascii="Calibri" w:hAnsi="Calibri" w:cs="Calibri"/>
          <w:b/>
          <w:sz w:val="21"/>
          <w:szCs w:val="21"/>
        </w:rPr>
      </w:pPr>
      <w:r>
        <w:rPr>
          <w:rFonts w:ascii="Calibri" w:hAnsi="Calibri" w:cs="Calibri"/>
          <w:b/>
          <w:sz w:val="21"/>
          <w:szCs w:val="21"/>
        </w:rPr>
        <w:t xml:space="preserve">Máquinas de azar – Porcentaje de retorno a los clientes, valores nominales: </w:t>
      </w:r>
      <w:r w:rsidR="000C1CF5">
        <w:rPr>
          <w:rFonts w:ascii="Calibri" w:hAnsi="Calibri" w:cs="Calibri"/>
          <w:b/>
          <w:sz w:val="21"/>
          <w:szCs w:val="21"/>
        </w:rPr>
        <w:t>Diciembre</w:t>
      </w:r>
      <w:r>
        <w:rPr>
          <w:rFonts w:ascii="Calibri" w:hAnsi="Calibri" w:cs="Calibri"/>
          <w:b/>
          <w:sz w:val="21"/>
          <w:szCs w:val="21"/>
        </w:rPr>
        <w:t xml:space="preserve"> 2016</w:t>
      </w:r>
    </w:p>
    <w:p w:rsidR="00FB3D8B" w:rsidRDefault="00574797" w:rsidP="00196290">
      <w:pPr>
        <w:tabs>
          <w:tab w:val="left" w:pos="0"/>
          <w:tab w:val="left" w:pos="6285"/>
        </w:tabs>
        <w:ind w:hanging="284"/>
        <w:rPr>
          <w:rFonts w:ascii="Calibri" w:hAnsi="Calibri" w:cs="Calibri"/>
          <w:b/>
          <w:sz w:val="21"/>
          <w:szCs w:val="21"/>
        </w:rPr>
      </w:pPr>
      <w:r>
        <w:rPr>
          <w:rFonts w:ascii="Calibri" w:hAnsi="Calibri" w:cs="Calibri"/>
          <w:b/>
          <w:noProof/>
          <w:sz w:val="21"/>
          <w:szCs w:val="21"/>
          <w:lang w:eastAsia="es-CL"/>
        </w:rPr>
        <w:drawing>
          <wp:inline distT="0" distB="0" distL="0" distR="0" wp14:anchorId="45DB871F" wp14:editId="799F91F7">
            <wp:extent cx="5594350" cy="1819562"/>
            <wp:effectExtent l="0" t="0" r="635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09990" cy="1824649"/>
                    </a:xfrm>
                    <a:prstGeom prst="rect">
                      <a:avLst/>
                    </a:prstGeom>
                    <a:noFill/>
                  </pic:spPr>
                </pic:pic>
              </a:graphicData>
            </a:graphic>
          </wp:inline>
        </w:drawing>
      </w:r>
    </w:p>
    <w:p w:rsidR="00FB3D8B" w:rsidRDefault="00FB3D8B" w:rsidP="00FB3D8B">
      <w:pPr>
        <w:tabs>
          <w:tab w:val="left" w:pos="0"/>
          <w:tab w:val="left" w:pos="6285"/>
        </w:tabs>
        <w:rPr>
          <w:rFonts w:ascii="Calibri" w:hAnsi="Calibri" w:cs="Calibri"/>
          <w:b/>
          <w:sz w:val="21"/>
          <w:szCs w:val="21"/>
        </w:rPr>
      </w:pPr>
    </w:p>
    <w:p w:rsidR="00EC15C7" w:rsidRDefault="00EC15C7" w:rsidP="00FB3D8B">
      <w:pPr>
        <w:tabs>
          <w:tab w:val="left" w:pos="0"/>
          <w:tab w:val="left" w:pos="6285"/>
        </w:tabs>
        <w:rPr>
          <w:rFonts w:ascii="Calibri" w:hAnsi="Calibri" w:cs="Calibri"/>
          <w:b/>
          <w:sz w:val="21"/>
          <w:szCs w:val="21"/>
        </w:rPr>
      </w:pPr>
    </w:p>
    <w:p w:rsidR="00196290" w:rsidRDefault="00196290" w:rsidP="00FB3D8B">
      <w:pPr>
        <w:tabs>
          <w:tab w:val="left" w:pos="0"/>
          <w:tab w:val="left" w:pos="6285"/>
        </w:tabs>
        <w:rPr>
          <w:rFonts w:ascii="Calibri" w:hAnsi="Calibri" w:cs="Calibri"/>
          <w:b/>
          <w:sz w:val="21"/>
          <w:szCs w:val="21"/>
        </w:rPr>
      </w:pPr>
    </w:p>
    <w:p w:rsidR="00196290" w:rsidRDefault="00196290" w:rsidP="00FB3D8B">
      <w:pPr>
        <w:tabs>
          <w:tab w:val="left" w:pos="0"/>
          <w:tab w:val="left" w:pos="6285"/>
        </w:tabs>
        <w:rPr>
          <w:rFonts w:ascii="Calibri" w:hAnsi="Calibri" w:cs="Calibri"/>
          <w:b/>
          <w:sz w:val="21"/>
          <w:szCs w:val="21"/>
        </w:rPr>
      </w:pPr>
    </w:p>
    <w:p w:rsidR="00FB3D8B" w:rsidRPr="003D15B6" w:rsidRDefault="00FB3D8B" w:rsidP="00FB3D8B">
      <w:pPr>
        <w:pStyle w:val="Prrafodelista"/>
        <w:numPr>
          <w:ilvl w:val="0"/>
          <w:numId w:val="1"/>
        </w:numPr>
        <w:tabs>
          <w:tab w:val="left" w:pos="0"/>
        </w:tabs>
        <w:ind w:left="0" w:firstLine="0"/>
        <w:jc w:val="left"/>
        <w:rPr>
          <w:b/>
        </w:rPr>
      </w:pPr>
      <w:r w:rsidRPr="003D15B6">
        <w:rPr>
          <w:b/>
        </w:rPr>
        <w:t xml:space="preserve">Impuestos, valores nominales: </w:t>
      </w:r>
      <w:r w:rsidR="000C1CF5">
        <w:rPr>
          <w:b/>
        </w:rPr>
        <w:t>Diciembre</w:t>
      </w:r>
      <w:r>
        <w:rPr>
          <w:b/>
        </w:rPr>
        <w:t xml:space="preserve">  </w:t>
      </w:r>
      <w:r w:rsidRPr="003D15B6">
        <w:rPr>
          <w:b/>
        </w:rPr>
        <w:t>de 2016</w:t>
      </w:r>
    </w:p>
    <w:p w:rsidR="00FB3D8B" w:rsidRDefault="00FB3D8B" w:rsidP="00FB3D8B">
      <w:pPr>
        <w:tabs>
          <w:tab w:val="left" w:pos="0"/>
          <w:tab w:val="left" w:pos="6285"/>
        </w:tabs>
        <w:rPr>
          <w:rFonts w:ascii="Calibri" w:hAnsi="Calibri" w:cs="Calibri"/>
          <w:b/>
          <w:sz w:val="18"/>
          <w:szCs w:val="18"/>
        </w:rPr>
      </w:pPr>
      <w:r>
        <w:rPr>
          <w:rFonts w:ascii="Calibri" w:hAnsi="Calibri" w:cs="Calibri"/>
          <w:b/>
          <w:sz w:val="18"/>
          <w:szCs w:val="18"/>
          <w:u w:val="single"/>
        </w:rPr>
        <w:t>N</w:t>
      </w:r>
      <w:r w:rsidRPr="00FF46E3">
        <w:rPr>
          <w:rFonts w:ascii="Calibri" w:hAnsi="Calibri" w:cs="Calibri"/>
          <w:b/>
          <w:sz w:val="18"/>
          <w:szCs w:val="18"/>
          <w:u w:val="single"/>
        </w:rPr>
        <w:t>ota</w:t>
      </w:r>
      <w:r>
        <w:rPr>
          <w:rFonts w:ascii="Calibri" w:hAnsi="Calibri" w:cs="Calibri"/>
          <w:b/>
          <w:sz w:val="18"/>
          <w:szCs w:val="18"/>
        </w:rPr>
        <w:t>: Los 12</w:t>
      </w:r>
      <w:r w:rsidRPr="00FF46E3">
        <w:rPr>
          <w:rFonts w:ascii="Calibri" w:hAnsi="Calibri" w:cs="Calibri"/>
          <w:b/>
          <w:sz w:val="18"/>
          <w:szCs w:val="18"/>
        </w:rPr>
        <w:t xml:space="preserve"> gobiernos regionales y las 1</w:t>
      </w:r>
      <w:r>
        <w:rPr>
          <w:rFonts w:ascii="Calibri" w:hAnsi="Calibri" w:cs="Calibri"/>
          <w:b/>
          <w:sz w:val="18"/>
          <w:szCs w:val="18"/>
        </w:rPr>
        <w:t>7</w:t>
      </w:r>
      <w:r w:rsidRPr="00FF46E3">
        <w:rPr>
          <w:rFonts w:ascii="Calibri" w:hAnsi="Calibri" w:cs="Calibri"/>
          <w:b/>
          <w:sz w:val="18"/>
          <w:szCs w:val="18"/>
        </w:rPr>
        <w:t xml:space="preserve"> municipalidades </w:t>
      </w:r>
      <w:r>
        <w:rPr>
          <w:rFonts w:ascii="Calibri" w:hAnsi="Calibri" w:cs="Calibri"/>
          <w:b/>
          <w:sz w:val="18"/>
          <w:szCs w:val="18"/>
        </w:rPr>
        <w:t>reciben</w:t>
      </w:r>
      <w:r w:rsidRPr="00FF46E3">
        <w:rPr>
          <w:rFonts w:ascii="Calibri" w:hAnsi="Calibri" w:cs="Calibri"/>
          <w:b/>
          <w:sz w:val="18"/>
          <w:szCs w:val="18"/>
        </w:rPr>
        <w:t xml:space="preserve"> los impuestos correspondientes el mes subsiguiente del pago de los mismos por parte de las sociedades operadoras.</w:t>
      </w:r>
      <w:r>
        <w:rPr>
          <w:rFonts w:ascii="Calibri" w:hAnsi="Calibri" w:cs="Calibri"/>
          <w:b/>
          <w:sz w:val="18"/>
          <w:szCs w:val="18"/>
        </w:rPr>
        <w:t xml:space="preserve"> </w:t>
      </w:r>
    </w:p>
    <w:tbl>
      <w:tblPr>
        <w:tblW w:w="5000" w:type="pct"/>
        <w:tblCellMar>
          <w:left w:w="70" w:type="dxa"/>
          <w:right w:w="70" w:type="dxa"/>
        </w:tblCellMar>
        <w:tblLook w:val="04A0" w:firstRow="1" w:lastRow="0" w:firstColumn="1" w:lastColumn="0" w:noHBand="0" w:noVBand="1"/>
      </w:tblPr>
      <w:tblGrid>
        <w:gridCol w:w="1316"/>
        <w:gridCol w:w="2342"/>
        <w:gridCol w:w="925"/>
        <w:gridCol w:w="1211"/>
        <w:gridCol w:w="865"/>
        <w:gridCol w:w="1026"/>
        <w:gridCol w:w="819"/>
      </w:tblGrid>
      <w:tr w:rsidR="00574797" w:rsidRPr="00574797" w:rsidTr="00574797">
        <w:trPr>
          <w:trHeight w:val="300"/>
        </w:trPr>
        <w:tc>
          <w:tcPr>
            <w:tcW w:w="5000" w:type="pct"/>
            <w:gridSpan w:val="7"/>
            <w:tcBorders>
              <w:top w:val="nil"/>
              <w:left w:val="nil"/>
              <w:bottom w:val="nil"/>
              <w:right w:val="nil"/>
            </w:tcBorders>
            <w:shd w:val="clear" w:color="000000" w:fill="1F497D"/>
            <w:noWrap/>
            <w:vAlign w:val="center"/>
            <w:hideMark/>
          </w:tcPr>
          <w:p w:rsidR="00574797" w:rsidRPr="00574797" w:rsidRDefault="00574797" w:rsidP="00574797">
            <w:pPr>
              <w:spacing w:after="0" w:line="240" w:lineRule="auto"/>
              <w:jc w:val="center"/>
              <w:rPr>
                <w:rFonts w:ascii="Calibri" w:eastAsia="Times New Roman" w:hAnsi="Calibri" w:cs="Times New Roman"/>
                <w:b/>
                <w:bCs/>
                <w:color w:val="FFFFFF"/>
                <w:sz w:val="18"/>
                <w:szCs w:val="18"/>
                <w:lang w:eastAsia="es-CL"/>
              </w:rPr>
            </w:pPr>
            <w:r w:rsidRPr="00574797">
              <w:rPr>
                <w:rFonts w:ascii="Calibri" w:eastAsia="Times New Roman" w:hAnsi="Calibri" w:cs="Times New Roman"/>
                <w:b/>
                <w:bCs/>
                <w:color w:val="FFFFFF"/>
                <w:sz w:val="18"/>
                <w:szCs w:val="18"/>
                <w:lang w:eastAsia="es-CL"/>
              </w:rPr>
              <w:t>IMPUESTOS  Diciembre 2016 ($ Millones)</w:t>
            </w:r>
          </w:p>
        </w:tc>
      </w:tr>
      <w:tr w:rsidR="00574797" w:rsidRPr="00574797" w:rsidTr="00574797">
        <w:trPr>
          <w:trHeight w:val="720"/>
        </w:trPr>
        <w:tc>
          <w:tcPr>
            <w:tcW w:w="573"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rsidR="00574797" w:rsidRPr="00574797" w:rsidRDefault="00574797" w:rsidP="00574797">
            <w:pPr>
              <w:spacing w:after="0" w:line="240" w:lineRule="auto"/>
              <w:jc w:val="center"/>
              <w:rPr>
                <w:rFonts w:ascii="Calibri" w:eastAsia="Times New Roman" w:hAnsi="Calibri" w:cs="Times New Roman"/>
                <w:b/>
                <w:bCs/>
                <w:color w:val="FFFFFF"/>
                <w:sz w:val="18"/>
                <w:szCs w:val="18"/>
                <w:lang w:eastAsia="es-CL"/>
              </w:rPr>
            </w:pPr>
            <w:r w:rsidRPr="00574797">
              <w:rPr>
                <w:rFonts w:ascii="Calibri" w:eastAsia="Times New Roman" w:hAnsi="Calibri" w:cs="Times New Roman"/>
                <w:b/>
                <w:bCs/>
                <w:color w:val="FFFFFF"/>
                <w:sz w:val="18"/>
                <w:szCs w:val="18"/>
                <w:lang w:eastAsia="es-CL"/>
              </w:rPr>
              <w:t>Región</w:t>
            </w:r>
          </w:p>
        </w:tc>
        <w:tc>
          <w:tcPr>
            <w:tcW w:w="1094" w:type="pct"/>
            <w:tcBorders>
              <w:top w:val="single" w:sz="4" w:space="0" w:color="A6A6A6"/>
              <w:left w:val="nil"/>
              <w:bottom w:val="single" w:sz="4" w:space="0" w:color="A6A6A6"/>
              <w:right w:val="single" w:sz="4" w:space="0" w:color="A6A6A6"/>
            </w:tcBorders>
            <w:shd w:val="clear" w:color="000000" w:fill="1F497D"/>
            <w:vAlign w:val="center"/>
            <w:hideMark/>
          </w:tcPr>
          <w:p w:rsidR="00574797" w:rsidRPr="00574797" w:rsidRDefault="00574797" w:rsidP="00574797">
            <w:pPr>
              <w:spacing w:after="0" w:line="240" w:lineRule="auto"/>
              <w:jc w:val="center"/>
              <w:rPr>
                <w:rFonts w:ascii="Calibri" w:eastAsia="Times New Roman" w:hAnsi="Calibri" w:cs="Times New Roman"/>
                <w:b/>
                <w:bCs/>
                <w:color w:val="FFFFFF"/>
                <w:sz w:val="18"/>
                <w:szCs w:val="18"/>
                <w:lang w:eastAsia="es-CL"/>
              </w:rPr>
            </w:pPr>
            <w:r w:rsidRPr="00574797">
              <w:rPr>
                <w:rFonts w:ascii="Calibri" w:eastAsia="Times New Roman" w:hAnsi="Calibri" w:cs="Times New Roman"/>
                <w:b/>
                <w:bCs/>
                <w:color w:val="FFFFFF"/>
                <w:sz w:val="18"/>
                <w:szCs w:val="18"/>
                <w:lang w:eastAsia="es-CL"/>
              </w:rPr>
              <w:t>Casino</w:t>
            </w:r>
          </w:p>
        </w:tc>
        <w:tc>
          <w:tcPr>
            <w:tcW w:w="679" w:type="pct"/>
            <w:tcBorders>
              <w:top w:val="single" w:sz="4" w:space="0" w:color="A6A6A6"/>
              <w:left w:val="nil"/>
              <w:bottom w:val="single" w:sz="4" w:space="0" w:color="A6A6A6"/>
              <w:right w:val="single" w:sz="4" w:space="0" w:color="A6A6A6"/>
            </w:tcBorders>
            <w:shd w:val="clear" w:color="000000" w:fill="1F497D"/>
            <w:vAlign w:val="center"/>
            <w:hideMark/>
          </w:tcPr>
          <w:p w:rsidR="00574797" w:rsidRPr="00574797" w:rsidRDefault="00574797" w:rsidP="00574797">
            <w:pPr>
              <w:spacing w:after="0" w:line="240" w:lineRule="auto"/>
              <w:jc w:val="center"/>
              <w:rPr>
                <w:rFonts w:ascii="Calibri" w:eastAsia="Times New Roman" w:hAnsi="Calibri" w:cs="Times New Roman"/>
                <w:b/>
                <w:bCs/>
                <w:color w:val="FFFFFF"/>
                <w:sz w:val="18"/>
                <w:szCs w:val="18"/>
                <w:lang w:eastAsia="es-CL"/>
              </w:rPr>
            </w:pPr>
            <w:r w:rsidRPr="00574797">
              <w:rPr>
                <w:rFonts w:ascii="Calibri" w:eastAsia="Times New Roman" w:hAnsi="Calibri" w:cs="Times New Roman"/>
                <w:b/>
                <w:bCs/>
                <w:color w:val="FFFFFF"/>
                <w:sz w:val="18"/>
                <w:szCs w:val="18"/>
                <w:lang w:eastAsia="es-CL"/>
              </w:rPr>
              <w:t>Impuesto específico Gobierno Regional</w:t>
            </w:r>
          </w:p>
        </w:tc>
        <w:tc>
          <w:tcPr>
            <w:tcW w:w="655" w:type="pct"/>
            <w:tcBorders>
              <w:top w:val="single" w:sz="4" w:space="0" w:color="A6A6A6"/>
              <w:left w:val="nil"/>
              <w:bottom w:val="single" w:sz="4" w:space="0" w:color="A6A6A6"/>
              <w:right w:val="single" w:sz="4" w:space="0" w:color="A6A6A6"/>
            </w:tcBorders>
            <w:shd w:val="clear" w:color="000000" w:fill="1F497D"/>
            <w:vAlign w:val="center"/>
            <w:hideMark/>
          </w:tcPr>
          <w:p w:rsidR="00574797" w:rsidRPr="00574797" w:rsidRDefault="00574797" w:rsidP="00574797">
            <w:pPr>
              <w:spacing w:after="0" w:line="240" w:lineRule="auto"/>
              <w:jc w:val="center"/>
              <w:rPr>
                <w:rFonts w:ascii="Calibri" w:eastAsia="Times New Roman" w:hAnsi="Calibri" w:cs="Times New Roman"/>
                <w:b/>
                <w:bCs/>
                <w:color w:val="FFFFFF"/>
                <w:sz w:val="18"/>
                <w:szCs w:val="18"/>
                <w:lang w:eastAsia="es-CL"/>
              </w:rPr>
            </w:pPr>
            <w:r w:rsidRPr="00574797">
              <w:rPr>
                <w:rFonts w:ascii="Calibri" w:eastAsia="Times New Roman" w:hAnsi="Calibri" w:cs="Times New Roman"/>
                <w:b/>
                <w:bCs/>
                <w:color w:val="FFFFFF"/>
                <w:sz w:val="18"/>
                <w:szCs w:val="18"/>
                <w:lang w:eastAsia="es-CL"/>
              </w:rPr>
              <w:t>Impuesto específico Municipalidad</w:t>
            </w:r>
          </w:p>
        </w:tc>
        <w:tc>
          <w:tcPr>
            <w:tcW w:w="644" w:type="pct"/>
            <w:tcBorders>
              <w:top w:val="single" w:sz="4" w:space="0" w:color="A6A6A6"/>
              <w:left w:val="nil"/>
              <w:bottom w:val="single" w:sz="4" w:space="0" w:color="A6A6A6"/>
              <w:right w:val="single" w:sz="4" w:space="0" w:color="A6A6A6"/>
            </w:tcBorders>
            <w:shd w:val="clear" w:color="000000" w:fill="1F497D"/>
            <w:noWrap/>
            <w:vAlign w:val="center"/>
            <w:hideMark/>
          </w:tcPr>
          <w:p w:rsidR="00574797" w:rsidRPr="00574797" w:rsidRDefault="00574797" w:rsidP="00574797">
            <w:pPr>
              <w:spacing w:after="0" w:line="240" w:lineRule="auto"/>
              <w:jc w:val="center"/>
              <w:rPr>
                <w:rFonts w:ascii="Calibri" w:eastAsia="Times New Roman" w:hAnsi="Calibri" w:cs="Times New Roman"/>
                <w:b/>
                <w:bCs/>
                <w:color w:val="FFFFFF"/>
                <w:sz w:val="18"/>
                <w:szCs w:val="18"/>
                <w:lang w:eastAsia="es-CL"/>
              </w:rPr>
            </w:pPr>
            <w:r w:rsidRPr="00574797">
              <w:rPr>
                <w:rFonts w:ascii="Calibri" w:eastAsia="Times New Roman" w:hAnsi="Calibri" w:cs="Times New Roman"/>
                <w:b/>
                <w:bCs/>
                <w:color w:val="FFFFFF"/>
                <w:sz w:val="18"/>
                <w:szCs w:val="18"/>
                <w:lang w:eastAsia="es-CL"/>
              </w:rPr>
              <w:t>IVA</w:t>
            </w:r>
          </w:p>
        </w:tc>
        <w:tc>
          <w:tcPr>
            <w:tcW w:w="655" w:type="pct"/>
            <w:tcBorders>
              <w:top w:val="single" w:sz="4" w:space="0" w:color="A6A6A6"/>
              <w:left w:val="nil"/>
              <w:bottom w:val="single" w:sz="4" w:space="0" w:color="A6A6A6"/>
              <w:right w:val="nil"/>
            </w:tcBorders>
            <w:shd w:val="clear" w:color="000000" w:fill="1F497D"/>
            <w:noWrap/>
            <w:vAlign w:val="center"/>
            <w:hideMark/>
          </w:tcPr>
          <w:p w:rsidR="00574797" w:rsidRPr="00574797" w:rsidRDefault="00574797" w:rsidP="00574797">
            <w:pPr>
              <w:spacing w:after="0" w:line="240" w:lineRule="auto"/>
              <w:jc w:val="center"/>
              <w:rPr>
                <w:rFonts w:ascii="Calibri" w:eastAsia="Times New Roman" w:hAnsi="Calibri" w:cs="Times New Roman"/>
                <w:b/>
                <w:bCs/>
                <w:color w:val="FFFFFF"/>
                <w:sz w:val="18"/>
                <w:szCs w:val="18"/>
                <w:lang w:eastAsia="es-CL"/>
              </w:rPr>
            </w:pPr>
            <w:r w:rsidRPr="00574797">
              <w:rPr>
                <w:rFonts w:ascii="Calibri" w:eastAsia="Times New Roman" w:hAnsi="Calibri" w:cs="Times New Roman"/>
                <w:b/>
                <w:bCs/>
                <w:color w:val="FFFFFF"/>
                <w:sz w:val="18"/>
                <w:szCs w:val="18"/>
                <w:lang w:eastAsia="es-CL"/>
              </w:rPr>
              <w:t>Por entrada</w:t>
            </w:r>
          </w:p>
        </w:tc>
        <w:tc>
          <w:tcPr>
            <w:tcW w:w="701"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rsidR="00574797" w:rsidRPr="00574797" w:rsidRDefault="00574797" w:rsidP="00574797">
            <w:pPr>
              <w:spacing w:after="0" w:line="240" w:lineRule="auto"/>
              <w:jc w:val="center"/>
              <w:rPr>
                <w:rFonts w:ascii="Calibri" w:eastAsia="Times New Roman" w:hAnsi="Calibri" w:cs="Times New Roman"/>
                <w:b/>
                <w:bCs/>
                <w:color w:val="FFFFFF"/>
                <w:sz w:val="18"/>
                <w:szCs w:val="18"/>
                <w:lang w:eastAsia="es-CL"/>
              </w:rPr>
            </w:pPr>
            <w:r w:rsidRPr="00574797">
              <w:rPr>
                <w:rFonts w:ascii="Calibri" w:eastAsia="Times New Roman" w:hAnsi="Calibri" w:cs="Times New Roman"/>
                <w:b/>
                <w:bCs/>
                <w:color w:val="FFFFFF"/>
                <w:sz w:val="18"/>
                <w:szCs w:val="18"/>
                <w:lang w:eastAsia="es-CL"/>
              </w:rPr>
              <w:t>Total</w:t>
            </w:r>
          </w:p>
        </w:tc>
      </w:tr>
      <w:tr w:rsidR="00574797" w:rsidRPr="00574797" w:rsidTr="00574797">
        <w:trPr>
          <w:trHeight w:val="300"/>
        </w:trPr>
        <w:tc>
          <w:tcPr>
            <w:tcW w:w="573"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De Antofagasta</w:t>
            </w:r>
          </w:p>
        </w:tc>
        <w:tc>
          <w:tcPr>
            <w:tcW w:w="1094"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Marina de Sol Calama</w:t>
            </w:r>
          </w:p>
        </w:tc>
        <w:tc>
          <w:tcPr>
            <w:tcW w:w="679"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263</w:t>
            </w:r>
          </w:p>
        </w:tc>
        <w:tc>
          <w:tcPr>
            <w:tcW w:w="655"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82</w:t>
            </w:r>
          </w:p>
        </w:tc>
        <w:tc>
          <w:tcPr>
            <w:tcW w:w="644"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165</w:t>
            </w:r>
          </w:p>
        </w:tc>
        <w:tc>
          <w:tcPr>
            <w:tcW w:w="655"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57</w:t>
            </w:r>
          </w:p>
        </w:tc>
        <w:tc>
          <w:tcPr>
            <w:tcW w:w="701"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1.258</w:t>
            </w:r>
          </w:p>
        </w:tc>
      </w:tr>
      <w:tr w:rsidR="00574797" w:rsidRPr="00574797" w:rsidTr="00574797">
        <w:trPr>
          <w:trHeight w:val="300"/>
        </w:trPr>
        <w:tc>
          <w:tcPr>
            <w:tcW w:w="573" w:type="pct"/>
            <w:vMerge/>
            <w:tcBorders>
              <w:top w:val="nil"/>
              <w:left w:val="single" w:sz="4" w:space="0" w:color="A6A6A6"/>
              <w:bottom w:val="single" w:sz="4" w:space="0" w:color="A6A6A6"/>
              <w:right w:val="single" w:sz="4" w:space="0" w:color="A6A6A6"/>
            </w:tcBorders>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p>
        </w:tc>
        <w:tc>
          <w:tcPr>
            <w:tcW w:w="1094"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proofErr w:type="spellStart"/>
            <w:r w:rsidRPr="00574797">
              <w:rPr>
                <w:rFonts w:ascii="Calibri" w:eastAsia="Times New Roman" w:hAnsi="Calibri" w:cs="Times New Roman"/>
                <w:color w:val="244062"/>
                <w:sz w:val="18"/>
                <w:szCs w:val="18"/>
                <w:lang w:eastAsia="es-CL"/>
              </w:rPr>
              <w:t>Enjoy</w:t>
            </w:r>
            <w:proofErr w:type="spellEnd"/>
            <w:r w:rsidRPr="00574797">
              <w:rPr>
                <w:rFonts w:ascii="Calibri" w:eastAsia="Times New Roman" w:hAnsi="Calibri" w:cs="Times New Roman"/>
                <w:color w:val="244062"/>
                <w:sz w:val="18"/>
                <w:szCs w:val="18"/>
                <w:lang w:eastAsia="es-CL"/>
              </w:rPr>
              <w:t xml:space="preserve"> Antofagasta</w:t>
            </w:r>
          </w:p>
        </w:tc>
        <w:tc>
          <w:tcPr>
            <w:tcW w:w="679" w:type="pct"/>
            <w:vMerge/>
            <w:tcBorders>
              <w:top w:val="nil"/>
              <w:left w:val="single" w:sz="4" w:space="0" w:color="A6A6A6"/>
              <w:bottom w:val="single" w:sz="4" w:space="0" w:color="A6A6A6"/>
              <w:right w:val="single" w:sz="4" w:space="0" w:color="A6A6A6"/>
            </w:tcBorders>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p>
        </w:tc>
        <w:tc>
          <w:tcPr>
            <w:tcW w:w="655"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181</w:t>
            </w:r>
          </w:p>
        </w:tc>
        <w:tc>
          <w:tcPr>
            <w:tcW w:w="644"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365</w:t>
            </w:r>
          </w:p>
        </w:tc>
        <w:tc>
          <w:tcPr>
            <w:tcW w:w="655"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144</w:t>
            </w:r>
          </w:p>
        </w:tc>
        <w:tc>
          <w:tcPr>
            <w:tcW w:w="701" w:type="pct"/>
            <w:vMerge/>
            <w:tcBorders>
              <w:top w:val="nil"/>
              <w:left w:val="single" w:sz="4" w:space="0" w:color="A6A6A6"/>
              <w:bottom w:val="single" w:sz="4" w:space="0" w:color="A6A6A6"/>
              <w:right w:val="single" w:sz="4" w:space="0" w:color="A6A6A6"/>
            </w:tcBorders>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p>
        </w:tc>
      </w:tr>
      <w:tr w:rsidR="00574797" w:rsidRPr="00574797" w:rsidTr="00574797">
        <w:trPr>
          <w:trHeight w:val="300"/>
        </w:trPr>
        <w:tc>
          <w:tcPr>
            <w:tcW w:w="573" w:type="pct"/>
            <w:tcBorders>
              <w:top w:val="nil"/>
              <w:left w:val="single" w:sz="4" w:space="0" w:color="A6A6A6"/>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De Atacama</w:t>
            </w:r>
          </w:p>
        </w:tc>
        <w:tc>
          <w:tcPr>
            <w:tcW w:w="1094"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proofErr w:type="spellStart"/>
            <w:r w:rsidRPr="00574797">
              <w:rPr>
                <w:rFonts w:ascii="Calibri" w:eastAsia="Times New Roman" w:hAnsi="Calibri" w:cs="Times New Roman"/>
                <w:color w:val="244062"/>
                <w:sz w:val="18"/>
                <w:szCs w:val="18"/>
                <w:lang w:eastAsia="es-CL"/>
              </w:rPr>
              <w:t>Antay</w:t>
            </w:r>
            <w:proofErr w:type="spellEnd"/>
            <w:r w:rsidRPr="00574797">
              <w:rPr>
                <w:rFonts w:ascii="Calibri" w:eastAsia="Times New Roman" w:hAnsi="Calibri" w:cs="Times New Roman"/>
                <w:color w:val="244062"/>
                <w:sz w:val="18"/>
                <w:szCs w:val="18"/>
                <w:lang w:eastAsia="es-CL"/>
              </w:rPr>
              <w:t xml:space="preserve"> Casino &amp; Hotel</w:t>
            </w:r>
          </w:p>
        </w:tc>
        <w:tc>
          <w:tcPr>
            <w:tcW w:w="679"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70</w:t>
            </w:r>
          </w:p>
        </w:tc>
        <w:tc>
          <w:tcPr>
            <w:tcW w:w="655"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70</w:t>
            </w:r>
          </w:p>
        </w:tc>
        <w:tc>
          <w:tcPr>
            <w:tcW w:w="644"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143</w:t>
            </w:r>
          </w:p>
        </w:tc>
        <w:tc>
          <w:tcPr>
            <w:tcW w:w="655"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68</w:t>
            </w:r>
          </w:p>
        </w:tc>
        <w:tc>
          <w:tcPr>
            <w:tcW w:w="701"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351</w:t>
            </w:r>
          </w:p>
        </w:tc>
      </w:tr>
      <w:tr w:rsidR="00574797" w:rsidRPr="00574797" w:rsidTr="00574797">
        <w:trPr>
          <w:trHeight w:val="300"/>
        </w:trPr>
        <w:tc>
          <w:tcPr>
            <w:tcW w:w="573" w:type="pct"/>
            <w:tcBorders>
              <w:top w:val="nil"/>
              <w:left w:val="single" w:sz="4" w:space="0" w:color="A6A6A6"/>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De Coquimbo</w:t>
            </w:r>
          </w:p>
        </w:tc>
        <w:tc>
          <w:tcPr>
            <w:tcW w:w="1094"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Ovalle Casino Resort S.A.</w:t>
            </w:r>
          </w:p>
        </w:tc>
        <w:tc>
          <w:tcPr>
            <w:tcW w:w="679"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15</w:t>
            </w:r>
          </w:p>
        </w:tc>
        <w:tc>
          <w:tcPr>
            <w:tcW w:w="655"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15</w:t>
            </w:r>
          </w:p>
        </w:tc>
        <w:tc>
          <w:tcPr>
            <w:tcW w:w="644"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28</w:t>
            </w:r>
          </w:p>
        </w:tc>
        <w:tc>
          <w:tcPr>
            <w:tcW w:w="655"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46</w:t>
            </w:r>
          </w:p>
        </w:tc>
        <w:tc>
          <w:tcPr>
            <w:tcW w:w="701"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103</w:t>
            </w:r>
          </w:p>
        </w:tc>
      </w:tr>
      <w:tr w:rsidR="00574797" w:rsidRPr="00574797" w:rsidTr="00574797">
        <w:trPr>
          <w:trHeight w:val="300"/>
        </w:trPr>
        <w:tc>
          <w:tcPr>
            <w:tcW w:w="573"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De Valparaíso</w:t>
            </w:r>
          </w:p>
        </w:tc>
        <w:tc>
          <w:tcPr>
            <w:tcW w:w="1094"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Casino de Juegos del Pacífico</w:t>
            </w:r>
          </w:p>
        </w:tc>
        <w:tc>
          <w:tcPr>
            <w:tcW w:w="679"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309</w:t>
            </w:r>
          </w:p>
        </w:tc>
        <w:tc>
          <w:tcPr>
            <w:tcW w:w="655"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50</w:t>
            </w:r>
          </w:p>
        </w:tc>
        <w:tc>
          <w:tcPr>
            <w:tcW w:w="644"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96</w:t>
            </w:r>
          </w:p>
        </w:tc>
        <w:tc>
          <w:tcPr>
            <w:tcW w:w="655"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69</w:t>
            </w:r>
          </w:p>
        </w:tc>
        <w:tc>
          <w:tcPr>
            <w:tcW w:w="701"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1.387</w:t>
            </w:r>
          </w:p>
        </w:tc>
      </w:tr>
      <w:tr w:rsidR="00574797" w:rsidRPr="00574797" w:rsidTr="00574797">
        <w:trPr>
          <w:trHeight w:val="300"/>
        </w:trPr>
        <w:tc>
          <w:tcPr>
            <w:tcW w:w="573" w:type="pct"/>
            <w:vMerge/>
            <w:tcBorders>
              <w:top w:val="nil"/>
              <w:left w:val="single" w:sz="4" w:space="0" w:color="A6A6A6"/>
              <w:bottom w:val="single" w:sz="4" w:space="0" w:color="A6A6A6"/>
              <w:right w:val="single" w:sz="4" w:space="0" w:color="A6A6A6"/>
            </w:tcBorders>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p>
        </w:tc>
        <w:tc>
          <w:tcPr>
            <w:tcW w:w="1094"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Casino de Juego de Rinconada</w:t>
            </w:r>
          </w:p>
        </w:tc>
        <w:tc>
          <w:tcPr>
            <w:tcW w:w="679" w:type="pct"/>
            <w:vMerge/>
            <w:tcBorders>
              <w:top w:val="nil"/>
              <w:left w:val="single" w:sz="4" w:space="0" w:color="A6A6A6"/>
              <w:bottom w:val="single" w:sz="4" w:space="0" w:color="A6A6A6"/>
              <w:right w:val="single" w:sz="4" w:space="0" w:color="A6A6A6"/>
            </w:tcBorders>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p>
        </w:tc>
        <w:tc>
          <w:tcPr>
            <w:tcW w:w="655"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258</w:t>
            </w:r>
          </w:p>
        </w:tc>
        <w:tc>
          <w:tcPr>
            <w:tcW w:w="644"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491</w:t>
            </w:r>
          </w:p>
        </w:tc>
        <w:tc>
          <w:tcPr>
            <w:tcW w:w="655"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113</w:t>
            </w:r>
          </w:p>
        </w:tc>
        <w:tc>
          <w:tcPr>
            <w:tcW w:w="701" w:type="pct"/>
            <w:vMerge/>
            <w:tcBorders>
              <w:top w:val="nil"/>
              <w:left w:val="single" w:sz="4" w:space="0" w:color="A6A6A6"/>
              <w:bottom w:val="single" w:sz="4" w:space="0" w:color="A6A6A6"/>
              <w:right w:val="single" w:sz="4" w:space="0" w:color="A6A6A6"/>
            </w:tcBorders>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p>
        </w:tc>
      </w:tr>
      <w:tr w:rsidR="00574797" w:rsidRPr="00574797" w:rsidTr="00574797">
        <w:trPr>
          <w:trHeight w:val="300"/>
        </w:trPr>
        <w:tc>
          <w:tcPr>
            <w:tcW w:w="573"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De O´Higgins</w:t>
            </w:r>
          </w:p>
        </w:tc>
        <w:tc>
          <w:tcPr>
            <w:tcW w:w="1094"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proofErr w:type="spellStart"/>
            <w:r w:rsidRPr="00574797">
              <w:rPr>
                <w:rFonts w:ascii="Calibri" w:eastAsia="Times New Roman" w:hAnsi="Calibri" w:cs="Times New Roman"/>
                <w:color w:val="244062"/>
                <w:sz w:val="18"/>
                <w:szCs w:val="18"/>
                <w:lang w:eastAsia="es-CL"/>
              </w:rPr>
              <w:t>Sun</w:t>
            </w:r>
            <w:proofErr w:type="spellEnd"/>
            <w:r w:rsidRPr="00574797">
              <w:rPr>
                <w:rFonts w:ascii="Calibri" w:eastAsia="Times New Roman" w:hAnsi="Calibri" w:cs="Times New Roman"/>
                <w:color w:val="244062"/>
                <w:sz w:val="18"/>
                <w:szCs w:val="18"/>
                <w:lang w:eastAsia="es-CL"/>
              </w:rPr>
              <w:t xml:space="preserve"> Monticello</w:t>
            </w:r>
          </w:p>
        </w:tc>
        <w:tc>
          <w:tcPr>
            <w:tcW w:w="679"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567</w:t>
            </w:r>
          </w:p>
        </w:tc>
        <w:tc>
          <w:tcPr>
            <w:tcW w:w="655"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526</w:t>
            </w:r>
          </w:p>
        </w:tc>
        <w:tc>
          <w:tcPr>
            <w:tcW w:w="644"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1.023</w:t>
            </w:r>
          </w:p>
        </w:tc>
        <w:tc>
          <w:tcPr>
            <w:tcW w:w="655"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223</w:t>
            </w:r>
          </w:p>
        </w:tc>
        <w:tc>
          <w:tcPr>
            <w:tcW w:w="701"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2.490</w:t>
            </w:r>
          </w:p>
        </w:tc>
      </w:tr>
      <w:tr w:rsidR="00574797" w:rsidRPr="00574797" w:rsidTr="00574797">
        <w:trPr>
          <w:trHeight w:val="300"/>
        </w:trPr>
        <w:tc>
          <w:tcPr>
            <w:tcW w:w="573" w:type="pct"/>
            <w:vMerge/>
            <w:tcBorders>
              <w:top w:val="nil"/>
              <w:left w:val="single" w:sz="4" w:space="0" w:color="A6A6A6"/>
              <w:bottom w:val="single" w:sz="4" w:space="0" w:color="A6A6A6"/>
              <w:right w:val="single" w:sz="4" w:space="0" w:color="A6A6A6"/>
            </w:tcBorders>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p>
        </w:tc>
        <w:tc>
          <w:tcPr>
            <w:tcW w:w="1094"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Casino de Colchagua</w:t>
            </w:r>
          </w:p>
        </w:tc>
        <w:tc>
          <w:tcPr>
            <w:tcW w:w="679" w:type="pct"/>
            <w:vMerge/>
            <w:tcBorders>
              <w:top w:val="nil"/>
              <w:left w:val="single" w:sz="4" w:space="0" w:color="A6A6A6"/>
              <w:bottom w:val="single" w:sz="4" w:space="0" w:color="A6A6A6"/>
              <w:right w:val="single" w:sz="4" w:space="0" w:color="A6A6A6"/>
            </w:tcBorders>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p>
        </w:tc>
        <w:tc>
          <w:tcPr>
            <w:tcW w:w="655"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42</w:t>
            </w:r>
          </w:p>
        </w:tc>
        <w:tc>
          <w:tcPr>
            <w:tcW w:w="644"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83</w:t>
            </w:r>
          </w:p>
        </w:tc>
        <w:tc>
          <w:tcPr>
            <w:tcW w:w="655"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26</w:t>
            </w:r>
          </w:p>
        </w:tc>
        <w:tc>
          <w:tcPr>
            <w:tcW w:w="701" w:type="pct"/>
            <w:vMerge/>
            <w:tcBorders>
              <w:top w:val="nil"/>
              <w:left w:val="single" w:sz="4" w:space="0" w:color="A6A6A6"/>
              <w:bottom w:val="single" w:sz="4" w:space="0" w:color="A6A6A6"/>
              <w:right w:val="single" w:sz="4" w:space="0" w:color="A6A6A6"/>
            </w:tcBorders>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p>
        </w:tc>
      </w:tr>
      <w:tr w:rsidR="00574797" w:rsidRPr="00574797" w:rsidTr="00574797">
        <w:trPr>
          <w:trHeight w:val="300"/>
        </w:trPr>
        <w:tc>
          <w:tcPr>
            <w:tcW w:w="573" w:type="pct"/>
            <w:tcBorders>
              <w:top w:val="nil"/>
              <w:left w:val="single" w:sz="4" w:space="0" w:color="A6A6A6"/>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Del Maule</w:t>
            </w:r>
          </w:p>
        </w:tc>
        <w:tc>
          <w:tcPr>
            <w:tcW w:w="1094"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Gran Casino de Talca</w:t>
            </w:r>
          </w:p>
        </w:tc>
        <w:tc>
          <w:tcPr>
            <w:tcW w:w="679"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78</w:t>
            </w:r>
          </w:p>
        </w:tc>
        <w:tc>
          <w:tcPr>
            <w:tcW w:w="655"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78</w:t>
            </w:r>
          </w:p>
        </w:tc>
        <w:tc>
          <w:tcPr>
            <w:tcW w:w="644"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154</w:t>
            </w:r>
          </w:p>
        </w:tc>
        <w:tc>
          <w:tcPr>
            <w:tcW w:w="655"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64</w:t>
            </w:r>
          </w:p>
        </w:tc>
        <w:tc>
          <w:tcPr>
            <w:tcW w:w="701"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372</w:t>
            </w:r>
          </w:p>
        </w:tc>
      </w:tr>
      <w:tr w:rsidR="00574797" w:rsidRPr="00574797" w:rsidTr="00574797">
        <w:trPr>
          <w:trHeight w:val="300"/>
        </w:trPr>
        <w:tc>
          <w:tcPr>
            <w:tcW w:w="573"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 xml:space="preserve">Del </w:t>
            </w:r>
            <w:proofErr w:type="spellStart"/>
            <w:r w:rsidRPr="00574797">
              <w:rPr>
                <w:rFonts w:ascii="Calibri" w:eastAsia="Times New Roman" w:hAnsi="Calibri" w:cs="Times New Roman"/>
                <w:color w:val="244062"/>
                <w:sz w:val="18"/>
                <w:szCs w:val="18"/>
                <w:lang w:eastAsia="es-CL"/>
              </w:rPr>
              <w:t>Bío</w:t>
            </w:r>
            <w:proofErr w:type="spellEnd"/>
            <w:r w:rsidRPr="00574797">
              <w:rPr>
                <w:rFonts w:ascii="Calibri" w:eastAsia="Times New Roman" w:hAnsi="Calibri" w:cs="Times New Roman"/>
                <w:color w:val="244062"/>
                <w:sz w:val="18"/>
                <w:szCs w:val="18"/>
                <w:lang w:eastAsia="es-CL"/>
              </w:rPr>
              <w:t xml:space="preserve"> </w:t>
            </w:r>
            <w:proofErr w:type="spellStart"/>
            <w:r w:rsidRPr="00574797">
              <w:rPr>
                <w:rFonts w:ascii="Calibri" w:eastAsia="Times New Roman" w:hAnsi="Calibri" w:cs="Times New Roman"/>
                <w:color w:val="244062"/>
                <w:sz w:val="18"/>
                <w:szCs w:val="18"/>
                <w:lang w:eastAsia="es-CL"/>
              </w:rPr>
              <w:t>Bío</w:t>
            </w:r>
            <w:proofErr w:type="spellEnd"/>
          </w:p>
        </w:tc>
        <w:tc>
          <w:tcPr>
            <w:tcW w:w="1094"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Marina de Sol Talcahuano</w:t>
            </w:r>
          </w:p>
        </w:tc>
        <w:tc>
          <w:tcPr>
            <w:tcW w:w="679"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299</w:t>
            </w:r>
          </w:p>
        </w:tc>
        <w:tc>
          <w:tcPr>
            <w:tcW w:w="655"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266</w:t>
            </w:r>
          </w:p>
        </w:tc>
        <w:tc>
          <w:tcPr>
            <w:tcW w:w="644"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526</w:t>
            </w:r>
          </w:p>
        </w:tc>
        <w:tc>
          <w:tcPr>
            <w:tcW w:w="655"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224</w:t>
            </w:r>
          </w:p>
        </w:tc>
        <w:tc>
          <w:tcPr>
            <w:tcW w:w="701"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1.452</w:t>
            </w:r>
          </w:p>
        </w:tc>
      </w:tr>
      <w:tr w:rsidR="00574797" w:rsidRPr="00574797" w:rsidTr="00574797">
        <w:trPr>
          <w:trHeight w:val="300"/>
        </w:trPr>
        <w:tc>
          <w:tcPr>
            <w:tcW w:w="573" w:type="pct"/>
            <w:vMerge/>
            <w:tcBorders>
              <w:top w:val="nil"/>
              <w:left w:val="single" w:sz="4" w:space="0" w:color="A6A6A6"/>
              <w:bottom w:val="single" w:sz="4" w:space="0" w:color="A6A6A6"/>
              <w:right w:val="single" w:sz="4" w:space="0" w:color="A6A6A6"/>
            </w:tcBorders>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p>
        </w:tc>
        <w:tc>
          <w:tcPr>
            <w:tcW w:w="1094"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Casino Gran Los Ángeles</w:t>
            </w:r>
          </w:p>
        </w:tc>
        <w:tc>
          <w:tcPr>
            <w:tcW w:w="679" w:type="pct"/>
            <w:vMerge/>
            <w:tcBorders>
              <w:top w:val="nil"/>
              <w:left w:val="single" w:sz="4" w:space="0" w:color="A6A6A6"/>
              <w:bottom w:val="single" w:sz="4" w:space="0" w:color="A6A6A6"/>
              <w:right w:val="single" w:sz="4" w:space="0" w:color="A6A6A6"/>
            </w:tcBorders>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p>
        </w:tc>
        <w:tc>
          <w:tcPr>
            <w:tcW w:w="655"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34</w:t>
            </w:r>
          </w:p>
        </w:tc>
        <w:tc>
          <w:tcPr>
            <w:tcW w:w="644"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64</w:t>
            </w:r>
          </w:p>
        </w:tc>
        <w:tc>
          <w:tcPr>
            <w:tcW w:w="655"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39</w:t>
            </w:r>
          </w:p>
        </w:tc>
        <w:tc>
          <w:tcPr>
            <w:tcW w:w="701" w:type="pct"/>
            <w:vMerge/>
            <w:tcBorders>
              <w:top w:val="nil"/>
              <w:left w:val="single" w:sz="4" w:space="0" w:color="A6A6A6"/>
              <w:bottom w:val="single" w:sz="4" w:space="0" w:color="A6A6A6"/>
              <w:right w:val="single" w:sz="4" w:space="0" w:color="A6A6A6"/>
            </w:tcBorders>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p>
        </w:tc>
      </w:tr>
      <w:tr w:rsidR="00574797" w:rsidRPr="00574797" w:rsidTr="00574797">
        <w:trPr>
          <w:trHeight w:val="300"/>
        </w:trPr>
        <w:tc>
          <w:tcPr>
            <w:tcW w:w="573" w:type="pct"/>
            <w:tcBorders>
              <w:top w:val="nil"/>
              <w:left w:val="single" w:sz="4" w:space="0" w:color="A6A6A6"/>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De La Araucanía</w:t>
            </w:r>
          </w:p>
        </w:tc>
        <w:tc>
          <w:tcPr>
            <w:tcW w:w="1094"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Dreams Temuco</w:t>
            </w:r>
          </w:p>
        </w:tc>
        <w:tc>
          <w:tcPr>
            <w:tcW w:w="679"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142</w:t>
            </w:r>
          </w:p>
        </w:tc>
        <w:tc>
          <w:tcPr>
            <w:tcW w:w="655"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142</w:t>
            </w:r>
          </w:p>
        </w:tc>
        <w:tc>
          <w:tcPr>
            <w:tcW w:w="644"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278</w:t>
            </w:r>
          </w:p>
        </w:tc>
        <w:tc>
          <w:tcPr>
            <w:tcW w:w="655"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142</w:t>
            </w:r>
          </w:p>
        </w:tc>
        <w:tc>
          <w:tcPr>
            <w:tcW w:w="701"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703</w:t>
            </w:r>
          </w:p>
        </w:tc>
      </w:tr>
      <w:tr w:rsidR="00574797" w:rsidRPr="00574797" w:rsidTr="00574797">
        <w:trPr>
          <w:trHeight w:val="300"/>
        </w:trPr>
        <w:tc>
          <w:tcPr>
            <w:tcW w:w="573" w:type="pct"/>
            <w:tcBorders>
              <w:top w:val="nil"/>
              <w:left w:val="single" w:sz="4" w:space="0" w:color="A6A6A6"/>
              <w:bottom w:val="single" w:sz="4" w:space="0" w:color="A6A6A6"/>
              <w:right w:val="single" w:sz="4" w:space="0" w:color="A6A6A6"/>
            </w:tcBorders>
            <w:shd w:val="clear" w:color="000000" w:fill="FFFFFF"/>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De Los Ríos</w:t>
            </w:r>
          </w:p>
        </w:tc>
        <w:tc>
          <w:tcPr>
            <w:tcW w:w="1094" w:type="pct"/>
            <w:tcBorders>
              <w:top w:val="nil"/>
              <w:left w:val="nil"/>
              <w:bottom w:val="single" w:sz="4" w:space="0" w:color="A6A6A6"/>
              <w:right w:val="single" w:sz="4" w:space="0" w:color="A6A6A6"/>
            </w:tcBorders>
            <w:shd w:val="clear" w:color="000000" w:fill="FFFFFF"/>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Dreams Valdivia</w:t>
            </w:r>
          </w:p>
        </w:tc>
        <w:tc>
          <w:tcPr>
            <w:tcW w:w="679"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85</w:t>
            </w:r>
          </w:p>
        </w:tc>
        <w:tc>
          <w:tcPr>
            <w:tcW w:w="655"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85</w:t>
            </w:r>
          </w:p>
        </w:tc>
        <w:tc>
          <w:tcPr>
            <w:tcW w:w="644"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162</w:t>
            </w:r>
          </w:p>
        </w:tc>
        <w:tc>
          <w:tcPr>
            <w:tcW w:w="655"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85</w:t>
            </w:r>
          </w:p>
        </w:tc>
        <w:tc>
          <w:tcPr>
            <w:tcW w:w="701"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416</w:t>
            </w:r>
          </w:p>
        </w:tc>
      </w:tr>
      <w:tr w:rsidR="00574797" w:rsidRPr="00574797" w:rsidTr="00574797">
        <w:trPr>
          <w:trHeight w:val="300"/>
        </w:trPr>
        <w:tc>
          <w:tcPr>
            <w:tcW w:w="573"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De Los Lagos</w:t>
            </w:r>
          </w:p>
        </w:tc>
        <w:tc>
          <w:tcPr>
            <w:tcW w:w="1094"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Marina del Sol Osorno</w:t>
            </w:r>
          </w:p>
        </w:tc>
        <w:tc>
          <w:tcPr>
            <w:tcW w:w="679"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77</w:t>
            </w:r>
          </w:p>
        </w:tc>
        <w:tc>
          <w:tcPr>
            <w:tcW w:w="655"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54</w:t>
            </w:r>
          </w:p>
        </w:tc>
        <w:tc>
          <w:tcPr>
            <w:tcW w:w="644"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104</w:t>
            </w:r>
          </w:p>
        </w:tc>
        <w:tc>
          <w:tcPr>
            <w:tcW w:w="655"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51</w:t>
            </w:r>
          </w:p>
        </w:tc>
        <w:tc>
          <w:tcPr>
            <w:tcW w:w="701"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376</w:t>
            </w:r>
          </w:p>
        </w:tc>
      </w:tr>
      <w:tr w:rsidR="00574797" w:rsidRPr="00574797" w:rsidTr="00574797">
        <w:trPr>
          <w:trHeight w:val="300"/>
        </w:trPr>
        <w:tc>
          <w:tcPr>
            <w:tcW w:w="573" w:type="pct"/>
            <w:vMerge/>
            <w:tcBorders>
              <w:top w:val="nil"/>
              <w:left w:val="single" w:sz="4" w:space="0" w:color="A6A6A6"/>
              <w:bottom w:val="single" w:sz="4" w:space="0" w:color="A6A6A6"/>
              <w:right w:val="single" w:sz="4" w:space="0" w:color="A6A6A6"/>
            </w:tcBorders>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p>
        </w:tc>
        <w:tc>
          <w:tcPr>
            <w:tcW w:w="1094"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proofErr w:type="spellStart"/>
            <w:r w:rsidRPr="00574797">
              <w:rPr>
                <w:rFonts w:ascii="Calibri" w:eastAsia="Times New Roman" w:hAnsi="Calibri" w:cs="Times New Roman"/>
                <w:color w:val="244062"/>
                <w:sz w:val="18"/>
                <w:szCs w:val="18"/>
                <w:lang w:eastAsia="es-CL"/>
              </w:rPr>
              <w:t>Enjoy</w:t>
            </w:r>
            <w:proofErr w:type="spellEnd"/>
            <w:r w:rsidRPr="00574797">
              <w:rPr>
                <w:rFonts w:ascii="Calibri" w:eastAsia="Times New Roman" w:hAnsi="Calibri" w:cs="Times New Roman"/>
                <w:color w:val="244062"/>
                <w:sz w:val="18"/>
                <w:szCs w:val="18"/>
                <w:lang w:eastAsia="es-CL"/>
              </w:rPr>
              <w:t xml:space="preserve"> Chiloé</w:t>
            </w:r>
          </w:p>
        </w:tc>
        <w:tc>
          <w:tcPr>
            <w:tcW w:w="679" w:type="pct"/>
            <w:vMerge/>
            <w:tcBorders>
              <w:top w:val="nil"/>
              <w:left w:val="single" w:sz="4" w:space="0" w:color="A6A6A6"/>
              <w:bottom w:val="single" w:sz="4" w:space="0" w:color="A6A6A6"/>
              <w:right w:val="single" w:sz="4" w:space="0" w:color="A6A6A6"/>
            </w:tcBorders>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p>
        </w:tc>
        <w:tc>
          <w:tcPr>
            <w:tcW w:w="655"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23</w:t>
            </w:r>
          </w:p>
        </w:tc>
        <w:tc>
          <w:tcPr>
            <w:tcW w:w="644"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44</w:t>
            </w:r>
          </w:p>
        </w:tc>
        <w:tc>
          <w:tcPr>
            <w:tcW w:w="655"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23</w:t>
            </w:r>
          </w:p>
        </w:tc>
        <w:tc>
          <w:tcPr>
            <w:tcW w:w="701" w:type="pct"/>
            <w:vMerge/>
            <w:tcBorders>
              <w:top w:val="nil"/>
              <w:left w:val="single" w:sz="4" w:space="0" w:color="A6A6A6"/>
              <w:bottom w:val="single" w:sz="4" w:space="0" w:color="A6A6A6"/>
              <w:right w:val="single" w:sz="4" w:space="0" w:color="A6A6A6"/>
            </w:tcBorders>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p>
        </w:tc>
      </w:tr>
      <w:tr w:rsidR="00574797" w:rsidRPr="00574797" w:rsidTr="00574797">
        <w:trPr>
          <w:trHeight w:val="300"/>
        </w:trPr>
        <w:tc>
          <w:tcPr>
            <w:tcW w:w="573" w:type="pct"/>
            <w:tcBorders>
              <w:top w:val="nil"/>
              <w:left w:val="single" w:sz="4" w:space="0" w:color="A6A6A6"/>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De Aysén</w:t>
            </w:r>
          </w:p>
        </w:tc>
        <w:tc>
          <w:tcPr>
            <w:tcW w:w="1094"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Dreams Coyhaique</w:t>
            </w:r>
          </w:p>
        </w:tc>
        <w:tc>
          <w:tcPr>
            <w:tcW w:w="679"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39</w:t>
            </w:r>
          </w:p>
        </w:tc>
        <w:tc>
          <w:tcPr>
            <w:tcW w:w="655"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39</w:t>
            </w:r>
          </w:p>
        </w:tc>
        <w:tc>
          <w:tcPr>
            <w:tcW w:w="644"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74</w:t>
            </w:r>
          </w:p>
        </w:tc>
        <w:tc>
          <w:tcPr>
            <w:tcW w:w="655"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36</w:t>
            </w:r>
          </w:p>
        </w:tc>
        <w:tc>
          <w:tcPr>
            <w:tcW w:w="701" w:type="pct"/>
            <w:tcBorders>
              <w:top w:val="nil"/>
              <w:left w:val="nil"/>
              <w:bottom w:val="single" w:sz="4" w:space="0" w:color="A6A6A6"/>
              <w:right w:val="single" w:sz="4" w:space="0" w:color="A6A6A6"/>
            </w:tcBorders>
            <w:shd w:val="clear" w:color="auto" w:fill="auto"/>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188</w:t>
            </w:r>
          </w:p>
        </w:tc>
      </w:tr>
      <w:tr w:rsidR="00574797" w:rsidRPr="00574797" w:rsidTr="00574797">
        <w:trPr>
          <w:trHeight w:val="300"/>
        </w:trPr>
        <w:tc>
          <w:tcPr>
            <w:tcW w:w="573" w:type="pct"/>
            <w:tcBorders>
              <w:top w:val="nil"/>
              <w:left w:val="single" w:sz="4" w:space="0" w:color="A6A6A6"/>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De Magallanes</w:t>
            </w:r>
          </w:p>
        </w:tc>
        <w:tc>
          <w:tcPr>
            <w:tcW w:w="1094"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Dreams Punta Arenas</w:t>
            </w:r>
          </w:p>
        </w:tc>
        <w:tc>
          <w:tcPr>
            <w:tcW w:w="679"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120</w:t>
            </w:r>
          </w:p>
        </w:tc>
        <w:tc>
          <w:tcPr>
            <w:tcW w:w="655"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120</w:t>
            </w:r>
          </w:p>
        </w:tc>
        <w:tc>
          <w:tcPr>
            <w:tcW w:w="644"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238</w:t>
            </w:r>
          </w:p>
        </w:tc>
        <w:tc>
          <w:tcPr>
            <w:tcW w:w="655"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113</w:t>
            </w:r>
          </w:p>
        </w:tc>
        <w:tc>
          <w:tcPr>
            <w:tcW w:w="701" w:type="pct"/>
            <w:tcBorders>
              <w:top w:val="nil"/>
              <w:left w:val="nil"/>
              <w:bottom w:val="single" w:sz="4" w:space="0" w:color="A6A6A6"/>
              <w:right w:val="single" w:sz="4" w:space="0" w:color="A6A6A6"/>
            </w:tcBorders>
            <w:shd w:val="clear" w:color="000000" w:fill="DAEEF3"/>
            <w:noWrap/>
            <w:vAlign w:val="center"/>
            <w:hideMark/>
          </w:tcPr>
          <w:p w:rsidR="00574797" w:rsidRPr="00574797" w:rsidRDefault="00574797" w:rsidP="00574797">
            <w:pPr>
              <w:spacing w:after="0" w:line="240" w:lineRule="auto"/>
              <w:jc w:val="center"/>
              <w:rPr>
                <w:rFonts w:ascii="Calibri" w:eastAsia="Times New Roman" w:hAnsi="Calibri" w:cs="Times New Roman"/>
                <w:color w:val="244062"/>
                <w:sz w:val="18"/>
                <w:szCs w:val="18"/>
                <w:lang w:eastAsia="es-CL"/>
              </w:rPr>
            </w:pPr>
            <w:r w:rsidRPr="00574797">
              <w:rPr>
                <w:rFonts w:ascii="Calibri" w:eastAsia="Times New Roman" w:hAnsi="Calibri" w:cs="Times New Roman"/>
                <w:color w:val="244062"/>
                <w:sz w:val="18"/>
                <w:szCs w:val="18"/>
                <w:lang w:eastAsia="es-CL"/>
              </w:rPr>
              <w:t>591</w:t>
            </w:r>
          </w:p>
        </w:tc>
      </w:tr>
      <w:tr w:rsidR="00574797" w:rsidRPr="00574797" w:rsidTr="00574797">
        <w:trPr>
          <w:trHeight w:val="300"/>
        </w:trPr>
        <w:tc>
          <w:tcPr>
            <w:tcW w:w="1667"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rsidR="00574797" w:rsidRPr="00574797" w:rsidRDefault="00574797" w:rsidP="00574797">
            <w:pPr>
              <w:spacing w:after="0" w:line="240" w:lineRule="auto"/>
              <w:jc w:val="center"/>
              <w:rPr>
                <w:rFonts w:ascii="Calibri" w:eastAsia="Times New Roman" w:hAnsi="Calibri" w:cs="Times New Roman"/>
                <w:b/>
                <w:bCs/>
                <w:color w:val="FFFFFF"/>
                <w:sz w:val="18"/>
                <w:szCs w:val="18"/>
                <w:lang w:eastAsia="es-CL"/>
              </w:rPr>
            </w:pPr>
            <w:r w:rsidRPr="00574797">
              <w:rPr>
                <w:rFonts w:ascii="Calibri" w:eastAsia="Times New Roman" w:hAnsi="Calibri" w:cs="Times New Roman"/>
                <w:b/>
                <w:bCs/>
                <w:color w:val="FFFFFF"/>
                <w:sz w:val="18"/>
                <w:szCs w:val="18"/>
                <w:lang w:eastAsia="es-CL"/>
              </w:rPr>
              <w:t>Total</w:t>
            </w:r>
          </w:p>
        </w:tc>
        <w:tc>
          <w:tcPr>
            <w:tcW w:w="679" w:type="pct"/>
            <w:tcBorders>
              <w:top w:val="nil"/>
              <w:left w:val="nil"/>
              <w:bottom w:val="single" w:sz="4" w:space="0" w:color="A6A6A6"/>
              <w:right w:val="single" w:sz="4" w:space="0" w:color="A6A6A6"/>
            </w:tcBorders>
            <w:shd w:val="clear" w:color="000000" w:fill="1F497D"/>
            <w:vAlign w:val="center"/>
            <w:hideMark/>
          </w:tcPr>
          <w:p w:rsidR="00574797" w:rsidRPr="00574797" w:rsidRDefault="00574797" w:rsidP="00574797">
            <w:pPr>
              <w:spacing w:after="0" w:line="240" w:lineRule="auto"/>
              <w:jc w:val="center"/>
              <w:rPr>
                <w:rFonts w:ascii="Calibri" w:eastAsia="Times New Roman" w:hAnsi="Calibri" w:cs="Times New Roman"/>
                <w:b/>
                <w:bCs/>
                <w:color w:val="FFFFFF"/>
                <w:sz w:val="18"/>
                <w:szCs w:val="18"/>
                <w:lang w:eastAsia="es-CL"/>
              </w:rPr>
            </w:pPr>
            <w:r w:rsidRPr="00574797">
              <w:rPr>
                <w:rFonts w:ascii="Calibri" w:eastAsia="Times New Roman" w:hAnsi="Calibri" w:cs="Times New Roman"/>
                <w:b/>
                <w:bCs/>
                <w:color w:val="FFFFFF"/>
                <w:sz w:val="18"/>
                <w:szCs w:val="18"/>
                <w:lang w:eastAsia="es-CL"/>
              </w:rPr>
              <w:t>2.063</w:t>
            </w:r>
          </w:p>
        </w:tc>
        <w:tc>
          <w:tcPr>
            <w:tcW w:w="655" w:type="pct"/>
            <w:tcBorders>
              <w:top w:val="nil"/>
              <w:left w:val="nil"/>
              <w:bottom w:val="single" w:sz="4" w:space="0" w:color="A6A6A6"/>
              <w:right w:val="single" w:sz="4" w:space="0" w:color="A6A6A6"/>
            </w:tcBorders>
            <w:shd w:val="clear" w:color="000000" w:fill="1F497D"/>
            <w:vAlign w:val="center"/>
            <w:hideMark/>
          </w:tcPr>
          <w:p w:rsidR="00574797" w:rsidRPr="00574797" w:rsidRDefault="00574797" w:rsidP="00574797">
            <w:pPr>
              <w:spacing w:after="0" w:line="240" w:lineRule="auto"/>
              <w:jc w:val="center"/>
              <w:rPr>
                <w:rFonts w:ascii="Calibri" w:eastAsia="Times New Roman" w:hAnsi="Calibri" w:cs="Times New Roman"/>
                <w:b/>
                <w:bCs/>
                <w:color w:val="FFFFFF"/>
                <w:sz w:val="18"/>
                <w:szCs w:val="18"/>
                <w:lang w:eastAsia="es-CL"/>
              </w:rPr>
            </w:pPr>
            <w:r w:rsidRPr="00574797">
              <w:rPr>
                <w:rFonts w:ascii="Calibri" w:eastAsia="Times New Roman" w:hAnsi="Calibri" w:cs="Times New Roman"/>
                <w:b/>
                <w:bCs/>
                <w:color w:val="FFFFFF"/>
                <w:sz w:val="18"/>
                <w:szCs w:val="18"/>
                <w:lang w:eastAsia="es-CL"/>
              </w:rPr>
              <w:t>2.063</w:t>
            </w:r>
          </w:p>
        </w:tc>
        <w:tc>
          <w:tcPr>
            <w:tcW w:w="644" w:type="pct"/>
            <w:tcBorders>
              <w:top w:val="nil"/>
              <w:left w:val="nil"/>
              <w:bottom w:val="single" w:sz="4" w:space="0" w:color="A6A6A6"/>
              <w:right w:val="single" w:sz="4" w:space="0" w:color="A6A6A6"/>
            </w:tcBorders>
            <w:shd w:val="clear" w:color="000000" w:fill="1F497D"/>
            <w:vAlign w:val="center"/>
            <w:hideMark/>
          </w:tcPr>
          <w:p w:rsidR="00574797" w:rsidRPr="00574797" w:rsidRDefault="00574797" w:rsidP="00574797">
            <w:pPr>
              <w:spacing w:after="0" w:line="240" w:lineRule="auto"/>
              <w:jc w:val="center"/>
              <w:rPr>
                <w:rFonts w:ascii="Calibri" w:eastAsia="Times New Roman" w:hAnsi="Calibri" w:cs="Times New Roman"/>
                <w:b/>
                <w:bCs/>
                <w:color w:val="FFFFFF"/>
                <w:sz w:val="18"/>
                <w:szCs w:val="18"/>
                <w:lang w:eastAsia="es-CL"/>
              </w:rPr>
            </w:pPr>
            <w:r w:rsidRPr="00574797">
              <w:rPr>
                <w:rFonts w:ascii="Calibri" w:eastAsia="Times New Roman" w:hAnsi="Calibri" w:cs="Times New Roman"/>
                <w:b/>
                <w:bCs/>
                <w:color w:val="FFFFFF"/>
                <w:sz w:val="18"/>
                <w:szCs w:val="18"/>
                <w:lang w:eastAsia="es-CL"/>
              </w:rPr>
              <w:t>4.036</w:t>
            </w:r>
          </w:p>
        </w:tc>
        <w:tc>
          <w:tcPr>
            <w:tcW w:w="655" w:type="pct"/>
            <w:tcBorders>
              <w:top w:val="nil"/>
              <w:left w:val="nil"/>
              <w:bottom w:val="single" w:sz="4" w:space="0" w:color="A6A6A6"/>
              <w:right w:val="single" w:sz="4" w:space="0" w:color="A6A6A6"/>
            </w:tcBorders>
            <w:shd w:val="clear" w:color="000000" w:fill="1F497D"/>
            <w:vAlign w:val="center"/>
            <w:hideMark/>
          </w:tcPr>
          <w:p w:rsidR="00574797" w:rsidRPr="00574797" w:rsidRDefault="00574797" w:rsidP="00574797">
            <w:pPr>
              <w:spacing w:after="0" w:line="240" w:lineRule="auto"/>
              <w:jc w:val="center"/>
              <w:rPr>
                <w:rFonts w:ascii="Calibri" w:eastAsia="Times New Roman" w:hAnsi="Calibri" w:cs="Times New Roman"/>
                <w:b/>
                <w:bCs/>
                <w:color w:val="FFFFFF"/>
                <w:sz w:val="18"/>
                <w:szCs w:val="18"/>
                <w:lang w:eastAsia="es-CL"/>
              </w:rPr>
            </w:pPr>
            <w:r w:rsidRPr="00574797">
              <w:rPr>
                <w:rFonts w:ascii="Calibri" w:eastAsia="Times New Roman" w:hAnsi="Calibri" w:cs="Times New Roman"/>
                <w:b/>
                <w:bCs/>
                <w:color w:val="FFFFFF"/>
                <w:sz w:val="18"/>
                <w:szCs w:val="18"/>
                <w:lang w:eastAsia="es-CL"/>
              </w:rPr>
              <w:t>1.524</w:t>
            </w:r>
          </w:p>
        </w:tc>
        <w:tc>
          <w:tcPr>
            <w:tcW w:w="701" w:type="pct"/>
            <w:tcBorders>
              <w:top w:val="nil"/>
              <w:left w:val="nil"/>
              <w:bottom w:val="single" w:sz="4" w:space="0" w:color="A6A6A6"/>
              <w:right w:val="single" w:sz="4" w:space="0" w:color="A6A6A6"/>
            </w:tcBorders>
            <w:shd w:val="clear" w:color="000000" w:fill="1F497D"/>
            <w:vAlign w:val="center"/>
            <w:hideMark/>
          </w:tcPr>
          <w:p w:rsidR="00574797" w:rsidRPr="00574797" w:rsidRDefault="00574797" w:rsidP="00574797">
            <w:pPr>
              <w:spacing w:after="0" w:line="240" w:lineRule="auto"/>
              <w:jc w:val="center"/>
              <w:rPr>
                <w:rFonts w:ascii="Calibri" w:eastAsia="Times New Roman" w:hAnsi="Calibri" w:cs="Times New Roman"/>
                <w:b/>
                <w:bCs/>
                <w:color w:val="FFFFFF"/>
                <w:sz w:val="18"/>
                <w:szCs w:val="18"/>
                <w:lang w:eastAsia="es-CL"/>
              </w:rPr>
            </w:pPr>
            <w:r w:rsidRPr="00574797">
              <w:rPr>
                <w:rFonts w:ascii="Calibri" w:eastAsia="Times New Roman" w:hAnsi="Calibri" w:cs="Times New Roman"/>
                <w:b/>
                <w:bCs/>
                <w:color w:val="FFFFFF"/>
                <w:sz w:val="18"/>
                <w:szCs w:val="18"/>
                <w:lang w:eastAsia="es-CL"/>
              </w:rPr>
              <w:t>9.686</w:t>
            </w:r>
          </w:p>
        </w:tc>
      </w:tr>
    </w:tbl>
    <w:p w:rsidR="00FB3D8B" w:rsidRDefault="00FB3D8B" w:rsidP="00E0320F">
      <w:pPr>
        <w:tabs>
          <w:tab w:val="left" w:pos="0"/>
        </w:tabs>
        <w:spacing w:after="0" w:line="240" w:lineRule="auto"/>
        <w:rPr>
          <w:rFonts w:ascii="Calibri" w:hAnsi="Calibri" w:cs="Arial"/>
          <w:b/>
          <w:sz w:val="20"/>
          <w:szCs w:val="20"/>
        </w:rPr>
      </w:pPr>
    </w:p>
    <w:p w:rsidR="00AC7932" w:rsidRDefault="00AC7932"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643409" w:rsidRDefault="00643409" w:rsidP="00E0320F">
      <w:pPr>
        <w:tabs>
          <w:tab w:val="left" w:pos="0"/>
        </w:tabs>
        <w:spacing w:after="0" w:line="240" w:lineRule="auto"/>
        <w:rPr>
          <w:rFonts w:ascii="Calibri" w:hAnsi="Calibri" w:cs="Arial"/>
          <w:b/>
          <w:sz w:val="20"/>
          <w:szCs w:val="20"/>
        </w:rPr>
      </w:pPr>
    </w:p>
    <w:p w:rsidR="005B1CCB" w:rsidRDefault="005B1CCB" w:rsidP="00E0320F">
      <w:pPr>
        <w:tabs>
          <w:tab w:val="left" w:pos="0"/>
        </w:tabs>
        <w:spacing w:after="0" w:line="240" w:lineRule="auto"/>
        <w:rPr>
          <w:rFonts w:ascii="Calibri" w:hAnsi="Calibri" w:cs="Arial"/>
          <w:b/>
          <w:sz w:val="20"/>
          <w:szCs w:val="20"/>
        </w:rPr>
      </w:pPr>
    </w:p>
    <w:p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rsidR="00FB3D8B" w:rsidRDefault="00FB3D8B" w:rsidP="00E0320F">
      <w:pPr>
        <w:tabs>
          <w:tab w:val="left" w:pos="0"/>
        </w:tabs>
        <w:spacing w:after="0" w:line="240" w:lineRule="auto"/>
        <w:rPr>
          <w:rFonts w:ascii="Calibri" w:hAnsi="Calibri" w:cs="Arial"/>
          <w:b/>
          <w:sz w:val="20"/>
          <w:szCs w:val="20"/>
        </w:rPr>
      </w:pPr>
    </w:p>
    <w:p w:rsidR="00FB3D8B" w:rsidRDefault="00FB3D8B" w:rsidP="00E0320F">
      <w:pPr>
        <w:tabs>
          <w:tab w:val="left" w:pos="0"/>
        </w:tabs>
        <w:spacing w:after="0" w:line="240" w:lineRule="auto"/>
        <w:rPr>
          <w:rFonts w:ascii="Calibri" w:hAnsi="Calibri" w:cs="Arial"/>
          <w:b/>
          <w:sz w:val="20"/>
          <w:szCs w:val="20"/>
        </w:rPr>
      </w:pPr>
    </w:p>
    <w:p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2015-2016</w:t>
      </w:r>
    </w:p>
    <w:p w:rsidR="00BE4A8E" w:rsidRPr="00BE4A8E" w:rsidRDefault="00BE4A8E" w:rsidP="00BE4A8E">
      <w:pPr>
        <w:pStyle w:val="Prrafodelista"/>
        <w:tabs>
          <w:tab w:val="left" w:pos="0"/>
        </w:tabs>
        <w:ind w:left="0"/>
        <w:rPr>
          <w:b/>
        </w:rPr>
      </w:pPr>
    </w:p>
    <w:p w:rsidR="00FB3D8B" w:rsidRDefault="000C1CF5" w:rsidP="00FB3D8B">
      <w:pPr>
        <w:pStyle w:val="Prrafodelista"/>
        <w:tabs>
          <w:tab w:val="left" w:pos="0"/>
        </w:tabs>
        <w:ind w:left="0"/>
        <w:rPr>
          <w:b/>
        </w:rPr>
      </w:pPr>
      <w:r>
        <w:rPr>
          <w:b/>
          <w:noProof/>
          <w:lang w:eastAsia="es-CL"/>
        </w:rPr>
        <w:drawing>
          <wp:inline distT="0" distB="0" distL="0" distR="0" wp14:anchorId="73FDD4C4" wp14:editId="783B1B2F">
            <wp:extent cx="5437983" cy="1396548"/>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98233" cy="1412021"/>
                    </a:xfrm>
                    <a:prstGeom prst="rect">
                      <a:avLst/>
                    </a:prstGeom>
                    <a:noFill/>
                  </pic:spPr>
                </pic:pic>
              </a:graphicData>
            </a:graphic>
          </wp:inline>
        </w:drawing>
      </w:r>
    </w:p>
    <w:p w:rsidR="00196290" w:rsidRDefault="00196290" w:rsidP="00FB3D8B">
      <w:pPr>
        <w:pStyle w:val="Prrafodelista"/>
        <w:tabs>
          <w:tab w:val="left" w:pos="0"/>
        </w:tabs>
        <w:ind w:left="0"/>
        <w:rPr>
          <w:b/>
        </w:rPr>
      </w:pPr>
    </w:p>
    <w:p w:rsidR="00196290" w:rsidRDefault="00196290" w:rsidP="00FB3D8B">
      <w:pPr>
        <w:pStyle w:val="Prrafodelista"/>
        <w:tabs>
          <w:tab w:val="left" w:pos="0"/>
        </w:tabs>
        <w:ind w:left="0"/>
        <w:rPr>
          <w:b/>
        </w:rPr>
      </w:pPr>
    </w:p>
    <w:p w:rsidR="00196290" w:rsidRDefault="00196290" w:rsidP="00FB3D8B">
      <w:pPr>
        <w:pStyle w:val="Prrafodelista"/>
        <w:tabs>
          <w:tab w:val="left" w:pos="0"/>
        </w:tabs>
        <w:ind w:left="0"/>
        <w:rPr>
          <w:b/>
        </w:rPr>
      </w:pPr>
    </w:p>
    <w:p w:rsidR="00FB3D8B" w:rsidRPr="001E2D5F" w:rsidRDefault="00FB3D8B" w:rsidP="00FB3D8B">
      <w:pPr>
        <w:pStyle w:val="Prrafodelista"/>
        <w:tabs>
          <w:tab w:val="left" w:pos="0"/>
        </w:tabs>
        <w:ind w:left="0"/>
        <w:rPr>
          <w:b/>
        </w:rPr>
      </w:pPr>
    </w:p>
    <w:p w:rsidR="00FB3D8B" w:rsidRDefault="00FB3D8B" w:rsidP="00FB3D8B">
      <w:pPr>
        <w:pStyle w:val="Prrafodelista"/>
        <w:numPr>
          <w:ilvl w:val="0"/>
          <w:numId w:val="1"/>
        </w:numPr>
        <w:tabs>
          <w:tab w:val="left" w:pos="0"/>
          <w:tab w:val="left" w:pos="6285"/>
        </w:tabs>
        <w:ind w:left="0"/>
        <w:jc w:val="left"/>
        <w:rPr>
          <w:b/>
          <w:sz w:val="21"/>
          <w:szCs w:val="21"/>
        </w:rPr>
      </w:pPr>
      <w:r w:rsidRPr="003D15B6">
        <w:rPr>
          <w:b/>
          <w:sz w:val="21"/>
          <w:szCs w:val="21"/>
        </w:rPr>
        <w:t>Ingresos brutos del juego o win en valores nominales ($) y reales (UF)</w:t>
      </w:r>
      <w:r>
        <w:rPr>
          <w:b/>
          <w:sz w:val="21"/>
          <w:szCs w:val="21"/>
        </w:rPr>
        <w:t>: Año 2015</w:t>
      </w:r>
      <w:r w:rsidRPr="003D15B6">
        <w:rPr>
          <w:b/>
          <w:sz w:val="21"/>
          <w:szCs w:val="21"/>
        </w:rPr>
        <w:t>-201</w:t>
      </w:r>
      <w:r>
        <w:rPr>
          <w:b/>
          <w:sz w:val="21"/>
          <w:szCs w:val="21"/>
        </w:rPr>
        <w:t>6</w:t>
      </w:r>
    </w:p>
    <w:p w:rsidR="003B0C64" w:rsidRDefault="003B0C64" w:rsidP="003B0C64">
      <w:pPr>
        <w:pStyle w:val="Prrafodelista"/>
        <w:tabs>
          <w:tab w:val="left" w:pos="0"/>
          <w:tab w:val="left" w:pos="6285"/>
        </w:tabs>
        <w:ind w:left="0"/>
        <w:jc w:val="left"/>
        <w:rPr>
          <w:b/>
          <w:sz w:val="21"/>
          <w:szCs w:val="21"/>
        </w:rPr>
      </w:pPr>
    </w:p>
    <w:tbl>
      <w:tblPr>
        <w:tblW w:w="0" w:type="auto"/>
        <w:tblLayout w:type="fixed"/>
        <w:tblCellMar>
          <w:left w:w="70" w:type="dxa"/>
          <w:right w:w="70" w:type="dxa"/>
        </w:tblCellMar>
        <w:tblLook w:val="04A0" w:firstRow="1" w:lastRow="0" w:firstColumn="1" w:lastColumn="0" w:noHBand="0" w:noVBand="1"/>
      </w:tblPr>
      <w:tblGrid>
        <w:gridCol w:w="1276"/>
        <w:gridCol w:w="567"/>
        <w:gridCol w:w="586"/>
        <w:gridCol w:w="762"/>
        <w:gridCol w:w="637"/>
        <w:gridCol w:w="708"/>
        <w:gridCol w:w="686"/>
        <w:gridCol w:w="538"/>
        <w:gridCol w:w="549"/>
        <w:gridCol w:w="549"/>
        <w:gridCol w:w="549"/>
        <w:gridCol w:w="531"/>
        <w:gridCol w:w="556"/>
      </w:tblGrid>
      <w:tr w:rsidR="00DB1263" w:rsidRPr="00CA6263" w:rsidTr="00C708EE">
        <w:trPr>
          <w:trHeight w:val="240"/>
        </w:trPr>
        <w:tc>
          <w:tcPr>
            <w:tcW w:w="1276" w:type="dxa"/>
            <w:tcBorders>
              <w:top w:val="nil"/>
              <w:left w:val="nil"/>
              <w:bottom w:val="nil"/>
              <w:right w:val="nil"/>
            </w:tcBorders>
            <w:shd w:val="clear" w:color="auto" w:fill="auto"/>
            <w:noWrap/>
            <w:vAlign w:val="bottom"/>
            <w:hideMark/>
          </w:tcPr>
          <w:p w:rsidR="00FB3D8B" w:rsidRPr="00CA6263" w:rsidRDefault="00FB3D8B" w:rsidP="00DE53E5">
            <w:pPr>
              <w:spacing w:after="0" w:line="240" w:lineRule="auto"/>
              <w:jc w:val="left"/>
              <w:rPr>
                <w:rFonts w:ascii="Times New Roman" w:eastAsia="Times New Roman" w:hAnsi="Times New Roman" w:cs="Times New Roman"/>
                <w:sz w:val="24"/>
                <w:szCs w:val="24"/>
                <w:lang w:eastAsia="es-CL"/>
              </w:rPr>
            </w:pPr>
          </w:p>
        </w:tc>
        <w:tc>
          <w:tcPr>
            <w:tcW w:w="567" w:type="dxa"/>
            <w:tcBorders>
              <w:top w:val="single" w:sz="8" w:space="0" w:color="auto"/>
              <w:left w:val="single" w:sz="8" w:space="0" w:color="auto"/>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Ene</w:t>
            </w:r>
          </w:p>
        </w:tc>
        <w:tc>
          <w:tcPr>
            <w:tcW w:w="586"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Feb</w:t>
            </w:r>
          </w:p>
        </w:tc>
        <w:tc>
          <w:tcPr>
            <w:tcW w:w="762"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Mar</w:t>
            </w:r>
          </w:p>
        </w:tc>
        <w:tc>
          <w:tcPr>
            <w:tcW w:w="637"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Abr</w:t>
            </w:r>
          </w:p>
        </w:tc>
        <w:tc>
          <w:tcPr>
            <w:tcW w:w="708"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proofErr w:type="spellStart"/>
            <w:r w:rsidRPr="00CA6263">
              <w:rPr>
                <w:rFonts w:ascii="Calibri" w:eastAsia="Times New Roman" w:hAnsi="Calibri" w:cs="Times New Roman"/>
                <w:b/>
                <w:bCs/>
                <w:color w:val="FFFFFF"/>
                <w:sz w:val="12"/>
                <w:szCs w:val="12"/>
                <w:lang w:eastAsia="es-CL"/>
              </w:rPr>
              <w:t>May</w:t>
            </w:r>
            <w:proofErr w:type="spellEnd"/>
          </w:p>
        </w:tc>
        <w:tc>
          <w:tcPr>
            <w:tcW w:w="686"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Jun</w:t>
            </w:r>
          </w:p>
        </w:tc>
        <w:tc>
          <w:tcPr>
            <w:tcW w:w="538"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Jul</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proofErr w:type="spellStart"/>
            <w:r w:rsidRPr="00CA6263">
              <w:rPr>
                <w:rFonts w:ascii="Calibri" w:eastAsia="Times New Roman" w:hAnsi="Calibri" w:cs="Times New Roman"/>
                <w:b/>
                <w:bCs/>
                <w:color w:val="FFFFFF"/>
                <w:sz w:val="12"/>
                <w:szCs w:val="12"/>
                <w:lang w:eastAsia="es-CL"/>
              </w:rPr>
              <w:t>Ago</w:t>
            </w:r>
            <w:proofErr w:type="spellEnd"/>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Sep</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Oct</w:t>
            </w:r>
          </w:p>
        </w:tc>
        <w:tc>
          <w:tcPr>
            <w:tcW w:w="531"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Nov</w:t>
            </w:r>
          </w:p>
        </w:tc>
        <w:tc>
          <w:tcPr>
            <w:tcW w:w="556"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Dic</w:t>
            </w:r>
          </w:p>
        </w:tc>
      </w:tr>
      <w:tr w:rsidR="00FB3D8B" w:rsidRPr="00CA6263"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FB3D8B" w:rsidRPr="00CA6263"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574797" w:rsidRPr="00CA6263" w:rsidTr="00C708EE">
        <w:trPr>
          <w:trHeight w:val="551"/>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rsidR="00574797" w:rsidRPr="00C708EE" w:rsidRDefault="00574797" w:rsidP="00574797">
            <w:pPr>
              <w:spacing w:line="240" w:lineRule="auto"/>
              <w:jc w:val="left"/>
              <w:rPr>
                <w:rFonts w:ascii="Calibri" w:hAnsi="Calibri"/>
                <w:color w:val="000000"/>
                <w:sz w:val="10"/>
                <w:szCs w:val="12"/>
              </w:rPr>
            </w:pPr>
            <w:r w:rsidRPr="00C708EE">
              <w:rPr>
                <w:rFonts w:ascii="Calibri" w:hAnsi="Calibri"/>
                <w:color w:val="000000"/>
                <w:sz w:val="10"/>
                <w:szCs w:val="12"/>
              </w:rPr>
              <w:t>WIN Enero 2015-Diciembre 2015 ($ millones)</w:t>
            </w:r>
          </w:p>
        </w:tc>
        <w:tc>
          <w:tcPr>
            <w:tcW w:w="567"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14.090 </w:t>
            </w:r>
          </w:p>
        </w:tc>
        <w:tc>
          <w:tcPr>
            <w:tcW w:w="586"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13.956 </w:t>
            </w:r>
          </w:p>
        </w:tc>
        <w:tc>
          <w:tcPr>
            <w:tcW w:w="762"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10.453 </w:t>
            </w:r>
          </w:p>
        </w:tc>
        <w:tc>
          <w:tcPr>
            <w:tcW w:w="637"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11.011 </w:t>
            </w:r>
          </w:p>
        </w:tc>
        <w:tc>
          <w:tcPr>
            <w:tcW w:w="708"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11.298 </w:t>
            </w:r>
          </w:p>
        </w:tc>
        <w:tc>
          <w:tcPr>
            <w:tcW w:w="686"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10.033 </w:t>
            </w:r>
          </w:p>
        </w:tc>
        <w:tc>
          <w:tcPr>
            <w:tcW w:w="538"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11.478 </w:t>
            </w:r>
          </w:p>
        </w:tc>
        <w:tc>
          <w:tcPr>
            <w:tcW w:w="549"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10.400 </w:t>
            </w:r>
          </w:p>
        </w:tc>
        <w:tc>
          <w:tcPr>
            <w:tcW w:w="549"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10.084 </w:t>
            </w:r>
          </w:p>
        </w:tc>
        <w:tc>
          <w:tcPr>
            <w:tcW w:w="549"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10.987 </w:t>
            </w:r>
          </w:p>
        </w:tc>
        <w:tc>
          <w:tcPr>
            <w:tcW w:w="531"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10.019 </w:t>
            </w:r>
          </w:p>
        </w:tc>
        <w:tc>
          <w:tcPr>
            <w:tcW w:w="556"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10.822 </w:t>
            </w:r>
          </w:p>
        </w:tc>
      </w:tr>
      <w:tr w:rsidR="00574797" w:rsidRPr="00CA6263"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rsidR="00574797" w:rsidRPr="00C708EE" w:rsidRDefault="00574797" w:rsidP="00574797">
            <w:pPr>
              <w:jc w:val="left"/>
              <w:rPr>
                <w:rFonts w:ascii="Calibri" w:hAnsi="Calibri"/>
                <w:color w:val="000000"/>
                <w:sz w:val="10"/>
                <w:szCs w:val="12"/>
              </w:rPr>
            </w:pPr>
            <w:r w:rsidRPr="00C708EE">
              <w:rPr>
                <w:rFonts w:ascii="Calibri" w:hAnsi="Calibri"/>
                <w:color w:val="000000"/>
                <w:sz w:val="10"/>
                <w:szCs w:val="12"/>
              </w:rPr>
              <w:t>WIN Enero 2016-Diciembre 2016 ($ millones)</w:t>
            </w:r>
          </w:p>
        </w:tc>
        <w:tc>
          <w:tcPr>
            <w:tcW w:w="567"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14.721 </w:t>
            </w:r>
          </w:p>
        </w:tc>
        <w:tc>
          <w:tcPr>
            <w:tcW w:w="586"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16.670 </w:t>
            </w:r>
          </w:p>
        </w:tc>
        <w:tc>
          <w:tcPr>
            <w:tcW w:w="762"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12.584 </w:t>
            </w:r>
          </w:p>
        </w:tc>
        <w:tc>
          <w:tcPr>
            <w:tcW w:w="637"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11.067 </w:t>
            </w:r>
          </w:p>
        </w:tc>
        <w:tc>
          <w:tcPr>
            <w:tcW w:w="708"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11.083 </w:t>
            </w:r>
          </w:p>
        </w:tc>
        <w:tc>
          <w:tcPr>
            <w:tcW w:w="686"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10.675 </w:t>
            </w:r>
          </w:p>
        </w:tc>
        <w:tc>
          <w:tcPr>
            <w:tcW w:w="538"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12.648 </w:t>
            </w:r>
          </w:p>
        </w:tc>
        <w:tc>
          <w:tcPr>
            <w:tcW w:w="549"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11.041 </w:t>
            </w:r>
          </w:p>
        </w:tc>
        <w:tc>
          <w:tcPr>
            <w:tcW w:w="549" w:type="dxa"/>
            <w:tcBorders>
              <w:top w:val="nil"/>
              <w:left w:val="nil"/>
              <w:bottom w:val="single" w:sz="8" w:space="0" w:color="auto"/>
              <w:right w:val="single" w:sz="8" w:space="0" w:color="auto"/>
            </w:tcBorders>
            <w:shd w:val="clear" w:color="000000" w:fill="DCE6F1"/>
            <w:noWrap/>
            <w:vAlign w:val="bottom"/>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11.455 </w:t>
            </w:r>
          </w:p>
        </w:tc>
        <w:tc>
          <w:tcPr>
            <w:tcW w:w="549" w:type="dxa"/>
            <w:tcBorders>
              <w:top w:val="nil"/>
              <w:left w:val="nil"/>
              <w:bottom w:val="single" w:sz="8" w:space="0" w:color="auto"/>
              <w:right w:val="single" w:sz="8" w:space="0" w:color="auto"/>
            </w:tcBorders>
            <w:shd w:val="clear" w:color="000000" w:fill="DCE6F1"/>
            <w:noWrap/>
            <w:vAlign w:val="bottom"/>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11.961 </w:t>
            </w:r>
          </w:p>
        </w:tc>
        <w:tc>
          <w:tcPr>
            <w:tcW w:w="531" w:type="dxa"/>
            <w:tcBorders>
              <w:top w:val="nil"/>
              <w:left w:val="nil"/>
              <w:bottom w:val="single" w:sz="8" w:space="0" w:color="auto"/>
              <w:right w:val="single" w:sz="8" w:space="0" w:color="auto"/>
            </w:tcBorders>
            <w:shd w:val="clear" w:color="000000" w:fill="DCE6F1"/>
            <w:noWrap/>
            <w:vAlign w:val="bottom"/>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10.105 </w:t>
            </w:r>
          </w:p>
        </w:tc>
        <w:tc>
          <w:tcPr>
            <w:tcW w:w="556" w:type="dxa"/>
            <w:tcBorders>
              <w:top w:val="nil"/>
              <w:left w:val="nil"/>
              <w:bottom w:val="single" w:sz="8" w:space="0" w:color="auto"/>
              <w:right w:val="single" w:sz="8" w:space="0" w:color="auto"/>
            </w:tcBorders>
            <w:shd w:val="clear" w:color="000000" w:fill="DCE6F1"/>
            <w:noWrap/>
            <w:vAlign w:val="bottom"/>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11.873 </w:t>
            </w:r>
          </w:p>
        </w:tc>
      </w:tr>
      <w:tr w:rsidR="00574797" w:rsidRPr="00CA6263"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rsidR="00574797" w:rsidRPr="00C708EE" w:rsidRDefault="00574797" w:rsidP="00574797">
            <w:pPr>
              <w:jc w:val="left"/>
              <w:rPr>
                <w:rFonts w:ascii="Calibri" w:hAnsi="Calibri"/>
                <w:color w:val="000000"/>
                <w:sz w:val="10"/>
                <w:szCs w:val="12"/>
              </w:rPr>
            </w:pPr>
            <w:r w:rsidRPr="00C708EE">
              <w:rPr>
                <w:rFonts w:ascii="Calibri" w:hAnsi="Calibri"/>
                <w:color w:val="000000"/>
                <w:sz w:val="10"/>
                <w:szCs w:val="12"/>
              </w:rPr>
              <w:t xml:space="preserve">Crecimiento Win </w:t>
            </w:r>
            <w:r w:rsidRPr="00C708EE">
              <w:rPr>
                <w:rFonts w:ascii="Calibri" w:hAnsi="Calibri"/>
                <w:b/>
                <w:bCs/>
                <w:color w:val="000000"/>
                <w:sz w:val="10"/>
                <w:szCs w:val="12"/>
              </w:rPr>
              <w:t>Nominal</w:t>
            </w:r>
          </w:p>
        </w:tc>
        <w:tc>
          <w:tcPr>
            <w:tcW w:w="567"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4,5%</w:t>
            </w:r>
          </w:p>
        </w:tc>
        <w:tc>
          <w:tcPr>
            <w:tcW w:w="586"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19,5%</w:t>
            </w:r>
          </w:p>
        </w:tc>
        <w:tc>
          <w:tcPr>
            <w:tcW w:w="762"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20,4%</w:t>
            </w:r>
          </w:p>
        </w:tc>
        <w:tc>
          <w:tcPr>
            <w:tcW w:w="637"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0,5%</w:t>
            </w:r>
          </w:p>
        </w:tc>
        <w:tc>
          <w:tcPr>
            <w:tcW w:w="708"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-1,9%</w:t>
            </w:r>
          </w:p>
        </w:tc>
        <w:tc>
          <w:tcPr>
            <w:tcW w:w="686"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6,4%</w:t>
            </w:r>
          </w:p>
        </w:tc>
        <w:tc>
          <w:tcPr>
            <w:tcW w:w="538"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10,2%</w:t>
            </w:r>
          </w:p>
        </w:tc>
        <w:tc>
          <w:tcPr>
            <w:tcW w:w="549"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6,2%</w:t>
            </w:r>
          </w:p>
        </w:tc>
        <w:tc>
          <w:tcPr>
            <w:tcW w:w="549" w:type="dxa"/>
            <w:tcBorders>
              <w:top w:val="nil"/>
              <w:left w:val="nil"/>
              <w:bottom w:val="single" w:sz="8" w:space="0" w:color="auto"/>
              <w:right w:val="single" w:sz="8" w:space="0" w:color="auto"/>
            </w:tcBorders>
            <w:shd w:val="clear" w:color="000000" w:fill="DCE6F1"/>
            <w:noWrap/>
            <w:vAlign w:val="bottom"/>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13,6%</w:t>
            </w:r>
          </w:p>
        </w:tc>
        <w:tc>
          <w:tcPr>
            <w:tcW w:w="549" w:type="dxa"/>
            <w:tcBorders>
              <w:top w:val="nil"/>
              <w:left w:val="nil"/>
              <w:bottom w:val="single" w:sz="8" w:space="0" w:color="auto"/>
              <w:right w:val="single" w:sz="8" w:space="0" w:color="auto"/>
            </w:tcBorders>
            <w:shd w:val="clear" w:color="000000" w:fill="DCE6F1"/>
            <w:noWrap/>
            <w:vAlign w:val="bottom"/>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8,9%</w:t>
            </w:r>
          </w:p>
        </w:tc>
        <w:tc>
          <w:tcPr>
            <w:tcW w:w="531" w:type="dxa"/>
            <w:tcBorders>
              <w:top w:val="nil"/>
              <w:left w:val="nil"/>
              <w:bottom w:val="single" w:sz="8" w:space="0" w:color="auto"/>
              <w:right w:val="single" w:sz="8" w:space="0" w:color="auto"/>
            </w:tcBorders>
            <w:shd w:val="clear" w:color="000000" w:fill="DCE6F1"/>
            <w:noWrap/>
            <w:vAlign w:val="bottom"/>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0,9%</w:t>
            </w:r>
          </w:p>
        </w:tc>
        <w:tc>
          <w:tcPr>
            <w:tcW w:w="556" w:type="dxa"/>
            <w:tcBorders>
              <w:top w:val="nil"/>
              <w:left w:val="nil"/>
              <w:bottom w:val="single" w:sz="8" w:space="0" w:color="auto"/>
              <w:right w:val="single" w:sz="8" w:space="0" w:color="auto"/>
            </w:tcBorders>
            <w:shd w:val="clear" w:color="000000" w:fill="DCE6F1"/>
            <w:noWrap/>
            <w:vAlign w:val="bottom"/>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9,7%</w:t>
            </w:r>
          </w:p>
        </w:tc>
      </w:tr>
      <w:tr w:rsidR="00FB3D8B" w:rsidRPr="00CA6263" w:rsidTr="00C708EE">
        <w:trPr>
          <w:trHeight w:val="195"/>
        </w:trPr>
        <w:tc>
          <w:tcPr>
            <w:tcW w:w="7938"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rsidR="00FB3D8B" w:rsidRPr="00C708EE" w:rsidRDefault="00FB3D8B" w:rsidP="00DE53E5">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Nominal (Anual)</w:t>
            </w:r>
          </w:p>
        </w:tc>
        <w:tc>
          <w:tcPr>
            <w:tcW w:w="556" w:type="dxa"/>
            <w:tcBorders>
              <w:top w:val="nil"/>
              <w:left w:val="nil"/>
              <w:bottom w:val="single" w:sz="8" w:space="0" w:color="auto"/>
              <w:right w:val="single" w:sz="8" w:space="0" w:color="auto"/>
            </w:tcBorders>
            <w:shd w:val="clear" w:color="000000" w:fill="DCE6F1"/>
            <w:noWrap/>
            <w:vAlign w:val="bottom"/>
            <w:hideMark/>
          </w:tcPr>
          <w:p w:rsidR="00FB3D8B" w:rsidRPr="00C708EE" w:rsidRDefault="00BE4A8E" w:rsidP="00574797">
            <w:pPr>
              <w:spacing w:after="0" w:line="240" w:lineRule="auto"/>
              <w:jc w:val="center"/>
              <w:rPr>
                <w:rFonts w:ascii="Calibri" w:eastAsia="Times New Roman" w:hAnsi="Calibri" w:cs="Times New Roman"/>
                <w:color w:val="000000"/>
                <w:sz w:val="10"/>
                <w:szCs w:val="12"/>
                <w:lang w:eastAsia="es-CL"/>
              </w:rPr>
            </w:pPr>
            <w:r w:rsidRPr="00C708EE">
              <w:rPr>
                <w:rFonts w:ascii="Calibri" w:eastAsia="Times New Roman" w:hAnsi="Calibri" w:cs="Times New Roman"/>
                <w:color w:val="000000"/>
                <w:sz w:val="10"/>
                <w:szCs w:val="12"/>
                <w:lang w:eastAsia="es-CL"/>
              </w:rPr>
              <w:t>8,</w:t>
            </w:r>
            <w:r w:rsidR="00574797" w:rsidRPr="00C708EE">
              <w:rPr>
                <w:rFonts w:ascii="Calibri" w:eastAsia="Times New Roman" w:hAnsi="Calibri" w:cs="Times New Roman"/>
                <w:color w:val="000000"/>
                <w:sz w:val="10"/>
                <w:szCs w:val="12"/>
                <w:lang w:eastAsia="es-CL"/>
              </w:rPr>
              <w:t>4</w:t>
            </w:r>
            <w:r w:rsidR="00FB3D8B" w:rsidRPr="00C708EE">
              <w:rPr>
                <w:rFonts w:ascii="Calibri" w:eastAsia="Times New Roman" w:hAnsi="Calibri" w:cs="Times New Roman"/>
                <w:color w:val="000000"/>
                <w:sz w:val="10"/>
                <w:szCs w:val="12"/>
                <w:lang w:eastAsia="es-CL"/>
              </w:rPr>
              <w:t>%</w:t>
            </w:r>
          </w:p>
        </w:tc>
      </w:tr>
      <w:tr w:rsidR="00FB3D8B" w:rsidRPr="00CA6263"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rsidR="00FB3D8B" w:rsidRPr="00C708EE" w:rsidRDefault="00FB3D8B" w:rsidP="00DE53E5">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Ingresos brutos del juego o win (U.F.)</w:t>
            </w:r>
          </w:p>
        </w:tc>
      </w:tr>
      <w:tr w:rsidR="00FB3D8B" w:rsidRPr="00CA6263"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rsidR="00FB3D8B" w:rsidRPr="00C708EE" w:rsidRDefault="00FB3D8B" w:rsidP="00DE53E5">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574797" w:rsidRPr="00CA6263"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rsidR="00574797" w:rsidRPr="00C708EE" w:rsidRDefault="00574797" w:rsidP="00574797">
            <w:pPr>
              <w:spacing w:line="240" w:lineRule="auto"/>
              <w:jc w:val="left"/>
              <w:rPr>
                <w:rFonts w:ascii="Calibri" w:hAnsi="Calibri"/>
                <w:color w:val="000000"/>
                <w:sz w:val="10"/>
                <w:szCs w:val="12"/>
              </w:rPr>
            </w:pPr>
            <w:r w:rsidRPr="00C708EE">
              <w:rPr>
                <w:rFonts w:ascii="Calibri" w:hAnsi="Calibri"/>
                <w:color w:val="000000"/>
                <w:sz w:val="10"/>
                <w:szCs w:val="12"/>
              </w:rPr>
              <w:t>WIN Enero 2015-Diciembre 2015 (UF)</w:t>
            </w:r>
          </w:p>
        </w:tc>
        <w:tc>
          <w:tcPr>
            <w:tcW w:w="567"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573.750 </w:t>
            </w:r>
          </w:p>
        </w:tc>
        <w:tc>
          <w:tcPr>
            <w:tcW w:w="586"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568.573 </w:t>
            </w:r>
          </w:p>
        </w:tc>
        <w:tc>
          <w:tcPr>
            <w:tcW w:w="762"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424.455 </w:t>
            </w:r>
          </w:p>
        </w:tc>
        <w:tc>
          <w:tcPr>
            <w:tcW w:w="637"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448.395 </w:t>
            </w:r>
          </w:p>
        </w:tc>
        <w:tc>
          <w:tcPr>
            <w:tcW w:w="708"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460.288 </w:t>
            </w:r>
          </w:p>
        </w:tc>
        <w:tc>
          <w:tcPr>
            <w:tcW w:w="686"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407.487 </w:t>
            </w:r>
          </w:p>
        </w:tc>
        <w:tc>
          <w:tcPr>
            <w:tcW w:w="538"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463.665 </w:t>
            </w:r>
          </w:p>
        </w:tc>
        <w:tc>
          <w:tcPr>
            <w:tcW w:w="549"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417.600 </w:t>
            </w:r>
          </w:p>
        </w:tc>
        <w:tc>
          <w:tcPr>
            <w:tcW w:w="549"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403.625 </w:t>
            </w:r>
          </w:p>
        </w:tc>
        <w:tc>
          <w:tcPr>
            <w:tcW w:w="549" w:type="dxa"/>
            <w:tcBorders>
              <w:top w:val="nil"/>
              <w:left w:val="nil"/>
              <w:bottom w:val="single" w:sz="8" w:space="0" w:color="auto"/>
              <w:right w:val="single" w:sz="8" w:space="0" w:color="auto"/>
            </w:tcBorders>
            <w:shd w:val="clear" w:color="000000" w:fill="DCE6F1"/>
            <w:noWrap/>
            <w:vAlign w:val="bottom"/>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437.971 </w:t>
            </w:r>
          </w:p>
        </w:tc>
        <w:tc>
          <w:tcPr>
            <w:tcW w:w="531" w:type="dxa"/>
            <w:tcBorders>
              <w:top w:val="nil"/>
              <w:left w:val="nil"/>
              <w:bottom w:val="single" w:sz="8" w:space="0" w:color="auto"/>
              <w:right w:val="single" w:sz="8" w:space="0" w:color="auto"/>
            </w:tcBorders>
            <w:shd w:val="clear" w:color="000000" w:fill="DCE6F1"/>
            <w:noWrap/>
            <w:vAlign w:val="bottom"/>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397.669 </w:t>
            </w:r>
          </w:p>
        </w:tc>
        <w:tc>
          <w:tcPr>
            <w:tcW w:w="556" w:type="dxa"/>
            <w:tcBorders>
              <w:top w:val="nil"/>
              <w:left w:val="nil"/>
              <w:bottom w:val="single" w:sz="8" w:space="0" w:color="auto"/>
              <w:right w:val="single" w:sz="8" w:space="0" w:color="auto"/>
            </w:tcBorders>
            <w:shd w:val="clear" w:color="000000" w:fill="DCE6F1"/>
            <w:noWrap/>
            <w:vAlign w:val="bottom"/>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426.975 </w:t>
            </w:r>
          </w:p>
        </w:tc>
      </w:tr>
      <w:tr w:rsidR="00574797" w:rsidRPr="00CA6263"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rsidR="00574797" w:rsidRPr="00C708EE" w:rsidRDefault="00574797" w:rsidP="00574797">
            <w:pPr>
              <w:jc w:val="left"/>
              <w:rPr>
                <w:rFonts w:ascii="Calibri" w:hAnsi="Calibri"/>
                <w:color w:val="000000"/>
                <w:sz w:val="10"/>
                <w:szCs w:val="12"/>
              </w:rPr>
            </w:pPr>
            <w:r w:rsidRPr="00C708EE">
              <w:rPr>
                <w:rFonts w:ascii="Calibri" w:hAnsi="Calibri"/>
                <w:color w:val="000000"/>
                <w:sz w:val="10"/>
                <w:szCs w:val="12"/>
              </w:rPr>
              <w:t>WIN Enero 2016-Diciembre 2016 (UF)</w:t>
            </w:r>
          </w:p>
        </w:tc>
        <w:tc>
          <w:tcPr>
            <w:tcW w:w="567"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574.370 </w:t>
            </w:r>
          </w:p>
        </w:tc>
        <w:tc>
          <w:tcPr>
            <w:tcW w:w="586"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648.215 </w:t>
            </w:r>
          </w:p>
        </w:tc>
        <w:tc>
          <w:tcPr>
            <w:tcW w:w="762"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487.540 </w:t>
            </w:r>
          </w:p>
        </w:tc>
        <w:tc>
          <w:tcPr>
            <w:tcW w:w="637"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427.191 </w:t>
            </w:r>
          </w:p>
        </w:tc>
        <w:tc>
          <w:tcPr>
            <w:tcW w:w="708"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426.369 </w:t>
            </w:r>
          </w:p>
        </w:tc>
        <w:tc>
          <w:tcPr>
            <w:tcW w:w="686"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409.746 </w:t>
            </w:r>
          </w:p>
        </w:tc>
        <w:tc>
          <w:tcPr>
            <w:tcW w:w="538"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483.818 </w:t>
            </w:r>
          </w:p>
        </w:tc>
        <w:tc>
          <w:tcPr>
            <w:tcW w:w="549"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421.255 </w:t>
            </w:r>
          </w:p>
        </w:tc>
        <w:tc>
          <w:tcPr>
            <w:tcW w:w="549" w:type="dxa"/>
            <w:tcBorders>
              <w:top w:val="nil"/>
              <w:left w:val="nil"/>
              <w:bottom w:val="single" w:sz="8" w:space="0" w:color="auto"/>
              <w:right w:val="single" w:sz="8" w:space="0" w:color="auto"/>
            </w:tcBorders>
            <w:shd w:val="clear" w:color="000000" w:fill="DCE6F1"/>
            <w:noWrap/>
            <w:vAlign w:val="bottom"/>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436.796 </w:t>
            </w:r>
          </w:p>
        </w:tc>
        <w:tc>
          <w:tcPr>
            <w:tcW w:w="549" w:type="dxa"/>
            <w:tcBorders>
              <w:top w:val="nil"/>
              <w:left w:val="nil"/>
              <w:bottom w:val="single" w:sz="8" w:space="0" w:color="auto"/>
              <w:right w:val="single" w:sz="8" w:space="0" w:color="auto"/>
            </w:tcBorders>
            <w:shd w:val="clear" w:color="000000" w:fill="DCE6F1"/>
            <w:noWrap/>
            <w:vAlign w:val="bottom"/>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455.442 </w:t>
            </w:r>
          </w:p>
        </w:tc>
        <w:tc>
          <w:tcPr>
            <w:tcW w:w="531" w:type="dxa"/>
            <w:tcBorders>
              <w:top w:val="nil"/>
              <w:left w:val="nil"/>
              <w:bottom w:val="single" w:sz="8" w:space="0" w:color="auto"/>
              <w:right w:val="single" w:sz="8" w:space="0" w:color="auto"/>
            </w:tcBorders>
            <w:shd w:val="clear" w:color="000000" w:fill="DCE6F1"/>
            <w:noWrap/>
            <w:vAlign w:val="bottom"/>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384.031 </w:t>
            </w:r>
          </w:p>
        </w:tc>
        <w:tc>
          <w:tcPr>
            <w:tcW w:w="556" w:type="dxa"/>
            <w:tcBorders>
              <w:top w:val="nil"/>
              <w:left w:val="nil"/>
              <w:bottom w:val="single" w:sz="8" w:space="0" w:color="auto"/>
              <w:right w:val="single" w:sz="8" w:space="0" w:color="auto"/>
            </w:tcBorders>
            <w:shd w:val="clear" w:color="000000" w:fill="DCE6F1"/>
            <w:noWrap/>
            <w:vAlign w:val="bottom"/>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 xml:space="preserve">                     450.629 </w:t>
            </w:r>
          </w:p>
        </w:tc>
      </w:tr>
      <w:tr w:rsidR="00574797" w:rsidRPr="00CA6263"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rsidR="00574797" w:rsidRPr="00C708EE" w:rsidRDefault="00574797" w:rsidP="00574797">
            <w:pPr>
              <w:jc w:val="left"/>
              <w:rPr>
                <w:rFonts w:ascii="Calibri" w:hAnsi="Calibri"/>
                <w:color w:val="000000"/>
                <w:sz w:val="10"/>
                <w:szCs w:val="12"/>
              </w:rPr>
            </w:pPr>
            <w:r w:rsidRPr="00C708EE">
              <w:rPr>
                <w:rFonts w:ascii="Calibri" w:hAnsi="Calibri"/>
                <w:color w:val="000000"/>
                <w:sz w:val="10"/>
                <w:szCs w:val="12"/>
              </w:rPr>
              <w:t xml:space="preserve">Crecimiento Win </w:t>
            </w:r>
            <w:r w:rsidRPr="00C708EE">
              <w:rPr>
                <w:rFonts w:ascii="Calibri" w:hAnsi="Calibri"/>
                <w:b/>
                <w:bCs/>
                <w:color w:val="000000"/>
                <w:sz w:val="10"/>
                <w:szCs w:val="12"/>
              </w:rPr>
              <w:t>Real</w:t>
            </w:r>
          </w:p>
        </w:tc>
        <w:tc>
          <w:tcPr>
            <w:tcW w:w="567"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0,1%</w:t>
            </w:r>
          </w:p>
        </w:tc>
        <w:tc>
          <w:tcPr>
            <w:tcW w:w="586"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14,0%</w:t>
            </w:r>
          </w:p>
        </w:tc>
        <w:tc>
          <w:tcPr>
            <w:tcW w:w="762"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14,9%</w:t>
            </w:r>
          </w:p>
        </w:tc>
        <w:tc>
          <w:tcPr>
            <w:tcW w:w="637"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-4,7%</w:t>
            </w:r>
          </w:p>
        </w:tc>
        <w:tc>
          <w:tcPr>
            <w:tcW w:w="708"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-7,4%</w:t>
            </w:r>
          </w:p>
        </w:tc>
        <w:tc>
          <w:tcPr>
            <w:tcW w:w="686"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0,6%</w:t>
            </w:r>
          </w:p>
        </w:tc>
        <w:tc>
          <w:tcPr>
            <w:tcW w:w="538"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4,3%</w:t>
            </w:r>
          </w:p>
        </w:tc>
        <w:tc>
          <w:tcPr>
            <w:tcW w:w="549" w:type="dxa"/>
            <w:tcBorders>
              <w:top w:val="nil"/>
              <w:left w:val="nil"/>
              <w:bottom w:val="single" w:sz="8" w:space="0" w:color="auto"/>
              <w:right w:val="single" w:sz="8" w:space="0" w:color="auto"/>
            </w:tcBorders>
            <w:shd w:val="clear" w:color="000000" w:fill="DCE6F1"/>
            <w:noWrap/>
            <w:vAlign w:val="bottom"/>
            <w:hideMark/>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0,9%</w:t>
            </w:r>
          </w:p>
        </w:tc>
        <w:tc>
          <w:tcPr>
            <w:tcW w:w="549" w:type="dxa"/>
            <w:tcBorders>
              <w:top w:val="nil"/>
              <w:left w:val="nil"/>
              <w:bottom w:val="single" w:sz="8" w:space="0" w:color="auto"/>
              <w:right w:val="single" w:sz="8" w:space="0" w:color="auto"/>
            </w:tcBorders>
            <w:shd w:val="clear" w:color="000000" w:fill="DCE6F1"/>
            <w:noWrap/>
            <w:vAlign w:val="bottom"/>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8,2%</w:t>
            </w:r>
          </w:p>
        </w:tc>
        <w:tc>
          <w:tcPr>
            <w:tcW w:w="549" w:type="dxa"/>
            <w:tcBorders>
              <w:top w:val="nil"/>
              <w:left w:val="nil"/>
              <w:bottom w:val="single" w:sz="8" w:space="0" w:color="auto"/>
              <w:right w:val="single" w:sz="8" w:space="0" w:color="auto"/>
            </w:tcBorders>
            <w:shd w:val="clear" w:color="000000" w:fill="DCE6F1"/>
            <w:noWrap/>
            <w:vAlign w:val="bottom"/>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4,0%</w:t>
            </w:r>
          </w:p>
        </w:tc>
        <w:tc>
          <w:tcPr>
            <w:tcW w:w="531" w:type="dxa"/>
            <w:tcBorders>
              <w:top w:val="nil"/>
              <w:left w:val="nil"/>
              <w:bottom w:val="single" w:sz="8" w:space="0" w:color="auto"/>
              <w:right w:val="single" w:sz="8" w:space="0" w:color="auto"/>
            </w:tcBorders>
            <w:shd w:val="clear" w:color="000000" w:fill="DCE6F1"/>
            <w:noWrap/>
            <w:vAlign w:val="bottom"/>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-3,4%</w:t>
            </w:r>
          </w:p>
        </w:tc>
        <w:tc>
          <w:tcPr>
            <w:tcW w:w="556" w:type="dxa"/>
            <w:tcBorders>
              <w:top w:val="nil"/>
              <w:left w:val="nil"/>
              <w:bottom w:val="single" w:sz="8" w:space="0" w:color="auto"/>
              <w:right w:val="single" w:sz="8" w:space="0" w:color="auto"/>
            </w:tcBorders>
            <w:shd w:val="clear" w:color="000000" w:fill="DCE6F1"/>
            <w:noWrap/>
            <w:vAlign w:val="bottom"/>
          </w:tcPr>
          <w:p w:rsidR="00574797" w:rsidRPr="00C708EE" w:rsidRDefault="00574797" w:rsidP="00574797">
            <w:pPr>
              <w:jc w:val="center"/>
              <w:rPr>
                <w:rFonts w:ascii="Calibri" w:hAnsi="Calibri"/>
                <w:color w:val="000000"/>
                <w:sz w:val="10"/>
                <w:szCs w:val="12"/>
              </w:rPr>
            </w:pPr>
            <w:r w:rsidRPr="00C708EE">
              <w:rPr>
                <w:rFonts w:ascii="Calibri" w:hAnsi="Calibri"/>
                <w:color w:val="000000"/>
                <w:sz w:val="10"/>
                <w:szCs w:val="12"/>
              </w:rPr>
              <w:t>5,5%</w:t>
            </w:r>
          </w:p>
        </w:tc>
      </w:tr>
      <w:tr w:rsidR="00FB3D8B" w:rsidRPr="00CA6263" w:rsidTr="00C708EE">
        <w:trPr>
          <w:trHeight w:val="195"/>
        </w:trPr>
        <w:tc>
          <w:tcPr>
            <w:tcW w:w="7938"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rsidR="00FB3D8B" w:rsidRPr="00C708EE" w:rsidRDefault="00FB3D8B" w:rsidP="00DE53E5">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Real (Anual)</w:t>
            </w:r>
          </w:p>
        </w:tc>
        <w:tc>
          <w:tcPr>
            <w:tcW w:w="556" w:type="dxa"/>
            <w:tcBorders>
              <w:top w:val="nil"/>
              <w:left w:val="nil"/>
              <w:bottom w:val="single" w:sz="8" w:space="0" w:color="auto"/>
              <w:right w:val="single" w:sz="8" w:space="0" w:color="auto"/>
            </w:tcBorders>
            <w:shd w:val="clear" w:color="000000" w:fill="DCE6F1"/>
            <w:noWrap/>
            <w:vAlign w:val="bottom"/>
            <w:hideMark/>
          </w:tcPr>
          <w:p w:rsidR="00FB3D8B" w:rsidRPr="00C708EE" w:rsidRDefault="00FB3D8B" w:rsidP="00C708EE">
            <w:pPr>
              <w:spacing w:after="0" w:line="240" w:lineRule="auto"/>
              <w:jc w:val="center"/>
              <w:rPr>
                <w:rFonts w:ascii="Calibri" w:eastAsia="Times New Roman" w:hAnsi="Calibri" w:cs="Times New Roman"/>
                <w:color w:val="000000"/>
                <w:sz w:val="10"/>
                <w:szCs w:val="12"/>
                <w:lang w:eastAsia="es-CL"/>
              </w:rPr>
            </w:pPr>
            <w:r w:rsidRPr="00C708EE">
              <w:rPr>
                <w:rFonts w:ascii="Calibri" w:eastAsia="Times New Roman" w:hAnsi="Calibri" w:cs="Times New Roman"/>
                <w:color w:val="000000"/>
                <w:sz w:val="10"/>
                <w:szCs w:val="12"/>
                <w:lang w:eastAsia="es-CL"/>
              </w:rPr>
              <w:t>3,</w:t>
            </w:r>
            <w:r w:rsidR="00C708EE" w:rsidRPr="00C708EE">
              <w:rPr>
                <w:rFonts w:ascii="Calibri" w:eastAsia="Times New Roman" w:hAnsi="Calibri" w:cs="Times New Roman"/>
                <w:color w:val="000000"/>
                <w:sz w:val="10"/>
                <w:szCs w:val="12"/>
                <w:lang w:eastAsia="es-CL"/>
              </w:rPr>
              <w:t>2</w:t>
            </w:r>
            <w:r w:rsidRPr="00C708EE">
              <w:rPr>
                <w:rFonts w:ascii="Calibri" w:eastAsia="Times New Roman" w:hAnsi="Calibri" w:cs="Times New Roman"/>
                <w:color w:val="000000"/>
                <w:sz w:val="10"/>
                <w:szCs w:val="12"/>
                <w:lang w:eastAsia="es-CL"/>
              </w:rPr>
              <w:t>%</w:t>
            </w:r>
          </w:p>
        </w:tc>
      </w:tr>
    </w:tbl>
    <w:p w:rsidR="00FB3D8B" w:rsidRDefault="00FB3D8B" w:rsidP="00FB3D8B">
      <w:pPr>
        <w:pStyle w:val="Prrafodelista"/>
        <w:tabs>
          <w:tab w:val="left" w:pos="0"/>
          <w:tab w:val="left" w:pos="6285"/>
        </w:tabs>
        <w:ind w:left="0"/>
      </w:pPr>
      <w:r w:rsidRPr="00BA4198">
        <w:t xml:space="preserve">Nota: Los ingresos brutos </w:t>
      </w:r>
      <w:r>
        <w:t>del año 201</w:t>
      </w:r>
      <w:r w:rsidR="00C708EE">
        <w:t>6</w:t>
      </w:r>
      <w:r>
        <w:t xml:space="preserve"> fueron comparados con los e</w:t>
      </w:r>
      <w:r w:rsidRPr="00BA4198">
        <w:t xml:space="preserve">stados </w:t>
      </w:r>
      <w:r>
        <w:t>f</w:t>
      </w:r>
      <w:r w:rsidRPr="00BA4198">
        <w:t>inancieros entregados por las sociedades operadoras</w:t>
      </w:r>
      <w:r>
        <w:t xml:space="preserve"> en dicho periodo</w:t>
      </w:r>
      <w:r w:rsidRPr="00BA4198">
        <w:t>.</w:t>
      </w:r>
    </w:p>
    <w:p w:rsidR="00643409" w:rsidRDefault="00643409" w:rsidP="00FB3D8B">
      <w:pPr>
        <w:pStyle w:val="Prrafodelista"/>
        <w:tabs>
          <w:tab w:val="left" w:pos="0"/>
          <w:tab w:val="left" w:pos="6285"/>
        </w:tabs>
        <w:ind w:left="0"/>
      </w:pPr>
    </w:p>
    <w:p w:rsidR="00643409" w:rsidRDefault="00643409" w:rsidP="00FB3D8B">
      <w:pPr>
        <w:pStyle w:val="Prrafodelista"/>
        <w:tabs>
          <w:tab w:val="left" w:pos="0"/>
          <w:tab w:val="left" w:pos="6285"/>
        </w:tabs>
        <w:ind w:left="0"/>
      </w:pPr>
    </w:p>
    <w:p w:rsidR="00643409" w:rsidRDefault="00643409" w:rsidP="00FB3D8B">
      <w:pPr>
        <w:pStyle w:val="Prrafodelista"/>
        <w:tabs>
          <w:tab w:val="left" w:pos="0"/>
          <w:tab w:val="left" w:pos="6285"/>
        </w:tabs>
        <w:ind w:left="0"/>
      </w:pPr>
    </w:p>
    <w:p w:rsidR="00643409" w:rsidRDefault="00643409" w:rsidP="00FB3D8B">
      <w:pPr>
        <w:pStyle w:val="Prrafodelista"/>
        <w:tabs>
          <w:tab w:val="left" w:pos="0"/>
          <w:tab w:val="left" w:pos="6285"/>
        </w:tabs>
        <w:ind w:left="0"/>
      </w:pPr>
    </w:p>
    <w:p w:rsidR="00643409" w:rsidRDefault="00643409" w:rsidP="00FB3D8B">
      <w:pPr>
        <w:pStyle w:val="Prrafodelista"/>
        <w:tabs>
          <w:tab w:val="left" w:pos="0"/>
          <w:tab w:val="left" w:pos="6285"/>
        </w:tabs>
        <w:ind w:left="0"/>
      </w:pPr>
    </w:p>
    <w:p w:rsidR="00643409" w:rsidRDefault="00643409" w:rsidP="00FB3D8B">
      <w:pPr>
        <w:pStyle w:val="Prrafodelista"/>
        <w:tabs>
          <w:tab w:val="left" w:pos="0"/>
          <w:tab w:val="left" w:pos="6285"/>
        </w:tabs>
        <w:ind w:left="0"/>
      </w:pPr>
    </w:p>
    <w:p w:rsidR="00C708EE" w:rsidRDefault="00C708EE" w:rsidP="00FB3D8B">
      <w:pPr>
        <w:pStyle w:val="Prrafodelista"/>
        <w:tabs>
          <w:tab w:val="left" w:pos="0"/>
          <w:tab w:val="left" w:pos="6285"/>
        </w:tabs>
        <w:ind w:left="0"/>
      </w:pPr>
    </w:p>
    <w:p w:rsidR="00C708EE" w:rsidRDefault="00C708EE" w:rsidP="00FB3D8B">
      <w:pPr>
        <w:pStyle w:val="Prrafodelista"/>
        <w:tabs>
          <w:tab w:val="left" w:pos="0"/>
          <w:tab w:val="left" w:pos="6285"/>
        </w:tabs>
        <w:ind w:left="0"/>
      </w:pPr>
    </w:p>
    <w:p w:rsidR="00643409" w:rsidRDefault="00643409" w:rsidP="00FB3D8B">
      <w:pPr>
        <w:pStyle w:val="Prrafodelista"/>
        <w:tabs>
          <w:tab w:val="left" w:pos="0"/>
          <w:tab w:val="left" w:pos="6285"/>
        </w:tabs>
        <w:ind w:left="0"/>
      </w:pPr>
    </w:p>
    <w:p w:rsidR="00643409" w:rsidRDefault="00643409" w:rsidP="00FB3D8B">
      <w:pPr>
        <w:pStyle w:val="Prrafodelista"/>
        <w:tabs>
          <w:tab w:val="left" w:pos="0"/>
          <w:tab w:val="left" w:pos="6285"/>
        </w:tabs>
        <w:ind w:left="0"/>
      </w:pPr>
    </w:p>
    <w:p w:rsidR="00DB1263" w:rsidRDefault="00DB1263" w:rsidP="00FB3D8B">
      <w:pPr>
        <w:pStyle w:val="Prrafodelista"/>
        <w:tabs>
          <w:tab w:val="left" w:pos="0"/>
          <w:tab w:val="left" w:pos="6285"/>
        </w:tabs>
        <w:ind w:left="0"/>
        <w:jc w:val="left"/>
      </w:pPr>
    </w:p>
    <w:p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lastRenderedPageBreak/>
        <w:t>Ingresos brutos del juego o win por casino de juego</w:t>
      </w:r>
      <w:r>
        <w:rPr>
          <w:b/>
        </w:rPr>
        <w:t xml:space="preserve"> : </w:t>
      </w:r>
      <w:r w:rsidR="000C1CF5">
        <w:rPr>
          <w:b/>
        </w:rPr>
        <w:t>Noviembre</w:t>
      </w:r>
      <w:r w:rsidRPr="00E80F2B">
        <w:rPr>
          <w:b/>
        </w:rPr>
        <w:t xml:space="preserve"> -</w:t>
      </w:r>
      <w:r>
        <w:rPr>
          <w:b/>
        </w:rPr>
        <w:t xml:space="preserve"> </w:t>
      </w:r>
      <w:r w:rsidR="000C1CF5">
        <w:rPr>
          <w:b/>
        </w:rPr>
        <w:t>Diciembre</w:t>
      </w:r>
      <w:r w:rsidRPr="00E80F2B">
        <w:rPr>
          <w:b/>
        </w:rPr>
        <w:t xml:space="preserve"> 2016</w:t>
      </w:r>
    </w:p>
    <w:p w:rsidR="00FB3D8B" w:rsidRDefault="00C708EE" w:rsidP="00DB1263">
      <w:pPr>
        <w:pStyle w:val="Prrafodelista"/>
        <w:tabs>
          <w:tab w:val="left" w:pos="0"/>
          <w:tab w:val="left" w:pos="360"/>
          <w:tab w:val="left" w:pos="6285"/>
        </w:tabs>
        <w:ind w:left="0" w:hanging="142"/>
        <w:jc w:val="center"/>
        <w:rPr>
          <w:b/>
        </w:rPr>
      </w:pPr>
      <w:r>
        <w:rPr>
          <w:b/>
          <w:noProof/>
          <w:lang w:eastAsia="es-CL"/>
        </w:rPr>
        <w:drawing>
          <wp:inline distT="0" distB="0" distL="0" distR="0" wp14:anchorId="1AC30E0C" wp14:editId="4E7136E1">
            <wp:extent cx="5205297" cy="2470785"/>
            <wp:effectExtent l="0" t="0" r="0" b="571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3069" cy="2479221"/>
                    </a:xfrm>
                    <a:prstGeom prst="rect">
                      <a:avLst/>
                    </a:prstGeom>
                    <a:noFill/>
                  </pic:spPr>
                </pic:pic>
              </a:graphicData>
            </a:graphic>
          </wp:inline>
        </w:drawing>
      </w:r>
    </w:p>
    <w:p w:rsidR="00196290" w:rsidRDefault="00196290" w:rsidP="00E0320F">
      <w:pPr>
        <w:tabs>
          <w:tab w:val="left" w:pos="0"/>
        </w:tabs>
        <w:spacing w:after="0" w:line="240" w:lineRule="auto"/>
        <w:rPr>
          <w:rFonts w:ascii="Calibri" w:hAnsi="Calibri" w:cs="Arial"/>
          <w:b/>
          <w:sz w:val="20"/>
          <w:szCs w:val="20"/>
        </w:rPr>
      </w:pPr>
    </w:p>
    <w:p w:rsidR="00196290" w:rsidRDefault="00196290" w:rsidP="00E0320F">
      <w:pPr>
        <w:tabs>
          <w:tab w:val="left" w:pos="0"/>
        </w:tabs>
        <w:spacing w:after="0" w:line="240" w:lineRule="auto"/>
        <w:rPr>
          <w:rFonts w:ascii="Calibri" w:hAnsi="Calibri" w:cs="Arial"/>
          <w:b/>
          <w:sz w:val="20"/>
          <w:szCs w:val="20"/>
        </w:rPr>
      </w:pPr>
    </w:p>
    <w:p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3B0C64">
        <w:rPr>
          <w:rFonts w:ascii="Calibri" w:hAnsi="Calibri" w:cs="Arial"/>
          <w:b/>
          <w:sz w:val="18"/>
          <w:szCs w:val="18"/>
        </w:rPr>
        <w:t xml:space="preserve"> - </w:t>
      </w:r>
      <w:r w:rsidR="00196290">
        <w:rPr>
          <w:rFonts w:ascii="Calibri" w:hAnsi="Calibri" w:cs="Arial"/>
          <w:b/>
          <w:sz w:val="18"/>
          <w:szCs w:val="18"/>
        </w:rPr>
        <w:t xml:space="preserve"> </w:t>
      </w:r>
      <w:r w:rsidR="00EC15C7">
        <w:rPr>
          <w:rFonts w:ascii="Calibri" w:hAnsi="Calibri" w:cs="Arial"/>
          <w:b/>
          <w:sz w:val="18"/>
          <w:szCs w:val="18"/>
        </w:rPr>
        <w:t>Des</w:t>
      </w:r>
      <w:r>
        <w:rPr>
          <w:rFonts w:ascii="Calibri" w:hAnsi="Calibri" w:cs="Arial"/>
          <w:b/>
          <w:sz w:val="18"/>
          <w:szCs w:val="18"/>
        </w:rPr>
        <w:t>i</w:t>
      </w:r>
      <w:r w:rsidR="00EC15C7">
        <w:rPr>
          <w:rFonts w:ascii="Calibri" w:hAnsi="Calibri" w:cs="Arial"/>
          <w:b/>
          <w:sz w:val="18"/>
          <w:szCs w:val="18"/>
        </w:rPr>
        <w:t>r</w:t>
      </w:r>
      <w:r>
        <w:rPr>
          <w:rFonts w:ascii="Calibri" w:hAnsi="Calibri" w:cs="Arial"/>
          <w:b/>
          <w:sz w:val="18"/>
          <w:szCs w:val="18"/>
        </w:rPr>
        <w:t xml:space="preserve">ee Navia </w:t>
      </w:r>
      <w:hyperlink r:id="rId22" w:history="1">
        <w:r>
          <w:rPr>
            <w:rStyle w:val="Hipervnculo"/>
            <w:rFonts w:ascii="Calibri" w:hAnsi="Calibri" w:cs="Arial"/>
            <w:b/>
            <w:sz w:val="18"/>
            <w:szCs w:val="18"/>
          </w:rPr>
          <w:t>dnavia@scj.gob.cl</w:t>
        </w:r>
      </w:hyperlink>
      <w:r>
        <w:rPr>
          <w:rFonts w:ascii="Calibri" w:hAnsi="Calibri" w:cs="Arial"/>
          <w:b/>
          <w:sz w:val="18"/>
          <w:szCs w:val="18"/>
        </w:rPr>
        <w:t xml:space="preserve"> </w:t>
      </w:r>
    </w:p>
    <w:p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181717">
      <w:headerReference w:type="default" r:id="rId23"/>
      <w:footerReference w:type="default" r:id="rId24"/>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689" w:rsidRDefault="00BA3689" w:rsidP="00FD382C">
      <w:r>
        <w:separator/>
      </w:r>
    </w:p>
  </w:endnote>
  <w:endnote w:type="continuationSeparator" w:id="0">
    <w:p w:rsidR="00BA3689" w:rsidRDefault="00BA3689"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9E" w:rsidRDefault="00AF439E">
    <w:pPr>
      <w:pStyle w:val="Piedepgina"/>
    </w:pPr>
  </w:p>
  <w:p w:rsidR="00AF439E" w:rsidRDefault="00AF43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689" w:rsidRDefault="00BA3689" w:rsidP="00FD382C">
      <w:r>
        <w:separator/>
      </w:r>
    </w:p>
  </w:footnote>
  <w:footnote w:type="continuationSeparator" w:id="0">
    <w:p w:rsidR="00BA3689" w:rsidRDefault="00BA3689" w:rsidP="00FD382C">
      <w:r>
        <w:continuationSeparator/>
      </w:r>
    </w:p>
  </w:footnote>
  <w:footnote w:id="1">
    <w:p w:rsidR="00AF439E" w:rsidRDefault="00AF439E" w:rsidP="00231D40">
      <w:pPr>
        <w:pStyle w:val="Textonotapie"/>
      </w:pPr>
      <w:r>
        <w:rPr>
          <w:rStyle w:val="Refdenotaalpie"/>
        </w:rPr>
        <w:footnoteRef/>
      </w:r>
      <w:r>
        <w:t xml:space="preserve"> </w:t>
      </w:r>
      <w:r>
        <w:rPr>
          <w:lang w:val="es-ES"/>
        </w:rPr>
        <w:t>Corresponde al crecimiento de los ingresos brutos acumulados, considerando el periodo enero-diciembre de 2016, y se comparan con los ingresos acumulados del periodo enero-diciembre de 2015, corregido por la UF del último día del mes.</w:t>
      </w:r>
    </w:p>
  </w:footnote>
  <w:footnote w:id="2">
    <w:p w:rsidR="00AF439E" w:rsidRPr="00FD382C" w:rsidRDefault="00AF439E" w:rsidP="002406D6">
      <w:pPr>
        <w:pStyle w:val="Textonotapie"/>
        <w:rPr>
          <w:lang w:val="es-ES"/>
        </w:rPr>
      </w:pPr>
      <w:r>
        <w:rPr>
          <w:rStyle w:val="Refdenotaalpie"/>
        </w:rPr>
        <w:footnoteRef/>
      </w:r>
      <w:r>
        <w:t xml:space="preserve"> </w:t>
      </w:r>
      <w:r>
        <w:rPr>
          <w:lang w:val="es-ES"/>
        </w:rPr>
        <w:t xml:space="preserve">A los 24 casinos de juego que actualmente se encuentran en funcionamiento en el país, se suman el casino de Arica, que se encuentra en etapa de construcción; y uno autorizado en agosto en la comuna de Chillán; ambos al amparo de la Ley N° 19.995. </w:t>
      </w:r>
    </w:p>
  </w:footnote>
  <w:footnote w:id="3">
    <w:p w:rsidR="00AF439E" w:rsidRPr="00FD382C" w:rsidRDefault="00AF439E" w:rsidP="00AA4471">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del mes de diciembre en los años 2015-1016.</w:t>
      </w:r>
    </w:p>
  </w:footnote>
  <w:footnote w:id="4">
    <w:p w:rsidR="00AF439E" w:rsidRPr="00D42C6C" w:rsidRDefault="00AF439E" w:rsidP="00AA4471">
      <w:pPr>
        <w:pStyle w:val="Textonotapie"/>
        <w:rPr>
          <w:lang w:val="es-ES"/>
        </w:rPr>
      </w:pPr>
      <w:r w:rsidRPr="00D42C6C">
        <w:rPr>
          <w:rStyle w:val="Refdenotaalpie"/>
        </w:rPr>
        <w:footnoteRef/>
      </w:r>
      <w:r w:rsidRPr="00D42C6C">
        <w:t xml:space="preserve"> </w:t>
      </w:r>
      <w:r>
        <w:t xml:space="preserve">Desde mayo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 xml:space="preserve"> las variaciones reales, es decir corregidas al valor de la UF del último día del mes. En todo caso, se adjunta una tabla en el documento que mantiene la serie histórica para ambas mediciones.</w:t>
      </w:r>
    </w:p>
  </w:footnote>
  <w:footnote w:id="5">
    <w:p w:rsidR="00AF439E" w:rsidRPr="00FD382C" w:rsidRDefault="00AF439E" w:rsidP="00AA4471">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enero de 2015 a diciembre de 2016, y se comparan con los ingresos acumulados de enero de 2014 a diciembre de 2015, corregido por la UF del último día del mes.</w:t>
      </w:r>
    </w:p>
  </w:footnote>
  <w:footnote w:id="6">
    <w:p w:rsidR="00AF439E" w:rsidRPr="0004531A" w:rsidRDefault="00AF439E" w:rsidP="00265A30">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7">
    <w:p w:rsidR="00AF439E" w:rsidRPr="0004531A" w:rsidRDefault="00AF439E"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9E" w:rsidRDefault="00AF439E"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16" name="Imagen 16"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F439E" w:rsidRPr="00FD382C" w:rsidRDefault="00AF439E" w:rsidP="009858E3">
    <w:pPr>
      <w:pStyle w:val="Encabezado"/>
      <w:pBdr>
        <w:bottom w:val="single" w:sz="4" w:space="1" w:color="auto"/>
      </w:pBdr>
      <w:jc w:val="right"/>
      <w:rPr>
        <w:b/>
      </w:rPr>
    </w:pPr>
    <w:r w:rsidRPr="00FD382C">
      <w:rPr>
        <w:b/>
      </w:rPr>
      <w:t>COMUNICADO DE PRENSA</w:t>
    </w:r>
  </w:p>
  <w:p w:rsidR="00AF439E" w:rsidRDefault="00AF439E" w:rsidP="009858E3">
    <w:pPr>
      <w:pStyle w:val="Encabezado"/>
      <w:pBdr>
        <w:bottom w:val="single" w:sz="4" w:space="1" w:color="auto"/>
      </w:pBdr>
      <w:rPr>
        <w:b/>
      </w:rPr>
    </w:pPr>
    <w:r w:rsidRPr="00FD382C">
      <w:rPr>
        <w:b/>
      </w:rPr>
      <w:tab/>
    </w:r>
    <w:r w:rsidRPr="00FD382C">
      <w:rPr>
        <w:b/>
      </w:rPr>
      <w:tab/>
    </w:r>
    <w:r>
      <w:rPr>
        <w:b/>
      </w:rPr>
      <w:t>Lunes 23 de enero de 2017</w:t>
    </w:r>
  </w:p>
  <w:p w:rsidR="00AF439E" w:rsidRPr="00FD382C" w:rsidRDefault="00AF439E"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46A"/>
    <w:multiLevelType w:val="hybridMultilevel"/>
    <w:tmpl w:val="9848A3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4"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4531A"/>
    <w:rsid w:val="00070FBD"/>
    <w:rsid w:val="00072032"/>
    <w:rsid w:val="00083908"/>
    <w:rsid w:val="00084B20"/>
    <w:rsid w:val="000C1CF5"/>
    <w:rsid w:val="000C3DDF"/>
    <w:rsid w:val="000F3DC9"/>
    <w:rsid w:val="00106FDB"/>
    <w:rsid w:val="001152D3"/>
    <w:rsid w:val="001322C8"/>
    <w:rsid w:val="00161F8D"/>
    <w:rsid w:val="0017349B"/>
    <w:rsid w:val="00181717"/>
    <w:rsid w:val="00196290"/>
    <w:rsid w:val="001D7E9E"/>
    <w:rsid w:val="001E1087"/>
    <w:rsid w:val="001E2D5F"/>
    <w:rsid w:val="00231D40"/>
    <w:rsid w:val="002406D6"/>
    <w:rsid w:val="00252772"/>
    <w:rsid w:val="00265A30"/>
    <w:rsid w:val="002B5C3A"/>
    <w:rsid w:val="002C1CD9"/>
    <w:rsid w:val="002D141C"/>
    <w:rsid w:val="002E1BFC"/>
    <w:rsid w:val="00303081"/>
    <w:rsid w:val="00332EC7"/>
    <w:rsid w:val="0035639B"/>
    <w:rsid w:val="00364B35"/>
    <w:rsid w:val="0036723F"/>
    <w:rsid w:val="00385B98"/>
    <w:rsid w:val="003A4D71"/>
    <w:rsid w:val="003B0C64"/>
    <w:rsid w:val="003D02FA"/>
    <w:rsid w:val="003D15B6"/>
    <w:rsid w:val="003D3765"/>
    <w:rsid w:val="003E7430"/>
    <w:rsid w:val="00404CEA"/>
    <w:rsid w:val="00427615"/>
    <w:rsid w:val="00457BCD"/>
    <w:rsid w:val="004830B6"/>
    <w:rsid w:val="004843DA"/>
    <w:rsid w:val="004942E1"/>
    <w:rsid w:val="004D4205"/>
    <w:rsid w:val="004E6E42"/>
    <w:rsid w:val="004F66A2"/>
    <w:rsid w:val="00563030"/>
    <w:rsid w:val="00574797"/>
    <w:rsid w:val="005B01F2"/>
    <w:rsid w:val="005B1CCB"/>
    <w:rsid w:val="005B279E"/>
    <w:rsid w:val="005F17F7"/>
    <w:rsid w:val="006022DC"/>
    <w:rsid w:val="00625D82"/>
    <w:rsid w:val="00634709"/>
    <w:rsid w:val="00643409"/>
    <w:rsid w:val="00650542"/>
    <w:rsid w:val="006717A5"/>
    <w:rsid w:val="00696BDD"/>
    <w:rsid w:val="006A4494"/>
    <w:rsid w:val="006A7C49"/>
    <w:rsid w:val="006E0442"/>
    <w:rsid w:val="006F36F7"/>
    <w:rsid w:val="006F6C40"/>
    <w:rsid w:val="0073400A"/>
    <w:rsid w:val="00750625"/>
    <w:rsid w:val="00756B18"/>
    <w:rsid w:val="00774921"/>
    <w:rsid w:val="008161A3"/>
    <w:rsid w:val="00826557"/>
    <w:rsid w:val="00842993"/>
    <w:rsid w:val="0088217E"/>
    <w:rsid w:val="0089072C"/>
    <w:rsid w:val="008B14B4"/>
    <w:rsid w:val="008B72D9"/>
    <w:rsid w:val="00901177"/>
    <w:rsid w:val="009070A6"/>
    <w:rsid w:val="009265AF"/>
    <w:rsid w:val="009303C5"/>
    <w:rsid w:val="00982E0D"/>
    <w:rsid w:val="009858E3"/>
    <w:rsid w:val="009C4049"/>
    <w:rsid w:val="009C6BC2"/>
    <w:rsid w:val="009E3CDD"/>
    <w:rsid w:val="00A12283"/>
    <w:rsid w:val="00A41280"/>
    <w:rsid w:val="00A71A63"/>
    <w:rsid w:val="00A729EA"/>
    <w:rsid w:val="00A83B60"/>
    <w:rsid w:val="00A86A9B"/>
    <w:rsid w:val="00AA4471"/>
    <w:rsid w:val="00AB7EAD"/>
    <w:rsid w:val="00AC41DA"/>
    <w:rsid w:val="00AC7932"/>
    <w:rsid w:val="00AD51A3"/>
    <w:rsid w:val="00AE152A"/>
    <w:rsid w:val="00AE5679"/>
    <w:rsid w:val="00AF439E"/>
    <w:rsid w:val="00B0351E"/>
    <w:rsid w:val="00B3402A"/>
    <w:rsid w:val="00B41AFC"/>
    <w:rsid w:val="00BA3689"/>
    <w:rsid w:val="00BA7A93"/>
    <w:rsid w:val="00BE4A8E"/>
    <w:rsid w:val="00BF1779"/>
    <w:rsid w:val="00C005EA"/>
    <w:rsid w:val="00C2062A"/>
    <w:rsid w:val="00C5279C"/>
    <w:rsid w:val="00C708EE"/>
    <w:rsid w:val="00C8471D"/>
    <w:rsid w:val="00CA4C34"/>
    <w:rsid w:val="00CB5765"/>
    <w:rsid w:val="00CC0521"/>
    <w:rsid w:val="00CF66DC"/>
    <w:rsid w:val="00D02BB0"/>
    <w:rsid w:val="00D347ED"/>
    <w:rsid w:val="00D36F50"/>
    <w:rsid w:val="00D42C6C"/>
    <w:rsid w:val="00DB1263"/>
    <w:rsid w:val="00DD47CC"/>
    <w:rsid w:val="00DE53E5"/>
    <w:rsid w:val="00E0320F"/>
    <w:rsid w:val="00E047BA"/>
    <w:rsid w:val="00E305E8"/>
    <w:rsid w:val="00E57CA1"/>
    <w:rsid w:val="00E8098C"/>
    <w:rsid w:val="00E80F2B"/>
    <w:rsid w:val="00E810F9"/>
    <w:rsid w:val="00EC0FC2"/>
    <w:rsid w:val="00EC15C7"/>
    <w:rsid w:val="00EE51F5"/>
    <w:rsid w:val="00EE656D"/>
    <w:rsid w:val="00EF38DA"/>
    <w:rsid w:val="00F033B3"/>
    <w:rsid w:val="00F41C39"/>
    <w:rsid w:val="00F7324B"/>
    <w:rsid w:val="00F86774"/>
    <w:rsid w:val="00F86907"/>
    <w:rsid w:val="00F9221C"/>
    <w:rsid w:val="00FB3D8B"/>
    <w:rsid w:val="00FD38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dnavia@scj.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44E8D-7D32-46FD-B242-39CDF6597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2197</Words>
  <Characters>12088</Characters>
  <Application>Microsoft Office Word</Application>
  <DocSecurity>4</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Desiree Navia Toro</cp:lastModifiedBy>
  <cp:revision>2</cp:revision>
  <cp:lastPrinted>2017-01-23T15:06:00Z</cp:lastPrinted>
  <dcterms:created xsi:type="dcterms:W3CDTF">2017-01-25T12:35:00Z</dcterms:created>
  <dcterms:modified xsi:type="dcterms:W3CDTF">2017-01-25T12:35:00Z</dcterms:modified>
</cp:coreProperties>
</file>