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773" w:rsidRDefault="00265A30" w:rsidP="000E3773">
      <w:pPr>
        <w:pStyle w:val="Ttulo"/>
        <w:tabs>
          <w:tab w:val="left" w:pos="0"/>
        </w:tabs>
        <w:rPr>
          <w:b w:val="0"/>
          <w:i/>
        </w:rPr>
      </w:pPr>
      <w:r>
        <w:rPr>
          <w:sz w:val="28"/>
          <w:szCs w:val="28"/>
        </w:rPr>
        <w:t xml:space="preserve">Industria de casinos de juego registra ingresos </w:t>
      </w:r>
      <w:r w:rsidR="00A729EA" w:rsidRPr="00C8471D">
        <w:rPr>
          <w:sz w:val="28"/>
          <w:szCs w:val="28"/>
        </w:rPr>
        <w:t xml:space="preserve">brutos </w:t>
      </w:r>
      <w:r>
        <w:rPr>
          <w:sz w:val="28"/>
          <w:szCs w:val="28"/>
        </w:rPr>
        <w:t>por $ 3</w:t>
      </w:r>
      <w:r w:rsidR="00DB1263">
        <w:rPr>
          <w:sz w:val="28"/>
          <w:szCs w:val="28"/>
        </w:rPr>
        <w:t>8</w:t>
      </w:r>
      <w:r>
        <w:rPr>
          <w:sz w:val="28"/>
          <w:szCs w:val="28"/>
        </w:rPr>
        <w:t>.</w:t>
      </w:r>
      <w:r w:rsidR="00DB1263">
        <w:rPr>
          <w:sz w:val="28"/>
          <w:szCs w:val="28"/>
        </w:rPr>
        <w:t>935</w:t>
      </w:r>
      <w:r>
        <w:rPr>
          <w:sz w:val="28"/>
          <w:szCs w:val="28"/>
        </w:rPr>
        <w:t xml:space="preserve"> millones en </w:t>
      </w:r>
      <w:r w:rsidR="00DB1263">
        <w:rPr>
          <w:sz w:val="28"/>
          <w:szCs w:val="28"/>
        </w:rPr>
        <w:t>octubre</w:t>
      </w:r>
      <w:r w:rsidR="000E3773">
        <w:rPr>
          <w:sz w:val="28"/>
          <w:szCs w:val="28"/>
        </w:rPr>
        <w:t xml:space="preserve"> de 2016</w:t>
      </w:r>
    </w:p>
    <w:p w:rsidR="000E3773" w:rsidRDefault="000E3773" w:rsidP="001F70F1">
      <w:pPr>
        <w:pStyle w:val="Prrafodelista"/>
        <w:numPr>
          <w:ilvl w:val="0"/>
          <w:numId w:val="5"/>
        </w:numPr>
        <w:tabs>
          <w:tab w:val="left" w:pos="0"/>
        </w:tabs>
        <w:spacing w:after="0" w:line="240" w:lineRule="auto"/>
        <w:rPr>
          <w:b/>
          <w:i/>
        </w:rPr>
      </w:pPr>
      <w:r w:rsidRPr="00325132">
        <w:rPr>
          <w:b/>
          <w:i/>
        </w:rPr>
        <w:t>Este resultado implica</w:t>
      </w:r>
      <w:r w:rsidR="00325132" w:rsidRPr="00325132">
        <w:rPr>
          <w:b/>
          <w:i/>
        </w:rPr>
        <w:t xml:space="preserve"> un crecimiento real acumulado es de 2,3% en el transcurso del año, así como una </w:t>
      </w:r>
      <w:r w:rsidRPr="00325132">
        <w:rPr>
          <w:b/>
          <w:i/>
        </w:rPr>
        <w:t>variación real mensual de  -1,4%  en comparación con</w:t>
      </w:r>
      <w:r w:rsidR="00325132">
        <w:rPr>
          <w:b/>
          <w:i/>
        </w:rPr>
        <w:t xml:space="preserve"> el mismo mes del año anterior.</w:t>
      </w:r>
    </w:p>
    <w:p w:rsidR="00325132" w:rsidRPr="00325132" w:rsidRDefault="00325132" w:rsidP="00325132">
      <w:pPr>
        <w:pStyle w:val="Prrafodelista"/>
        <w:tabs>
          <w:tab w:val="left" w:pos="0"/>
        </w:tabs>
        <w:spacing w:after="0" w:line="240" w:lineRule="auto"/>
        <w:rPr>
          <w:b/>
          <w:i/>
        </w:rPr>
      </w:pPr>
    </w:p>
    <w:p w:rsidR="00AA4471" w:rsidRDefault="00AA4471" w:rsidP="00083908">
      <w:pPr>
        <w:tabs>
          <w:tab w:val="left" w:pos="0"/>
        </w:tabs>
        <w:spacing w:after="0" w:line="240" w:lineRule="auto"/>
      </w:pPr>
      <w:r>
        <w:t>La industria de casinos de juego, conformada por los 17</w:t>
      </w:r>
      <w:r w:rsidR="002406D6" w:rsidRPr="00C8471D">
        <w:rPr>
          <w:rStyle w:val="Refdenotaalpie"/>
          <w:sz w:val="28"/>
          <w:szCs w:val="28"/>
        </w:rPr>
        <w:footnoteReference w:id="1"/>
      </w:r>
      <w:r>
        <w:t xml:space="preserve"> casinos de juegos autorizados por la </w:t>
      </w:r>
      <w:r w:rsidR="005B01F2">
        <w:t xml:space="preserve">Ley N° 19.995 </w:t>
      </w:r>
      <w:r>
        <w:t xml:space="preserve">y los </w:t>
      </w:r>
      <w:r w:rsidR="00A83B60">
        <w:t xml:space="preserve">7 </w:t>
      </w:r>
      <w:r>
        <w:t xml:space="preserve">casinos de concesión municipal, </w:t>
      </w:r>
      <w:r w:rsidR="00A729EA" w:rsidRPr="00FD382C">
        <w:t xml:space="preserve">registraron durante </w:t>
      </w:r>
      <w:r w:rsidR="00EC15C7">
        <w:t>octubre</w:t>
      </w:r>
      <w:r>
        <w:t xml:space="preserve"> </w:t>
      </w:r>
      <w:r w:rsidR="00A729EA" w:rsidRPr="00FD382C">
        <w:t>ingresos bru</w:t>
      </w:r>
      <w:r>
        <w:t>tos del juego (</w:t>
      </w:r>
      <w:proofErr w:type="spellStart"/>
      <w:r>
        <w:t>win</w:t>
      </w:r>
      <w:proofErr w:type="spellEnd"/>
      <w:r>
        <w:t>) por $ 3</w:t>
      </w:r>
      <w:r w:rsidR="00DB1263">
        <w:t>8</w:t>
      </w:r>
      <w:r>
        <w:t>.</w:t>
      </w:r>
      <w:r w:rsidR="00DB1263">
        <w:t>935</w:t>
      </w:r>
      <w:r>
        <w:t xml:space="preserve"> millones.</w:t>
      </w:r>
      <w:r w:rsidR="005B279E" w:rsidRPr="005B279E">
        <w:t xml:space="preserve"> Esto implica un </w:t>
      </w:r>
      <w:r w:rsidR="00394BEF" w:rsidRPr="005B279E">
        <w:t>crecimiento real acumulado de 2,3%</w:t>
      </w:r>
      <w:r w:rsidR="00394BEF">
        <w:rPr>
          <w:rStyle w:val="Refdenotaalpie"/>
          <w:sz w:val="28"/>
          <w:szCs w:val="28"/>
        </w:rPr>
        <w:footnoteReference w:id="2"/>
      </w:r>
      <w:r w:rsidR="00394BEF">
        <w:t xml:space="preserve">  en el periodo enero-octubre</w:t>
      </w:r>
      <w:r w:rsidR="00394BEF">
        <w:rPr>
          <w:rStyle w:val="Refdenotaalpie"/>
          <w:sz w:val="28"/>
          <w:szCs w:val="28"/>
        </w:rPr>
        <w:footnoteReference w:id="3"/>
      </w:r>
      <w:r w:rsidR="00394BEF">
        <w:t>, así como una variación me</w:t>
      </w:r>
      <w:r w:rsidR="005B279E" w:rsidRPr="005B279E">
        <w:t>nsual de -1,4%</w:t>
      </w:r>
      <w:r w:rsidR="000E3773">
        <w:rPr>
          <w:rStyle w:val="Refdenotaalpie"/>
          <w:sz w:val="28"/>
          <w:szCs w:val="28"/>
        </w:rPr>
        <w:footnoteReference w:id="4"/>
      </w:r>
      <w:r w:rsidR="000E3773">
        <w:rPr>
          <w:sz w:val="28"/>
          <w:szCs w:val="28"/>
        </w:rPr>
        <w:t xml:space="preserve"> </w:t>
      </w:r>
      <w:r w:rsidR="005B279E" w:rsidRPr="005B279E">
        <w:t xml:space="preserve">  en el mes de octubre de 2016, en comparación con</w:t>
      </w:r>
      <w:r w:rsidR="00394BEF">
        <w:t xml:space="preserve"> el mismo mes del año anterior.</w:t>
      </w:r>
    </w:p>
    <w:p w:rsidR="00AA4471" w:rsidRDefault="00AA4471" w:rsidP="00083908">
      <w:pPr>
        <w:tabs>
          <w:tab w:val="left" w:pos="0"/>
        </w:tabs>
        <w:spacing w:after="0" w:line="240" w:lineRule="auto"/>
      </w:pPr>
    </w:p>
    <w:p w:rsidR="00070FBD" w:rsidRDefault="00070FBD" w:rsidP="00083908">
      <w:pPr>
        <w:tabs>
          <w:tab w:val="left" w:pos="0"/>
        </w:tabs>
        <w:spacing w:after="0" w:line="240" w:lineRule="auto"/>
      </w:pPr>
      <w:r>
        <w:t>Del total de  $ 3</w:t>
      </w:r>
      <w:r w:rsidR="00DB1263">
        <w:t>8</w:t>
      </w:r>
      <w:r>
        <w:t>.</w:t>
      </w:r>
      <w:r w:rsidR="00DB1263">
        <w:t>935</w:t>
      </w:r>
      <w:r>
        <w:t xml:space="preserve"> millones de ingresos brutos del juego o </w:t>
      </w:r>
      <w:proofErr w:type="spellStart"/>
      <w:r>
        <w:t>win</w:t>
      </w:r>
      <w:proofErr w:type="spellEnd"/>
      <w:r>
        <w:t xml:space="preserve">, </w:t>
      </w:r>
      <w:proofErr w:type="spellStart"/>
      <w:r>
        <w:t>Sun</w:t>
      </w:r>
      <w:proofErr w:type="spellEnd"/>
      <w:r>
        <w:t xml:space="preserve"> Monticello representó el 1</w:t>
      </w:r>
      <w:r w:rsidR="00DB1263">
        <w:t>7</w:t>
      </w:r>
      <w:r>
        <w:t>,</w:t>
      </w:r>
      <w:r w:rsidR="00DB1263">
        <w:t>0</w:t>
      </w:r>
      <w:r>
        <w:t xml:space="preserve"> % ($ </w:t>
      </w:r>
      <w:r w:rsidR="00DB1263">
        <w:t>6</w:t>
      </w:r>
      <w:r>
        <w:t>.</w:t>
      </w:r>
      <w:r w:rsidR="00DB1263">
        <w:t>601</w:t>
      </w:r>
      <w:r>
        <w:t xml:space="preserve"> millones), Casino de Viña del Mar 1</w:t>
      </w:r>
      <w:r w:rsidR="00DB1263">
        <w:t>1</w:t>
      </w:r>
      <w:r>
        <w:t>,</w:t>
      </w:r>
      <w:r w:rsidR="00DB1263">
        <w:t>6</w:t>
      </w:r>
      <w:r>
        <w:t xml:space="preserve"> % ($ 4.5</w:t>
      </w:r>
      <w:r w:rsidR="00DB1263">
        <w:t>0</w:t>
      </w:r>
      <w:r>
        <w:t xml:space="preserve">6 millones), Casino Rinconada </w:t>
      </w:r>
      <w:r w:rsidR="00DB1263">
        <w:t>9</w:t>
      </w:r>
      <w:r>
        <w:t>,</w:t>
      </w:r>
      <w:r w:rsidR="00DB1263">
        <w:t>3</w:t>
      </w:r>
      <w:r>
        <w:t xml:space="preserve"> % ($ 3.</w:t>
      </w:r>
      <w:r w:rsidR="00DB1263">
        <w:t>625</w:t>
      </w:r>
      <w:r>
        <w:t xml:space="preserve"> millones), Marina del Sol Talcahuano </w:t>
      </w:r>
      <w:r w:rsidR="00DB1263">
        <w:t>9</w:t>
      </w:r>
      <w:r>
        <w:t>,</w:t>
      </w:r>
      <w:r w:rsidR="00DB1263">
        <w:t>0</w:t>
      </w:r>
      <w:r>
        <w:t xml:space="preserve"> % ($ 3.</w:t>
      </w:r>
      <w:r w:rsidR="00DB1263">
        <w:t>521</w:t>
      </w:r>
      <w:r>
        <w:t xml:space="preserve"> millones),</w:t>
      </w:r>
      <w:r w:rsidR="00DB1263">
        <w:t xml:space="preserve"> Coquimbo 6,7 ($ 2.609 millones),</w:t>
      </w:r>
      <w:r>
        <w:t xml:space="preserve"> </w:t>
      </w:r>
      <w:proofErr w:type="spellStart"/>
      <w:r>
        <w:t>Enjoy</w:t>
      </w:r>
      <w:proofErr w:type="spellEnd"/>
      <w:r>
        <w:t xml:space="preserve"> Antofagasta 6,</w:t>
      </w:r>
      <w:r w:rsidR="00DB1263">
        <w:t>6</w:t>
      </w:r>
      <w:r>
        <w:t xml:space="preserve"> % ($ 2.</w:t>
      </w:r>
      <w:r w:rsidR="00DB1263">
        <w:t>566</w:t>
      </w:r>
      <w:r>
        <w:t xml:space="preserve"> millones), </w:t>
      </w:r>
      <w:proofErr w:type="spellStart"/>
      <w:r w:rsidR="00DB1263">
        <w:t>Dreams</w:t>
      </w:r>
      <w:proofErr w:type="spellEnd"/>
      <w:r w:rsidR="00DB1263">
        <w:t xml:space="preserve"> Temuco 4,8 % ($ 1.880  millones), </w:t>
      </w:r>
      <w:r>
        <w:t>Casino de Iquique 4,7 % ($ 1.</w:t>
      </w:r>
      <w:r w:rsidR="00DB1263">
        <w:t>830 millones</w:t>
      </w:r>
      <w:r>
        <w:t xml:space="preserve">), </w:t>
      </w:r>
      <w:proofErr w:type="spellStart"/>
      <w:r>
        <w:t>Dreams</w:t>
      </w:r>
      <w:proofErr w:type="spellEnd"/>
      <w:r>
        <w:t xml:space="preserve"> Punta Arenas 3,8 % ($ 1.4</w:t>
      </w:r>
      <w:r w:rsidR="00DB1263">
        <w:t>74</w:t>
      </w:r>
      <w:r>
        <w:t xml:space="preserve"> millones), Casino Puerto Varas 3,</w:t>
      </w:r>
      <w:r w:rsidR="00DB1263">
        <w:t>5</w:t>
      </w:r>
      <w:r>
        <w:t xml:space="preserve"> % (1.3</w:t>
      </w:r>
      <w:r w:rsidR="00DB1263">
        <w:t>45</w:t>
      </w:r>
      <w:r>
        <w:t>), Marina del Sol Calama 2,</w:t>
      </w:r>
      <w:r w:rsidR="00DB1263">
        <w:t>7</w:t>
      </w:r>
      <w:r>
        <w:t xml:space="preserve"> % ($ 1.06</w:t>
      </w:r>
      <w:r w:rsidR="00DB1263">
        <w:t>8</w:t>
      </w:r>
      <w:r>
        <w:t xml:space="preserve"> millones),</w:t>
      </w:r>
      <w:r w:rsidRPr="00A809A5">
        <w:t xml:space="preserve"> </w:t>
      </w:r>
      <w:r>
        <w:t>Gran Casino de Talca 2,</w:t>
      </w:r>
      <w:r w:rsidR="00DB1263">
        <w:t>4</w:t>
      </w:r>
      <w:r>
        <w:t xml:space="preserve"> % ($ </w:t>
      </w:r>
      <w:r w:rsidR="00DB1263">
        <w:t>952</w:t>
      </w:r>
      <w:r>
        <w:t xml:space="preserve"> millones), </w:t>
      </w:r>
      <w:proofErr w:type="spellStart"/>
      <w:r w:rsidR="00DB1263">
        <w:t>Dreams</w:t>
      </w:r>
      <w:proofErr w:type="spellEnd"/>
      <w:r w:rsidR="00DB1263">
        <w:t xml:space="preserve"> Valdivia 2,4 % ($ 950 millones), </w:t>
      </w:r>
      <w:proofErr w:type="spellStart"/>
      <w:r>
        <w:t>Antay</w:t>
      </w:r>
      <w:proofErr w:type="spellEnd"/>
      <w:r>
        <w:t xml:space="preserve"> Casino &amp; Hotel 2,</w:t>
      </w:r>
      <w:r w:rsidR="00DB1263">
        <w:t>3</w:t>
      </w:r>
      <w:r>
        <w:t xml:space="preserve"> % ($ 9</w:t>
      </w:r>
      <w:r w:rsidR="00DB1263">
        <w:t>04</w:t>
      </w:r>
      <w:r>
        <w:t xml:space="preserve"> millones) , Casino de Pucón 2,</w:t>
      </w:r>
      <w:r w:rsidR="00DB1263">
        <w:t>3</w:t>
      </w:r>
      <w:r w:rsidR="00F033B3">
        <w:t xml:space="preserve"> </w:t>
      </w:r>
      <w:r>
        <w:t xml:space="preserve">% ($ </w:t>
      </w:r>
      <w:r w:rsidR="00DB1263">
        <w:t>900</w:t>
      </w:r>
      <w:r>
        <w:t xml:space="preserve"> millones), Marina del Sol Osorno </w:t>
      </w:r>
      <w:r w:rsidR="00F033B3">
        <w:t>1,</w:t>
      </w:r>
      <w:r w:rsidR="00DB1263">
        <w:t>9</w:t>
      </w:r>
      <w:r w:rsidR="00F033B3">
        <w:t xml:space="preserve"> </w:t>
      </w:r>
      <w:r>
        <w:t xml:space="preserve">% ($ </w:t>
      </w:r>
      <w:r w:rsidR="00DB1263">
        <w:t>742</w:t>
      </w:r>
      <w:r w:rsidR="00F033B3">
        <w:t xml:space="preserve"> </w:t>
      </w:r>
      <w:r>
        <w:t xml:space="preserve">millones), </w:t>
      </w:r>
      <w:r w:rsidR="00F033B3">
        <w:t>Casino de Juegos del Pacífico 1,</w:t>
      </w:r>
      <w:r w:rsidR="00DB1263">
        <w:t>7</w:t>
      </w:r>
      <w:r w:rsidR="00F033B3">
        <w:t xml:space="preserve"> </w:t>
      </w:r>
      <w:r>
        <w:t xml:space="preserve">% ($ </w:t>
      </w:r>
      <w:r w:rsidR="00DB1263">
        <w:t>673</w:t>
      </w:r>
      <w:r>
        <w:t xml:space="preserve"> millones), </w:t>
      </w:r>
      <w:r w:rsidR="00842993">
        <w:t>Casino de Arica 1,6</w:t>
      </w:r>
      <w:r w:rsidR="00CA4C34">
        <w:t xml:space="preserve"> %</w:t>
      </w:r>
      <w:r w:rsidR="00842993">
        <w:t xml:space="preserve"> ($ </w:t>
      </w:r>
      <w:r w:rsidR="00CA4C34">
        <w:t>616</w:t>
      </w:r>
      <w:r w:rsidR="00F033B3">
        <w:t xml:space="preserve"> millones), </w:t>
      </w:r>
      <w:r>
        <w:t>Casino de Colchagua 1,</w:t>
      </w:r>
      <w:r w:rsidR="00CA4C34">
        <w:t>6</w:t>
      </w:r>
      <w:r w:rsidR="00F033B3">
        <w:t xml:space="preserve"> </w:t>
      </w:r>
      <w:r>
        <w:t xml:space="preserve">% ($ </w:t>
      </w:r>
      <w:r w:rsidR="00CA4C34">
        <w:t>608</w:t>
      </w:r>
      <w:r>
        <w:t xml:space="preserve"> millones), </w:t>
      </w:r>
      <w:proofErr w:type="spellStart"/>
      <w:r>
        <w:t>Dreams</w:t>
      </w:r>
      <w:proofErr w:type="spellEnd"/>
      <w:r>
        <w:t xml:space="preserve"> Coyhaique 1,</w:t>
      </w:r>
      <w:r w:rsidR="00CA4C34">
        <w:t>2</w:t>
      </w:r>
      <w:r w:rsidR="00F033B3">
        <w:t xml:space="preserve"> </w:t>
      </w:r>
      <w:r>
        <w:t xml:space="preserve">% ($ </w:t>
      </w:r>
      <w:r w:rsidR="00CA4C34">
        <w:t>450</w:t>
      </w:r>
      <w:r w:rsidR="00F033B3">
        <w:t xml:space="preserve"> </w:t>
      </w:r>
      <w:r>
        <w:t>millones), Casino Gran Los Ángeles 1,</w:t>
      </w:r>
      <w:r w:rsidR="00CA4C34">
        <w:t>1</w:t>
      </w:r>
      <w:r w:rsidR="00F033B3">
        <w:t xml:space="preserve"> </w:t>
      </w:r>
      <w:r>
        <w:t xml:space="preserve">% ($ </w:t>
      </w:r>
      <w:r w:rsidR="00CA4C34">
        <w:t>422</w:t>
      </w:r>
      <w:r>
        <w:t xml:space="preserve"> millones), </w:t>
      </w:r>
      <w:proofErr w:type="spellStart"/>
      <w:r>
        <w:t>Enjoy</w:t>
      </w:r>
      <w:proofErr w:type="spellEnd"/>
      <w:r>
        <w:t xml:space="preserve"> Chiloé </w:t>
      </w:r>
      <w:r w:rsidR="00CA4C34">
        <w:t>1</w:t>
      </w:r>
      <w:r w:rsidR="00F033B3">
        <w:t>,</w:t>
      </w:r>
      <w:r w:rsidR="00CA4C34">
        <w:t>0</w:t>
      </w:r>
      <w:r w:rsidR="00F033B3">
        <w:t xml:space="preserve"> </w:t>
      </w:r>
      <w:r>
        <w:t>% ($ 3</w:t>
      </w:r>
      <w:r w:rsidR="00CA4C34">
        <w:t>70</w:t>
      </w:r>
      <w:r w:rsidR="00F033B3">
        <w:t xml:space="preserve"> millones), Ovalle Casino Resort S.A. 0,</w:t>
      </w:r>
      <w:r w:rsidR="00CA4C34">
        <w:t>4</w:t>
      </w:r>
      <w:r w:rsidR="00F033B3">
        <w:t xml:space="preserve"> % (17</w:t>
      </w:r>
      <w:r w:rsidR="00CA4C34">
        <w:t>0</w:t>
      </w:r>
      <w:r w:rsidR="00F033B3">
        <w:t xml:space="preserve"> m</w:t>
      </w:r>
      <w:r w:rsidR="009E3CDD">
        <w:t>illones), Casino de Natales</w:t>
      </w:r>
      <w:r w:rsidR="00F033B3">
        <w:t xml:space="preserve"> 0,4 % ($15</w:t>
      </w:r>
      <w:r w:rsidR="00CA4C34">
        <w:t>5</w:t>
      </w:r>
      <w:r w:rsidR="00F033B3">
        <w:t xml:space="preserve"> millones).</w:t>
      </w:r>
    </w:p>
    <w:p w:rsidR="00083908" w:rsidRDefault="00083908" w:rsidP="00083908">
      <w:pPr>
        <w:tabs>
          <w:tab w:val="left" w:pos="0"/>
        </w:tabs>
        <w:spacing w:after="0" w:line="240" w:lineRule="auto"/>
      </w:pPr>
    </w:p>
    <w:p w:rsidR="0017349B" w:rsidRPr="00FB3D8B" w:rsidRDefault="00FB3D8B" w:rsidP="00FB3D8B">
      <w:pPr>
        <w:shd w:val="clear" w:color="auto" w:fill="222A35" w:themeFill="text2" w:themeFillShade="80"/>
        <w:tabs>
          <w:tab w:val="left" w:pos="0"/>
        </w:tabs>
        <w:spacing w:after="0" w:line="240" w:lineRule="auto"/>
        <w:rPr>
          <w:b/>
        </w:rPr>
      </w:pPr>
      <w:r>
        <w:rPr>
          <w:b/>
        </w:rPr>
        <w:t>Casinos autorizados por la L</w:t>
      </w:r>
      <w:r w:rsidR="0017349B" w:rsidRPr="00FB3D8B">
        <w:rPr>
          <w:b/>
        </w:rPr>
        <w:t>ey N° 19.995</w:t>
      </w:r>
    </w:p>
    <w:p w:rsidR="0017349B" w:rsidRDefault="0017349B" w:rsidP="00083908">
      <w:pPr>
        <w:tabs>
          <w:tab w:val="left" w:pos="0"/>
        </w:tabs>
        <w:spacing w:after="0" w:line="240" w:lineRule="auto"/>
      </w:pPr>
    </w:p>
    <w:p w:rsidR="00AA4471" w:rsidRDefault="0017349B" w:rsidP="00083908">
      <w:pPr>
        <w:tabs>
          <w:tab w:val="left" w:pos="0"/>
        </w:tabs>
        <w:spacing w:after="0" w:line="240" w:lineRule="auto"/>
      </w:pPr>
      <w:r>
        <w:t>De</w:t>
      </w:r>
      <w:r w:rsidR="00070FBD">
        <w:t xml:space="preserve"> los ingresos brutos que registró la industria en general, </w:t>
      </w:r>
      <w:r w:rsidR="00AA4471">
        <w:t xml:space="preserve">los casinos autorizados por la Ley N° 19.995 alcanzaron </w:t>
      </w:r>
      <w:r w:rsidR="00AA4471" w:rsidRPr="00FD382C">
        <w:t>ingresos bru</w:t>
      </w:r>
      <w:r w:rsidR="00AA4471">
        <w:t>tos del juego (</w:t>
      </w:r>
      <w:proofErr w:type="spellStart"/>
      <w:r w:rsidR="00AA4471">
        <w:t>win</w:t>
      </w:r>
      <w:proofErr w:type="spellEnd"/>
      <w:r w:rsidR="00AA4471">
        <w:t>) por $ 2</w:t>
      </w:r>
      <w:r w:rsidR="00CA4C34">
        <w:t>6</w:t>
      </w:r>
      <w:r w:rsidR="00AA4471">
        <w:t>.</w:t>
      </w:r>
      <w:r w:rsidR="00CA4C34">
        <w:t>975</w:t>
      </w:r>
      <w:r w:rsidR="00AA4471" w:rsidRPr="00FD382C">
        <w:t xml:space="preserve"> millones,</w:t>
      </w:r>
      <w:r w:rsidR="00070FBD">
        <w:t xml:space="preserve"> lo que representa un 69,</w:t>
      </w:r>
      <w:r w:rsidR="00EF38DA">
        <w:t>3</w:t>
      </w:r>
      <w:r w:rsidR="00070FBD">
        <w:t xml:space="preserve"> % del total. Esto i</w:t>
      </w:r>
      <w:r w:rsidR="00AA4471" w:rsidRPr="00FD382C">
        <w:t>mplica</w:t>
      </w:r>
      <w:r w:rsidR="00AA4471">
        <w:t xml:space="preserve"> una variación real</w:t>
      </w:r>
      <w:r w:rsidR="00AA4471" w:rsidRPr="00C8471D">
        <w:rPr>
          <w:sz w:val="28"/>
          <w:szCs w:val="28"/>
        </w:rPr>
        <w:t xml:space="preserve"> </w:t>
      </w:r>
      <w:r w:rsidR="00AA4471">
        <w:t xml:space="preserve">de </w:t>
      </w:r>
      <w:r w:rsidR="00EF38DA">
        <w:t>-3</w:t>
      </w:r>
      <w:r w:rsidR="00AA4471">
        <w:t>,</w:t>
      </w:r>
      <w:r w:rsidR="00EF38DA">
        <w:t>5</w:t>
      </w:r>
      <w:r w:rsidR="00AA4471">
        <w:t>%</w:t>
      </w:r>
      <w:r w:rsidR="00AA4471" w:rsidRPr="00C8471D">
        <w:rPr>
          <w:rStyle w:val="Refdenotaalpie"/>
          <w:sz w:val="28"/>
          <w:szCs w:val="28"/>
        </w:rPr>
        <w:footnoteReference w:id="5"/>
      </w:r>
      <w:r w:rsidR="00AA4471">
        <w:t xml:space="preserve">, en comparación con </w:t>
      </w:r>
      <w:r w:rsidR="00EF38DA">
        <w:t>octubre</w:t>
      </w:r>
      <w:r w:rsidR="00AA4471">
        <w:t xml:space="preserve"> de </w:t>
      </w:r>
      <w:r w:rsidR="00AA4471">
        <w:lastRenderedPageBreak/>
        <w:t xml:space="preserve">2015. Como resultado, la industria regulada presenta un </w:t>
      </w:r>
      <w:r w:rsidR="00AA4471" w:rsidRPr="00FD382C">
        <w:t xml:space="preserve">crecimiento real </w:t>
      </w:r>
      <w:r w:rsidR="00AA4471">
        <w:t>acumulado</w:t>
      </w:r>
      <w:r w:rsidR="002A0A55">
        <w:rPr>
          <w:sz w:val="28"/>
          <w:szCs w:val="28"/>
        </w:rPr>
        <w:t xml:space="preserve"> </w:t>
      </w:r>
      <w:bookmarkStart w:id="0" w:name="_GoBack"/>
      <w:bookmarkEnd w:id="0"/>
      <w:r w:rsidR="00AA4471">
        <w:t xml:space="preserve">de </w:t>
      </w:r>
      <w:r w:rsidR="00EF38DA">
        <w:t>2</w:t>
      </w:r>
      <w:r w:rsidR="00AA4471">
        <w:t>,</w:t>
      </w:r>
      <w:r w:rsidR="00EF38DA">
        <w:t>6</w:t>
      </w:r>
      <w:r w:rsidR="00AA4471" w:rsidRPr="00FD382C">
        <w:t xml:space="preserve">%, en los  últimos doce meses. </w:t>
      </w:r>
    </w:p>
    <w:p w:rsidR="00265A30" w:rsidRDefault="00265A30" w:rsidP="00083908">
      <w:pPr>
        <w:tabs>
          <w:tab w:val="left" w:pos="0"/>
        </w:tabs>
        <w:spacing w:after="0" w:line="240" w:lineRule="auto"/>
      </w:pPr>
      <w:r>
        <w:t xml:space="preserve">En los mismos términos, las </w:t>
      </w:r>
      <w:r w:rsidR="00EF38DA">
        <w:t>500</w:t>
      </w:r>
      <w:r>
        <w:t>.</w:t>
      </w:r>
      <w:r w:rsidR="00EF38DA">
        <w:t>209</w:t>
      </w:r>
      <w:r>
        <w:t xml:space="preserve"> visitas registradas a los casinos regulados equivalen a una variación de </w:t>
      </w:r>
      <w:r w:rsidR="00EF38DA">
        <w:t>1</w:t>
      </w:r>
      <w:r>
        <w:t>,9</w:t>
      </w:r>
      <w:r w:rsidRPr="00FD382C">
        <w:t>% en el número de visitas</w:t>
      </w:r>
      <w:r>
        <w:t xml:space="preserve"> en comparación con </w:t>
      </w:r>
      <w:r w:rsidR="00EF38DA">
        <w:t>octubre</w:t>
      </w:r>
      <w:r>
        <w:t xml:space="preserve"> de 2015</w:t>
      </w:r>
      <w:r w:rsidRPr="00FD382C">
        <w:t>,</w:t>
      </w:r>
      <w:r>
        <w:t xml:space="preserve"> lo que implica un crecimiento </w:t>
      </w:r>
      <w:r w:rsidR="003E7430">
        <w:t xml:space="preserve">acumulado </w:t>
      </w:r>
      <w:r>
        <w:t>del 1,</w:t>
      </w:r>
      <w:r w:rsidR="00EF38DA">
        <w:t>1</w:t>
      </w:r>
      <w:r>
        <w:t>% en los últimos 12 meses.</w:t>
      </w:r>
    </w:p>
    <w:p w:rsidR="00265A30" w:rsidRDefault="00265A30" w:rsidP="00083908">
      <w:pPr>
        <w:tabs>
          <w:tab w:val="left" w:pos="0"/>
        </w:tabs>
        <w:spacing w:after="0" w:line="240" w:lineRule="auto"/>
      </w:pPr>
    </w:p>
    <w:p w:rsidR="00265A30" w:rsidRDefault="00265A30" w:rsidP="00083908">
      <w:pPr>
        <w:tabs>
          <w:tab w:val="left" w:pos="0"/>
        </w:tabs>
        <w:spacing w:after="0" w:line="240" w:lineRule="auto"/>
      </w:pPr>
      <w:r>
        <w:t xml:space="preserve">Respecto del gasto de los visitantes, durante el mes de </w:t>
      </w:r>
      <w:r w:rsidR="00901177">
        <w:t>octubre</w:t>
      </w:r>
      <w:r>
        <w:t xml:space="preserve"> se registró un gasto promedio de $ 5</w:t>
      </w:r>
      <w:r w:rsidR="00901177">
        <w:t>3</w:t>
      </w:r>
      <w:r>
        <w:t>.</w:t>
      </w:r>
      <w:r w:rsidR="00901177">
        <w:t>927</w:t>
      </w:r>
      <w:r>
        <w:t xml:space="preserve"> por visita, lo que muestra una variación </w:t>
      </w:r>
      <w:r w:rsidR="004E6E42">
        <w:t xml:space="preserve">real </w:t>
      </w:r>
      <w:r>
        <w:t>de -</w:t>
      </w:r>
      <w:r w:rsidR="00E305E8">
        <w:t>5</w:t>
      </w:r>
      <w:r>
        <w:t>,</w:t>
      </w:r>
      <w:r w:rsidR="00E305E8">
        <w:t>3</w:t>
      </w:r>
      <w:r>
        <w:t xml:space="preserve">% respecto de </w:t>
      </w:r>
      <w:r w:rsidR="00901177">
        <w:t>octubre</w:t>
      </w:r>
      <w:r>
        <w:t xml:space="preserve"> de 2015, alcanzando un crecimiento acumulado real del gasto de </w:t>
      </w:r>
      <w:r w:rsidR="00901177">
        <w:t>1</w:t>
      </w:r>
      <w:r>
        <w:t>,</w:t>
      </w:r>
      <w:r w:rsidR="00901177">
        <w:t>5</w:t>
      </w:r>
      <w:r>
        <w:t>% en los últimos 12 meses.</w:t>
      </w:r>
    </w:p>
    <w:p w:rsidR="00265A30" w:rsidRDefault="00265A30" w:rsidP="00083908">
      <w:pPr>
        <w:tabs>
          <w:tab w:val="left" w:pos="0"/>
        </w:tabs>
        <w:spacing w:after="0" w:line="240" w:lineRule="auto"/>
      </w:pPr>
      <w:r>
        <w:t>Finalmente, respecto al pago de impuestos, las Municipalidades y el Gobierno Regional percibieron un total de $ 4.</w:t>
      </w:r>
      <w:r w:rsidR="00901177">
        <w:t>405</w:t>
      </w:r>
      <w:r>
        <w:t xml:space="preserve"> millones por concepto de impuesto al específico al juego</w:t>
      </w:r>
      <w:r>
        <w:rPr>
          <w:rStyle w:val="Refdenotaalpie"/>
        </w:rPr>
        <w:footnoteReference w:id="6"/>
      </w:r>
      <w:r>
        <w:t>, mientras que por concepto de entradas se pagó al fisco la suma de $ 1.</w:t>
      </w:r>
      <w:r w:rsidR="00901177">
        <w:t>611</w:t>
      </w:r>
      <w:r>
        <w:t xml:space="preserve"> millones. Finalmente, por concepto de IVA, las sociedades operadoras pagaron $ 4.</w:t>
      </w:r>
      <w:r w:rsidR="00901177">
        <w:t>307</w:t>
      </w:r>
      <w:r>
        <w:t xml:space="preserve"> durante el mes de </w:t>
      </w:r>
      <w:r w:rsidR="00901177">
        <w:t>octubre</w:t>
      </w:r>
      <w:r>
        <w:t>.</w:t>
      </w:r>
    </w:p>
    <w:p w:rsidR="00070FBD" w:rsidRDefault="00070FBD" w:rsidP="00083908">
      <w:pPr>
        <w:tabs>
          <w:tab w:val="left" w:pos="0"/>
        </w:tabs>
        <w:spacing w:after="0" w:line="240" w:lineRule="auto"/>
      </w:pPr>
    </w:p>
    <w:p w:rsidR="00070FBD" w:rsidRDefault="00070FBD" w:rsidP="00083908">
      <w:pPr>
        <w:tabs>
          <w:tab w:val="left" w:pos="0"/>
        </w:tabs>
        <w:spacing w:after="0" w:line="240" w:lineRule="auto"/>
      </w:pPr>
      <w:r>
        <w:t>El monto jugado</w:t>
      </w:r>
      <w:r>
        <w:rPr>
          <w:rStyle w:val="Refdenotaalpie"/>
        </w:rPr>
        <w:footnoteReference w:id="7"/>
      </w:r>
      <w:r>
        <w:t xml:space="preserve"> en el mes de </w:t>
      </w:r>
      <w:r w:rsidR="00EC15C7">
        <w:t>octubre</w:t>
      </w:r>
      <w:r>
        <w:t>, en las 10.</w:t>
      </w:r>
      <w:r w:rsidR="00901177">
        <w:t>460</w:t>
      </w:r>
      <w:r>
        <w:t xml:space="preserve"> máquinas de azar que estuvieron en funcionamiento en los 17 casinos regulados ascendió a $ 3</w:t>
      </w:r>
      <w:r w:rsidR="00901177">
        <w:t>66</w:t>
      </w:r>
      <w:r>
        <w:t>.</w:t>
      </w:r>
      <w:r w:rsidR="00901177">
        <w:t>083</w:t>
      </w:r>
      <w:r>
        <w:t xml:space="preserve"> millones. Los premios pagados a los jugadores alcanzaron los $ 3</w:t>
      </w:r>
      <w:r w:rsidR="00901177">
        <w:t>43</w:t>
      </w:r>
      <w:r>
        <w:t>.</w:t>
      </w:r>
      <w:r w:rsidR="00E305E8">
        <w:t>79</w:t>
      </w:r>
      <w:r w:rsidR="00901177">
        <w:t>3</w:t>
      </w:r>
      <w:r>
        <w:t xml:space="preserve"> millones, equivalentes al 9</w:t>
      </w:r>
      <w:r w:rsidR="00901177">
        <w:t>3</w:t>
      </w:r>
      <w:r>
        <w:t>,</w:t>
      </w:r>
      <w:r w:rsidR="00901177">
        <w:t>9</w:t>
      </w:r>
      <w:r>
        <w:t>% del total apostado. Como</w:t>
      </w:r>
      <w:r w:rsidR="005B279E">
        <w:t xml:space="preserve"> resultado, el ingreso bruto o </w:t>
      </w:r>
      <w:proofErr w:type="spellStart"/>
      <w:r w:rsidR="005B279E">
        <w:t>w</w:t>
      </w:r>
      <w:r>
        <w:t>in</w:t>
      </w:r>
      <w:proofErr w:type="spellEnd"/>
      <w:r>
        <w:t xml:space="preserve"> correspondiente al juego en máquinas de azar fue de $2</w:t>
      </w:r>
      <w:r w:rsidR="00901177">
        <w:t>2</w:t>
      </w:r>
      <w:r>
        <w:t>.</w:t>
      </w:r>
      <w:r w:rsidR="00901177">
        <w:t>290</w:t>
      </w:r>
      <w:r>
        <w:t xml:space="preserve"> millones que equivale al 8</w:t>
      </w:r>
      <w:r w:rsidR="00901177">
        <w:t>2</w:t>
      </w:r>
      <w:r>
        <w:t>,</w:t>
      </w:r>
      <w:r w:rsidR="00901177">
        <w:t>6</w:t>
      </w:r>
      <w:r>
        <w:t xml:space="preserve"> % del ingreso bruto total.</w:t>
      </w:r>
    </w:p>
    <w:p w:rsidR="00070FBD" w:rsidRDefault="00070FBD" w:rsidP="00083908">
      <w:pPr>
        <w:tabs>
          <w:tab w:val="left" w:pos="0"/>
        </w:tabs>
        <w:spacing w:after="0" w:line="240" w:lineRule="auto"/>
        <w:rPr>
          <w:b/>
        </w:rPr>
      </w:pPr>
    </w:p>
    <w:p w:rsidR="00265A30" w:rsidRDefault="00265A30" w:rsidP="00FB3D8B">
      <w:pPr>
        <w:shd w:val="clear" w:color="auto" w:fill="222A35" w:themeFill="text2" w:themeFillShade="80"/>
        <w:tabs>
          <w:tab w:val="left" w:pos="0"/>
        </w:tabs>
        <w:spacing w:after="0" w:line="240" w:lineRule="auto"/>
        <w:rPr>
          <w:b/>
        </w:rPr>
      </w:pPr>
      <w:r w:rsidRPr="00265A30">
        <w:rPr>
          <w:b/>
        </w:rPr>
        <w:t xml:space="preserve">Casinos municipales </w:t>
      </w:r>
    </w:p>
    <w:p w:rsidR="00E57CA1" w:rsidRPr="00265A30" w:rsidRDefault="00E57CA1" w:rsidP="00083908">
      <w:pPr>
        <w:tabs>
          <w:tab w:val="left" w:pos="0"/>
        </w:tabs>
        <w:spacing w:after="0" w:line="240" w:lineRule="auto"/>
        <w:rPr>
          <w:b/>
        </w:rPr>
      </w:pPr>
    </w:p>
    <w:p w:rsidR="00265A30" w:rsidRDefault="00070FBD" w:rsidP="00083908">
      <w:pPr>
        <w:spacing w:after="0" w:line="240" w:lineRule="auto"/>
      </w:pPr>
      <w:r>
        <w:t xml:space="preserve">Por su parte, </w:t>
      </w:r>
      <w:r w:rsidR="00265A30" w:rsidRPr="00265A30">
        <w:t>los casinos municipales obtuvieron un total de $ 11.</w:t>
      </w:r>
      <w:r w:rsidR="008161A3">
        <w:t>961</w:t>
      </w:r>
      <w:r w:rsidR="00265A30" w:rsidRPr="00265A30">
        <w:t xml:space="preserve"> millones de ingresos brutos del juego o </w:t>
      </w:r>
      <w:proofErr w:type="spellStart"/>
      <w:r w:rsidR="00265A30" w:rsidRPr="00265A30">
        <w:t>win</w:t>
      </w:r>
      <w:proofErr w:type="spellEnd"/>
      <w:r w:rsidR="00265A30" w:rsidRPr="00265A30">
        <w:t xml:space="preserve">, </w:t>
      </w:r>
      <w:r>
        <w:t>lo que representa un total de 30,</w:t>
      </w:r>
      <w:r w:rsidR="008161A3">
        <w:t>7</w:t>
      </w:r>
      <w:r>
        <w:t xml:space="preserve"> % del total de la industria. Esta cifra implica una </w:t>
      </w:r>
      <w:r w:rsidR="00265A30" w:rsidRPr="00265A30">
        <w:t>variación real mensual</w:t>
      </w:r>
      <w:r w:rsidR="00265A30" w:rsidRPr="00265A30">
        <w:rPr>
          <w:sz w:val="28"/>
          <w:szCs w:val="28"/>
        </w:rPr>
        <w:t xml:space="preserve"> </w:t>
      </w:r>
      <w:r w:rsidR="00265A30" w:rsidRPr="00265A30">
        <w:t xml:space="preserve">de </w:t>
      </w:r>
      <w:r w:rsidR="008161A3">
        <w:t>4</w:t>
      </w:r>
      <w:r w:rsidR="00265A30" w:rsidRPr="00265A30">
        <w:rPr>
          <w:bCs/>
        </w:rPr>
        <w:t>,</w:t>
      </w:r>
      <w:r w:rsidR="008161A3">
        <w:rPr>
          <w:bCs/>
        </w:rPr>
        <w:t>0</w:t>
      </w:r>
      <w:r w:rsidR="00265A30" w:rsidRPr="00265A30">
        <w:rPr>
          <w:bCs/>
        </w:rPr>
        <w:t>%</w:t>
      </w:r>
      <w:r w:rsidR="00265A30" w:rsidRPr="00265A30">
        <w:t xml:space="preserve"> en comparación con </w:t>
      </w:r>
      <w:r w:rsidR="008161A3">
        <w:t>octubre</w:t>
      </w:r>
      <w:r w:rsidR="00265A30" w:rsidRPr="00265A30">
        <w:t xml:space="preserve">  de 2015 y un crecimiento real acumulado de </w:t>
      </w:r>
      <w:r w:rsidR="00265A30" w:rsidRPr="00265A30">
        <w:rPr>
          <w:bCs/>
        </w:rPr>
        <w:t>3,</w:t>
      </w:r>
      <w:r w:rsidR="008161A3">
        <w:rPr>
          <w:bCs/>
        </w:rPr>
        <w:t>6</w:t>
      </w:r>
      <w:r w:rsidR="00265A30" w:rsidRPr="00265A30">
        <w:rPr>
          <w:bCs/>
        </w:rPr>
        <w:t>%</w:t>
      </w:r>
      <w:r w:rsidR="00265A30" w:rsidRPr="00265A30">
        <w:t xml:space="preserve"> en enero-</w:t>
      </w:r>
      <w:r w:rsidR="008161A3">
        <w:t>octubre</w:t>
      </w:r>
      <w:r w:rsidR="00265A30" w:rsidRPr="00265A30">
        <w:t xml:space="preserve"> de 2016, con relación a igual periodo del año anterior.</w:t>
      </w:r>
    </w:p>
    <w:p w:rsidR="00E57CA1" w:rsidRPr="00265A30" w:rsidRDefault="00E57CA1" w:rsidP="00083908">
      <w:pPr>
        <w:spacing w:after="0" w:line="240" w:lineRule="auto"/>
      </w:pPr>
    </w:p>
    <w:p w:rsidR="0017349B" w:rsidRDefault="00265A30" w:rsidP="00083908">
      <w:pPr>
        <w:tabs>
          <w:tab w:val="left" w:pos="0"/>
        </w:tabs>
        <w:spacing w:after="0" w:line="240" w:lineRule="auto"/>
      </w:pPr>
      <w:r>
        <w:t>Respecto de las visitas, los casinos de concesión municipal (exceptuando a Puerto Varas que no cuenta con la información) registraron un total de 2</w:t>
      </w:r>
      <w:r w:rsidR="008161A3">
        <w:t>57</w:t>
      </w:r>
      <w:r>
        <w:t>.</w:t>
      </w:r>
      <w:r w:rsidR="008161A3">
        <w:t>374</w:t>
      </w:r>
      <w:r>
        <w:t xml:space="preserve"> visitas.</w:t>
      </w:r>
      <w:r w:rsidR="001D7E9E">
        <w:t xml:space="preserve"> Respecto a lo anterior, es importante señalar que dicha información no se puede comparar, indexar ni sumar con la que registra la industria autorizada por la Ley N° 19.995, debido a que no son medidas de manera estandarizada (ver notas del Boletín Estadístico). </w:t>
      </w:r>
      <w:r w:rsidR="001D7E9E" w:rsidRPr="001D7E9E">
        <w:t xml:space="preserve">Por lo mismo, </w:t>
      </w:r>
      <w:r w:rsidR="001D7E9E">
        <w:t xml:space="preserve">para estos recintos no es </w:t>
      </w:r>
      <w:r w:rsidR="001D7E9E" w:rsidRPr="001D7E9E">
        <w:t>posible calcular el gasto promedio por persona.</w:t>
      </w:r>
    </w:p>
    <w:p w:rsidR="00E57CA1" w:rsidRDefault="00E57CA1" w:rsidP="00083908">
      <w:pPr>
        <w:tabs>
          <w:tab w:val="left" w:pos="0"/>
        </w:tabs>
        <w:spacing w:after="0" w:line="240" w:lineRule="auto"/>
        <w:rPr>
          <w:b/>
        </w:rPr>
      </w:pPr>
    </w:p>
    <w:p w:rsidR="0004531A" w:rsidRPr="0004531A" w:rsidRDefault="0004531A" w:rsidP="00FB3D8B">
      <w:pPr>
        <w:shd w:val="clear" w:color="auto" w:fill="222A35" w:themeFill="text2" w:themeFillShade="80"/>
        <w:tabs>
          <w:tab w:val="left" w:pos="0"/>
        </w:tabs>
        <w:spacing w:after="0" w:line="240" w:lineRule="auto"/>
        <w:rPr>
          <w:b/>
        </w:rPr>
      </w:pPr>
      <w:r w:rsidRPr="0004531A">
        <w:rPr>
          <w:b/>
        </w:rPr>
        <w:t>Sobre series de datos</w:t>
      </w:r>
    </w:p>
    <w:p w:rsidR="00FB3D8B" w:rsidRDefault="00FB3D8B" w:rsidP="00083908">
      <w:pPr>
        <w:tabs>
          <w:tab w:val="left" w:pos="0"/>
        </w:tabs>
        <w:spacing w:after="0" w:line="240" w:lineRule="auto"/>
      </w:pPr>
    </w:p>
    <w:p w:rsidR="0004531A" w:rsidRDefault="009C4049" w:rsidP="00083908">
      <w:pPr>
        <w:tabs>
          <w:tab w:val="left" w:pos="0"/>
        </w:tabs>
        <w:spacing w:after="0" w:line="240" w:lineRule="auto"/>
      </w:pPr>
      <w:r>
        <w:t>Cabe recordar</w:t>
      </w:r>
      <w:r w:rsidR="00A729EA">
        <w:t xml:space="preserve"> que </w:t>
      </w:r>
      <w:r>
        <w:t xml:space="preserve">desde el mes </w:t>
      </w:r>
      <w:r w:rsidR="005B01F2">
        <w:t xml:space="preserve">de mayo, en </w:t>
      </w:r>
      <w:r>
        <w:t xml:space="preserve">los comunicados de prensa </w:t>
      </w:r>
      <w:r w:rsidR="0004531A" w:rsidRPr="0004531A">
        <w:t xml:space="preserve"> referido a los resultados </w:t>
      </w:r>
      <w:r>
        <w:t>operacionales</w:t>
      </w:r>
      <w:r w:rsidR="0004531A" w:rsidRPr="0004531A">
        <w:t>, los porcentajes de variación de los ingresos brutos del juego y gasto promedio, respecto a per</w:t>
      </w:r>
      <w:r w:rsidR="005B01F2">
        <w:t xml:space="preserve">íodos anteriores, se comunican </w:t>
      </w:r>
      <w:r w:rsidR="0004531A" w:rsidRPr="0004531A">
        <w:t xml:space="preserve"> en términos reales. Esto es, corregidos por la UF del último día del mes, a diferencia de los valores nominales que se informaban en los boletines anteriores.</w:t>
      </w:r>
    </w:p>
    <w:p w:rsidR="00083908" w:rsidRDefault="00083908" w:rsidP="00083908">
      <w:pPr>
        <w:tabs>
          <w:tab w:val="left" w:pos="0"/>
        </w:tabs>
        <w:spacing w:after="0" w:line="240" w:lineRule="auto"/>
        <w:jc w:val="left"/>
      </w:pPr>
    </w:p>
    <w:p w:rsidR="00083908" w:rsidRPr="00083908" w:rsidRDefault="00083908" w:rsidP="00083908">
      <w:pPr>
        <w:tabs>
          <w:tab w:val="left" w:pos="0"/>
        </w:tabs>
        <w:spacing w:after="0" w:line="240" w:lineRule="auto"/>
      </w:pPr>
      <w:r>
        <w:t xml:space="preserve">Asimismo, y en el </w:t>
      </w:r>
      <w:r w:rsidRPr="00083908">
        <w:t>marco de su tarea de difusión encomendada por ley, a partir de hoy, la Superintendencia reportará los resultados conjuntos, tanto de los casinos autorizados por la Ley N° 19.995 como de los municipales, con el objetivo de generar información más completa de la industria local. Lo anterior, a través del comunicado de prensa y del boletín estadístico que se publica mensualmente en el sitio web institucional</w:t>
      </w:r>
      <w:r w:rsidR="00FB3D8B">
        <w:t>.</w:t>
      </w:r>
    </w:p>
    <w:p w:rsidR="009858E3" w:rsidRDefault="009858E3" w:rsidP="00E57CA1">
      <w:pPr>
        <w:tabs>
          <w:tab w:val="left" w:pos="0"/>
        </w:tabs>
        <w:spacing w:after="0" w:line="240" w:lineRule="auto"/>
        <w:jc w:val="left"/>
      </w:pPr>
      <w:r>
        <w:br w:type="page"/>
      </w:r>
    </w:p>
    <w:p w:rsidR="00196290" w:rsidRDefault="009858E3" w:rsidP="00196290">
      <w:pPr>
        <w:tabs>
          <w:tab w:val="left" w:pos="0"/>
        </w:tabs>
        <w:jc w:val="center"/>
        <w:rPr>
          <w:rFonts w:ascii="Calibri" w:hAnsi="Calibri" w:cs="Calibri"/>
          <w:b/>
          <w:sz w:val="21"/>
          <w:szCs w:val="21"/>
        </w:rPr>
      </w:pPr>
      <w:r>
        <w:rPr>
          <w:rFonts w:ascii="Calibri" w:hAnsi="Calibri" w:cs="Calibri"/>
          <w:b/>
          <w:sz w:val="21"/>
          <w:szCs w:val="21"/>
        </w:rPr>
        <w:lastRenderedPageBreak/>
        <w:t>A</w:t>
      </w:r>
      <w:r w:rsidRPr="00685974">
        <w:rPr>
          <w:rFonts w:ascii="Calibri" w:hAnsi="Calibri" w:cs="Calibri"/>
          <w:b/>
          <w:sz w:val="21"/>
          <w:szCs w:val="21"/>
        </w:rPr>
        <w:t>NEXO</w:t>
      </w:r>
      <w:r>
        <w:rPr>
          <w:rFonts w:ascii="Calibri" w:hAnsi="Calibri" w:cs="Calibri"/>
          <w:b/>
          <w:sz w:val="21"/>
          <w:szCs w:val="21"/>
        </w:rPr>
        <w:t>:</w:t>
      </w:r>
      <w:r w:rsidR="004830B6">
        <w:rPr>
          <w:rFonts w:ascii="Calibri" w:hAnsi="Calibri" w:cs="Calibri"/>
          <w:b/>
          <w:sz w:val="21"/>
          <w:szCs w:val="21"/>
        </w:rPr>
        <w:t xml:space="preserve"> RESULTADOS OPERACIONALES </w:t>
      </w:r>
      <w:r w:rsidR="00EC15C7">
        <w:rPr>
          <w:rFonts w:ascii="Calibri" w:hAnsi="Calibri" w:cs="Calibri"/>
          <w:b/>
          <w:sz w:val="21"/>
          <w:szCs w:val="21"/>
        </w:rPr>
        <w:t>OCTUBRE</w:t>
      </w:r>
      <w:r w:rsidR="00FB3D8B">
        <w:rPr>
          <w:rFonts w:ascii="Calibri" w:hAnsi="Calibri" w:cs="Calibri"/>
          <w:b/>
          <w:sz w:val="21"/>
          <w:szCs w:val="21"/>
        </w:rPr>
        <w:t xml:space="preserve"> </w:t>
      </w:r>
      <w:r>
        <w:rPr>
          <w:rFonts w:ascii="Calibri" w:hAnsi="Calibri" w:cs="Calibri"/>
          <w:b/>
          <w:sz w:val="21"/>
          <w:szCs w:val="21"/>
        </w:rPr>
        <w:t>DE 2016</w:t>
      </w:r>
    </w:p>
    <w:p w:rsidR="00196290" w:rsidRDefault="00196290" w:rsidP="00196290">
      <w:pPr>
        <w:shd w:val="clear" w:color="auto" w:fill="222A35" w:themeFill="text2" w:themeFillShade="80"/>
        <w:tabs>
          <w:tab w:val="left" w:pos="0"/>
        </w:tabs>
        <w:rPr>
          <w:rFonts w:ascii="Calibri" w:hAnsi="Calibri" w:cs="Calibri"/>
          <w:b/>
          <w:sz w:val="21"/>
          <w:szCs w:val="21"/>
        </w:rPr>
      </w:pPr>
      <w:r>
        <w:rPr>
          <w:rFonts w:ascii="Calibri" w:hAnsi="Calibri" w:cs="Calibri"/>
          <w:b/>
          <w:sz w:val="21"/>
          <w:szCs w:val="21"/>
        </w:rPr>
        <w:t>Industria en general (Casinos autorizados por la Ley N° 19.995 y Casinos Municipales</w:t>
      </w:r>
    </w:p>
    <w:p w:rsidR="00252772" w:rsidRDefault="005F17F7" w:rsidP="005F17F7">
      <w:pPr>
        <w:ind w:left="-567"/>
        <w:jc w:val="center"/>
        <w:rPr>
          <w:rFonts w:ascii="Calibri" w:hAnsi="Calibri" w:cs="Calibri"/>
          <w:b/>
          <w:sz w:val="21"/>
          <w:szCs w:val="21"/>
        </w:rPr>
      </w:pPr>
      <w:r>
        <w:rPr>
          <w:rFonts w:ascii="Calibri" w:hAnsi="Calibri" w:cs="Calibri"/>
          <w:b/>
          <w:noProof/>
          <w:sz w:val="21"/>
          <w:szCs w:val="21"/>
          <w:lang w:val="es-ES" w:eastAsia="es-ES"/>
        </w:rPr>
        <w:drawing>
          <wp:inline distT="0" distB="0" distL="0" distR="0" wp14:anchorId="3054CEEA" wp14:editId="0612A008">
            <wp:extent cx="5748199" cy="4593547"/>
            <wp:effectExtent l="0" t="0" r="508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4812" cy="4606823"/>
                    </a:xfrm>
                    <a:prstGeom prst="rect">
                      <a:avLst/>
                    </a:prstGeom>
                    <a:noFill/>
                  </pic:spPr>
                </pic:pic>
              </a:graphicData>
            </a:graphic>
          </wp:inline>
        </w:drawing>
      </w:r>
      <w:r w:rsidRPr="005F17F7">
        <w:rPr>
          <w:noProof/>
          <w:lang w:val="es-ES" w:eastAsia="es-ES"/>
        </w:rPr>
        <w:drawing>
          <wp:inline distT="0" distB="0" distL="0" distR="0" wp14:anchorId="26F71EF8" wp14:editId="6AE1B77D">
            <wp:extent cx="4493962" cy="34671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2643" cy="3481513"/>
                    </a:xfrm>
                    <a:prstGeom prst="rect">
                      <a:avLst/>
                    </a:prstGeom>
                    <a:noFill/>
                    <a:ln>
                      <a:noFill/>
                    </a:ln>
                  </pic:spPr>
                </pic:pic>
              </a:graphicData>
            </a:graphic>
          </wp:inline>
        </w:drawing>
      </w:r>
    </w:p>
    <w:p w:rsidR="004830B6"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rPr>
        <w:lastRenderedPageBreak/>
        <w:t>Casinos de juego autorizados por la Ley N° 19.995</w:t>
      </w:r>
    </w:p>
    <w:p w:rsidR="00FB3D8B" w:rsidRDefault="00FB3D8B" w:rsidP="00E0320F">
      <w:pPr>
        <w:tabs>
          <w:tab w:val="left" w:pos="0"/>
        </w:tabs>
        <w:spacing w:after="0" w:line="240" w:lineRule="auto"/>
        <w:rPr>
          <w:rFonts w:ascii="Calibri" w:hAnsi="Calibri" w:cs="Arial"/>
          <w:b/>
          <w:sz w:val="20"/>
          <w:szCs w:val="20"/>
        </w:rPr>
      </w:pPr>
    </w:p>
    <w:p w:rsidR="00FB3D8B" w:rsidRDefault="00FB3D8B" w:rsidP="00FB3D8B">
      <w:pPr>
        <w:pStyle w:val="Prrafodelista"/>
        <w:numPr>
          <w:ilvl w:val="0"/>
          <w:numId w:val="1"/>
        </w:numPr>
        <w:tabs>
          <w:tab w:val="left" w:pos="0"/>
        </w:tabs>
        <w:ind w:left="0"/>
        <w:rPr>
          <w:rFonts w:ascii="Calibri" w:hAnsi="Calibri" w:cs="Calibri"/>
          <w:b/>
          <w:sz w:val="21"/>
          <w:szCs w:val="21"/>
        </w:rPr>
      </w:pPr>
      <w:r>
        <w:rPr>
          <w:rFonts w:ascii="Calibri" w:hAnsi="Calibri" w:cs="Calibri"/>
          <w:b/>
          <w:sz w:val="21"/>
          <w:szCs w:val="21"/>
        </w:rPr>
        <w:t xml:space="preserve">Resultados Generales, valores nominales ($): </w:t>
      </w:r>
      <w:r w:rsidR="004843DA">
        <w:rPr>
          <w:rFonts w:ascii="Calibri" w:hAnsi="Calibri" w:cs="Calibri"/>
          <w:b/>
          <w:sz w:val="21"/>
          <w:szCs w:val="21"/>
        </w:rPr>
        <w:t>octubre</w:t>
      </w:r>
      <w:r>
        <w:rPr>
          <w:rFonts w:ascii="Calibri" w:hAnsi="Calibri" w:cs="Calibri"/>
          <w:b/>
          <w:sz w:val="21"/>
          <w:szCs w:val="21"/>
        </w:rPr>
        <w:t xml:space="preserve"> 2016</w:t>
      </w:r>
    </w:p>
    <w:p w:rsidR="00196290" w:rsidRDefault="00196290" w:rsidP="00196290">
      <w:pPr>
        <w:pStyle w:val="Prrafodelista"/>
        <w:tabs>
          <w:tab w:val="left" w:pos="0"/>
        </w:tabs>
        <w:ind w:left="0"/>
        <w:rPr>
          <w:rFonts w:ascii="Calibri" w:hAnsi="Calibri" w:cs="Calibri"/>
          <w:b/>
          <w:sz w:val="21"/>
          <w:szCs w:val="21"/>
        </w:rPr>
      </w:pPr>
    </w:p>
    <w:p w:rsidR="00FB3D8B" w:rsidRDefault="00E305E8" w:rsidP="00FB3D8B">
      <w:pPr>
        <w:pStyle w:val="Prrafodelista"/>
        <w:tabs>
          <w:tab w:val="left" w:pos="0"/>
        </w:tabs>
        <w:ind w:left="0"/>
        <w:rPr>
          <w:rFonts w:ascii="Calibri" w:hAnsi="Calibri" w:cs="Calibri"/>
          <w:b/>
          <w:sz w:val="21"/>
          <w:szCs w:val="21"/>
        </w:rPr>
      </w:pPr>
      <w:r>
        <w:rPr>
          <w:rFonts w:ascii="Calibri" w:hAnsi="Calibri" w:cs="Calibri"/>
          <w:b/>
          <w:noProof/>
          <w:sz w:val="21"/>
          <w:szCs w:val="21"/>
          <w:lang w:val="es-ES" w:eastAsia="es-ES"/>
        </w:rPr>
        <w:drawing>
          <wp:inline distT="0" distB="0" distL="0" distR="0" wp14:anchorId="18BE055C" wp14:editId="7B6D0D03">
            <wp:extent cx="5486400" cy="3854822"/>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7649" cy="3862726"/>
                    </a:xfrm>
                    <a:prstGeom prst="rect">
                      <a:avLst/>
                    </a:prstGeom>
                    <a:noFill/>
                  </pic:spPr>
                </pic:pic>
              </a:graphicData>
            </a:graphic>
          </wp:inline>
        </w:drawing>
      </w:r>
    </w:p>
    <w:p w:rsidR="00FB3D8B" w:rsidRDefault="00FB3D8B" w:rsidP="00DE53E5">
      <w:pPr>
        <w:tabs>
          <w:tab w:val="left" w:pos="0"/>
        </w:tabs>
        <w:jc w:val="center"/>
        <w:rPr>
          <w:rFonts w:ascii="Calibri" w:hAnsi="Calibri" w:cs="Calibri"/>
          <w:b/>
          <w:sz w:val="21"/>
          <w:szCs w:val="21"/>
        </w:rPr>
      </w:pPr>
    </w:p>
    <w:p w:rsidR="00FB3D8B" w:rsidRDefault="00FB3D8B" w:rsidP="00FB3D8B">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2014-2016</w:t>
      </w:r>
    </w:p>
    <w:p w:rsidR="005B1CCB" w:rsidRPr="001152D3" w:rsidRDefault="005B1CCB" w:rsidP="005B1CCB">
      <w:pPr>
        <w:pStyle w:val="Prrafodelista"/>
        <w:tabs>
          <w:tab w:val="left" w:pos="0"/>
        </w:tabs>
        <w:ind w:left="0"/>
        <w:rPr>
          <w:b/>
        </w:rPr>
      </w:pPr>
    </w:p>
    <w:p w:rsidR="00FB3D8B" w:rsidRPr="001E2D5F" w:rsidRDefault="004843DA" w:rsidP="005B1CCB">
      <w:pPr>
        <w:pStyle w:val="Prrafodelista"/>
        <w:tabs>
          <w:tab w:val="left" w:pos="0"/>
        </w:tabs>
        <w:ind w:left="0" w:hanging="567"/>
        <w:rPr>
          <w:b/>
        </w:rPr>
      </w:pPr>
      <w:r>
        <w:rPr>
          <w:b/>
          <w:noProof/>
          <w:lang w:val="es-ES" w:eastAsia="es-ES"/>
        </w:rPr>
        <w:drawing>
          <wp:inline distT="0" distB="0" distL="0" distR="0" wp14:anchorId="1710F2A0" wp14:editId="6FEFE529">
            <wp:extent cx="5887118" cy="222885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95628" cy="2232072"/>
                    </a:xfrm>
                    <a:prstGeom prst="rect">
                      <a:avLst/>
                    </a:prstGeom>
                    <a:noFill/>
                  </pic:spPr>
                </pic:pic>
              </a:graphicData>
            </a:graphic>
          </wp:inline>
        </w:drawing>
      </w:r>
    </w:p>
    <w:p w:rsidR="00FB3D8B" w:rsidRDefault="00FB3D8B" w:rsidP="00FB3D8B">
      <w:pPr>
        <w:tabs>
          <w:tab w:val="left" w:pos="0"/>
        </w:tabs>
        <w:jc w:val="center"/>
      </w:pPr>
    </w:p>
    <w:p w:rsidR="00AC7932" w:rsidRDefault="00AC7932" w:rsidP="00FB3D8B">
      <w:pPr>
        <w:tabs>
          <w:tab w:val="left" w:pos="0"/>
        </w:tabs>
        <w:jc w:val="center"/>
      </w:pPr>
    </w:p>
    <w:p w:rsidR="00196290" w:rsidRDefault="00196290" w:rsidP="00FB3D8B">
      <w:pPr>
        <w:tabs>
          <w:tab w:val="left" w:pos="0"/>
        </w:tabs>
        <w:jc w:val="center"/>
      </w:pPr>
    </w:p>
    <w:p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 xml:space="preserve">Ingresos brutos del juego o </w:t>
      </w:r>
      <w:proofErr w:type="spellStart"/>
      <w:r w:rsidRPr="003D15B6">
        <w:rPr>
          <w:b/>
          <w:sz w:val="21"/>
          <w:szCs w:val="21"/>
        </w:rPr>
        <w:t>win</w:t>
      </w:r>
      <w:proofErr w:type="spellEnd"/>
      <w:r w:rsidRPr="003D15B6">
        <w:rPr>
          <w:b/>
          <w:sz w:val="21"/>
          <w:szCs w:val="21"/>
        </w:rPr>
        <w:t xml:space="preserve"> en valores nominales ($) y reales (UF): Año 2014-201</w:t>
      </w:r>
      <w:r>
        <w:rPr>
          <w:b/>
          <w:sz w:val="21"/>
          <w:szCs w:val="21"/>
        </w:rPr>
        <w:t>6</w:t>
      </w:r>
    </w:p>
    <w:p w:rsidR="005B1CCB" w:rsidRDefault="005B1CCB" w:rsidP="005B1CCB">
      <w:pPr>
        <w:pStyle w:val="Prrafodelista"/>
        <w:tabs>
          <w:tab w:val="left" w:pos="0"/>
          <w:tab w:val="left" w:pos="6285"/>
        </w:tabs>
        <w:ind w:left="0"/>
        <w:jc w:val="left"/>
        <w:rPr>
          <w:b/>
          <w:sz w:val="21"/>
          <w:szCs w:val="21"/>
        </w:rPr>
      </w:pPr>
    </w:p>
    <w:tbl>
      <w:tblPr>
        <w:tblW w:w="5397" w:type="pct"/>
        <w:tblInd w:w="-426" w:type="dxa"/>
        <w:tblLayout w:type="fixed"/>
        <w:tblCellMar>
          <w:left w:w="70" w:type="dxa"/>
          <w:right w:w="70" w:type="dxa"/>
        </w:tblCellMar>
        <w:tblLook w:val="04A0" w:firstRow="1" w:lastRow="0" w:firstColumn="1" w:lastColumn="0" w:noHBand="0" w:noVBand="1"/>
      </w:tblPr>
      <w:tblGrid>
        <w:gridCol w:w="1319"/>
        <w:gridCol w:w="69"/>
        <w:gridCol w:w="667"/>
        <w:gridCol w:w="647"/>
        <w:gridCol w:w="647"/>
        <w:gridCol w:w="647"/>
        <w:gridCol w:w="634"/>
        <w:gridCol w:w="647"/>
        <w:gridCol w:w="647"/>
        <w:gridCol w:w="647"/>
        <w:gridCol w:w="647"/>
        <w:gridCol w:w="662"/>
        <w:gridCol w:w="640"/>
        <w:gridCol w:w="6"/>
        <w:gridCol w:w="636"/>
        <w:gridCol w:w="6"/>
      </w:tblGrid>
      <w:tr w:rsidR="00FB3D8B" w:rsidRPr="00FD5AE7" w:rsidTr="004843DA">
        <w:trPr>
          <w:gridAfter w:val="1"/>
          <w:wAfter w:w="4" w:type="pct"/>
          <w:trHeight w:val="397"/>
        </w:trPr>
        <w:tc>
          <w:tcPr>
            <w:tcW w:w="719" w:type="pct"/>
            <w:tcBorders>
              <w:top w:val="nil"/>
              <w:left w:val="nil"/>
              <w:bottom w:val="single" w:sz="8" w:space="0" w:color="auto"/>
              <w:right w:val="nil"/>
            </w:tcBorders>
            <w:shd w:val="clear" w:color="auto" w:fill="auto"/>
            <w:noWrap/>
            <w:vAlign w:val="center"/>
            <w:hideMark/>
          </w:tcPr>
          <w:p w:rsidR="00FB3D8B" w:rsidRPr="00FD5AE7" w:rsidRDefault="00FB3D8B" w:rsidP="005B1CCB">
            <w:pPr>
              <w:spacing w:after="0" w:line="240" w:lineRule="auto"/>
              <w:ind w:left="-496"/>
              <w:jc w:val="center"/>
              <w:rPr>
                <w:rFonts w:ascii="Calibri" w:eastAsia="Times New Roman" w:hAnsi="Calibri" w:cs="Times New Roman"/>
                <w:color w:val="000000"/>
                <w:sz w:val="10"/>
                <w:szCs w:val="10"/>
                <w:lang w:val="es-ES" w:eastAsia="es-ES"/>
              </w:rPr>
            </w:pPr>
          </w:p>
        </w:tc>
        <w:tc>
          <w:tcPr>
            <w:tcW w:w="401" w:type="pct"/>
            <w:gridSpan w:val="2"/>
            <w:tcBorders>
              <w:top w:val="single" w:sz="8" w:space="0" w:color="auto"/>
              <w:left w:val="single" w:sz="8" w:space="0" w:color="auto"/>
              <w:bottom w:val="single" w:sz="8" w:space="0" w:color="auto"/>
              <w:right w:val="single" w:sz="8" w:space="0" w:color="auto"/>
            </w:tcBorders>
            <w:shd w:val="clear" w:color="000000" w:fill="0F243E"/>
            <w:noWrap/>
            <w:vAlign w:val="bottom"/>
          </w:tcPr>
          <w:p w:rsidR="00FB3D8B" w:rsidRPr="00FD5AE7" w:rsidRDefault="00FB3D8B" w:rsidP="00DE53E5">
            <w:pPr>
              <w:spacing w:line="240" w:lineRule="auto"/>
              <w:jc w:val="center"/>
              <w:rPr>
                <w:rFonts w:ascii="Calibri" w:hAnsi="Calibri"/>
                <w:b/>
                <w:bCs/>
                <w:color w:val="FFFFFF"/>
                <w:sz w:val="10"/>
                <w:szCs w:val="10"/>
              </w:rPr>
            </w:pPr>
            <w:r w:rsidRPr="00FD5AE7">
              <w:rPr>
                <w:rFonts w:ascii="Calibri" w:hAnsi="Calibri"/>
                <w:b/>
                <w:bCs/>
                <w:color w:val="FFFFFF"/>
                <w:sz w:val="10"/>
                <w:szCs w:val="10"/>
              </w:rPr>
              <w:t>Oct</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Nov</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Dic</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Ene</w:t>
            </w:r>
          </w:p>
        </w:tc>
        <w:tc>
          <w:tcPr>
            <w:tcW w:w="346"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Feb</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Mar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Abr</w:t>
            </w:r>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proofErr w:type="spellStart"/>
            <w:r w:rsidRPr="00FD5AE7">
              <w:rPr>
                <w:rFonts w:ascii="Calibri" w:hAnsi="Calibri"/>
                <w:b/>
                <w:bCs/>
                <w:color w:val="FFFFFF"/>
                <w:sz w:val="10"/>
                <w:szCs w:val="10"/>
              </w:rPr>
              <w:t>May</w:t>
            </w:r>
            <w:proofErr w:type="spellEnd"/>
          </w:p>
        </w:tc>
        <w:tc>
          <w:tcPr>
            <w:tcW w:w="353"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Jun</w:t>
            </w:r>
          </w:p>
        </w:tc>
        <w:tc>
          <w:tcPr>
            <w:tcW w:w="361"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Jul</w:t>
            </w:r>
          </w:p>
        </w:tc>
        <w:tc>
          <w:tcPr>
            <w:tcW w:w="349" w:type="pct"/>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proofErr w:type="spellStart"/>
            <w:r w:rsidRPr="00FD5AE7">
              <w:rPr>
                <w:rFonts w:ascii="Calibri" w:hAnsi="Calibri"/>
                <w:b/>
                <w:bCs/>
                <w:color w:val="FFFFFF"/>
                <w:sz w:val="10"/>
                <w:szCs w:val="10"/>
              </w:rPr>
              <w:t>Ago</w:t>
            </w:r>
            <w:proofErr w:type="spellEnd"/>
          </w:p>
        </w:tc>
        <w:tc>
          <w:tcPr>
            <w:tcW w:w="350" w:type="pct"/>
            <w:gridSpan w:val="2"/>
            <w:tcBorders>
              <w:top w:val="single" w:sz="8" w:space="0" w:color="auto"/>
              <w:left w:val="nil"/>
              <w:bottom w:val="single" w:sz="8" w:space="0" w:color="auto"/>
              <w:right w:val="single" w:sz="8" w:space="0" w:color="auto"/>
            </w:tcBorders>
            <w:shd w:val="clear" w:color="000000" w:fill="0F243E"/>
            <w:noWrap/>
            <w:vAlign w:val="bottom"/>
          </w:tcPr>
          <w:p w:rsidR="00FB3D8B" w:rsidRPr="00FD5AE7" w:rsidRDefault="00FB3D8B" w:rsidP="00DE53E5">
            <w:pPr>
              <w:jc w:val="center"/>
              <w:rPr>
                <w:rFonts w:ascii="Calibri" w:hAnsi="Calibri"/>
                <w:b/>
                <w:bCs/>
                <w:color w:val="FFFFFF"/>
                <w:sz w:val="10"/>
                <w:szCs w:val="10"/>
              </w:rPr>
            </w:pPr>
            <w:r w:rsidRPr="00FD5AE7">
              <w:rPr>
                <w:rFonts w:ascii="Calibri" w:hAnsi="Calibri"/>
                <w:b/>
                <w:bCs/>
                <w:color w:val="FFFFFF"/>
                <w:sz w:val="10"/>
                <w:szCs w:val="10"/>
              </w:rPr>
              <w:t>Sep</w:t>
            </w:r>
          </w:p>
        </w:tc>
      </w:tr>
      <w:tr w:rsidR="00FB3D8B" w:rsidRPr="00FD5AE7" w:rsidTr="00196290">
        <w:trPr>
          <w:trHeight w:val="397"/>
        </w:trPr>
        <w:tc>
          <w:tcPr>
            <w:tcW w:w="5000" w:type="pct"/>
            <w:gridSpan w:val="16"/>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 xml:space="preserve">Ingresos brutos del juego o </w:t>
            </w:r>
            <w:proofErr w:type="spellStart"/>
            <w:r w:rsidRPr="00FD5AE7">
              <w:rPr>
                <w:rFonts w:ascii="Calibri" w:eastAsia="Times New Roman" w:hAnsi="Calibri" w:cs="Times New Roman"/>
                <w:b/>
                <w:bCs/>
                <w:color w:val="FFFFFF"/>
                <w:sz w:val="10"/>
                <w:szCs w:val="10"/>
                <w:lang w:val="es-ES" w:eastAsia="es-ES"/>
              </w:rPr>
              <w:t>win</w:t>
            </w:r>
            <w:proofErr w:type="spellEnd"/>
            <w:r w:rsidRPr="00FD5AE7">
              <w:rPr>
                <w:rFonts w:ascii="Calibri" w:eastAsia="Times New Roman" w:hAnsi="Calibri" w:cs="Times New Roman"/>
                <w:b/>
                <w:bCs/>
                <w:color w:val="FFFFFF"/>
                <w:sz w:val="10"/>
                <w:szCs w:val="10"/>
                <w:lang w:val="es-ES" w:eastAsia="es-ES"/>
              </w:rPr>
              <w:t xml:space="preserve"> ($ millones)</w:t>
            </w:r>
          </w:p>
        </w:tc>
      </w:tr>
      <w:tr w:rsidR="00FB3D8B" w:rsidRPr="00FD5AE7" w:rsidTr="00196290">
        <w:trPr>
          <w:trHeight w:val="377"/>
        </w:trPr>
        <w:tc>
          <w:tcPr>
            <w:tcW w:w="5000" w:type="pct"/>
            <w:gridSpan w:val="16"/>
            <w:tcBorders>
              <w:top w:val="single" w:sz="8" w:space="0" w:color="auto"/>
              <w:left w:val="single" w:sz="8" w:space="0" w:color="auto"/>
              <w:bottom w:val="nil"/>
              <w:right w:val="single" w:sz="8" w:space="0" w:color="000000"/>
            </w:tcBorders>
            <w:shd w:val="clear" w:color="000000" w:fill="24406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VALORES NOMINALES</w:t>
            </w:r>
          </w:p>
        </w:tc>
      </w:tr>
      <w:tr w:rsidR="004843DA" w:rsidRPr="00FD5AE7" w:rsidTr="004843DA">
        <w:trPr>
          <w:gridAfter w:val="1"/>
          <w:wAfter w:w="4" w:type="pct"/>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spacing w:line="240" w:lineRule="auto"/>
              <w:jc w:val="left"/>
              <w:rPr>
                <w:rFonts w:ascii="Calibri" w:hAnsi="Calibri"/>
                <w:color w:val="000000"/>
                <w:sz w:val="10"/>
                <w:szCs w:val="10"/>
              </w:rPr>
            </w:pPr>
            <w:proofErr w:type="spellStart"/>
            <w:r>
              <w:rPr>
                <w:rFonts w:ascii="Calibri" w:hAnsi="Calibri"/>
                <w:color w:val="000000"/>
                <w:sz w:val="12"/>
                <w:szCs w:val="12"/>
              </w:rPr>
              <w:t>Win</w:t>
            </w:r>
            <w:proofErr w:type="spellEnd"/>
            <w:r>
              <w:rPr>
                <w:rFonts w:ascii="Calibri" w:hAnsi="Calibri"/>
                <w:color w:val="000000"/>
                <w:sz w:val="12"/>
                <w:szCs w:val="12"/>
              </w:rPr>
              <w:t xml:space="preserve">  Noviembre 2014-Octubre 2015 ($ millones)</w:t>
            </w:r>
          </w:p>
        </w:tc>
        <w:tc>
          <w:tcPr>
            <w:tcW w:w="401"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spacing w:line="240" w:lineRule="auto"/>
              <w:jc w:val="center"/>
              <w:rPr>
                <w:rFonts w:ascii="Calibri" w:hAnsi="Calibri"/>
                <w:color w:val="000000"/>
                <w:sz w:val="10"/>
                <w:szCs w:val="10"/>
              </w:rPr>
            </w:pPr>
            <w:r>
              <w:rPr>
                <w:rFonts w:ascii="Calibri" w:hAnsi="Calibri"/>
                <w:color w:val="000000"/>
                <w:sz w:val="12"/>
                <w:szCs w:val="12"/>
              </w:rPr>
              <w:t xml:space="preserve">                        21.053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22.719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23.808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20.446 </w:t>
            </w:r>
          </w:p>
        </w:tc>
        <w:tc>
          <w:tcPr>
            <w:tcW w:w="346"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23.278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23.793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26.329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24.086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25.761 </w:t>
            </w:r>
          </w:p>
        </w:tc>
        <w:tc>
          <w:tcPr>
            <w:tcW w:w="361"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26.229 </w:t>
            </w:r>
          </w:p>
        </w:tc>
        <w:tc>
          <w:tcPr>
            <w:tcW w:w="349"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23.876 </w:t>
            </w:r>
          </w:p>
        </w:tc>
        <w:tc>
          <w:tcPr>
            <w:tcW w:w="350" w:type="pct"/>
            <w:gridSpan w:val="2"/>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27.138 </w:t>
            </w:r>
          </w:p>
        </w:tc>
      </w:tr>
      <w:tr w:rsidR="004843DA" w:rsidRPr="00FD5AE7" w:rsidTr="004843DA">
        <w:trPr>
          <w:gridAfter w:val="1"/>
          <w:wAfter w:w="4" w:type="pct"/>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jc w:val="left"/>
              <w:rPr>
                <w:rFonts w:ascii="Calibri" w:hAnsi="Calibri"/>
                <w:color w:val="000000"/>
                <w:sz w:val="10"/>
                <w:szCs w:val="10"/>
              </w:rPr>
            </w:pPr>
            <w:proofErr w:type="spellStart"/>
            <w:r>
              <w:rPr>
                <w:rFonts w:ascii="Calibri" w:hAnsi="Calibri"/>
                <w:color w:val="000000"/>
                <w:sz w:val="12"/>
                <w:szCs w:val="12"/>
              </w:rPr>
              <w:t>Win</w:t>
            </w:r>
            <w:proofErr w:type="spellEnd"/>
            <w:r>
              <w:rPr>
                <w:rFonts w:ascii="Calibri" w:hAnsi="Calibri"/>
                <w:color w:val="000000"/>
                <w:sz w:val="12"/>
                <w:szCs w:val="12"/>
              </w:rPr>
              <w:t xml:space="preserve">  Noviembre 2015-Octubre 2016 ($ millones)</w:t>
            </w:r>
          </w:p>
        </w:tc>
        <w:tc>
          <w:tcPr>
            <w:tcW w:w="401"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23.637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25.066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25.785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23.933 </w:t>
            </w:r>
          </w:p>
        </w:tc>
        <w:tc>
          <w:tcPr>
            <w:tcW w:w="346"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25.473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25.472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26.801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24.918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27.565 </w:t>
            </w:r>
          </w:p>
        </w:tc>
        <w:tc>
          <w:tcPr>
            <w:tcW w:w="361"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26.945 </w:t>
            </w:r>
          </w:p>
        </w:tc>
        <w:tc>
          <w:tcPr>
            <w:tcW w:w="349"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25.789 </w:t>
            </w:r>
          </w:p>
        </w:tc>
        <w:tc>
          <w:tcPr>
            <w:tcW w:w="350" w:type="pct"/>
            <w:gridSpan w:val="2"/>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26.975 </w:t>
            </w:r>
          </w:p>
        </w:tc>
      </w:tr>
      <w:tr w:rsidR="004843DA" w:rsidRPr="00FD5AE7" w:rsidTr="004843DA">
        <w:trPr>
          <w:gridAfter w:val="1"/>
          <w:wAfter w:w="4" w:type="pct"/>
          <w:trHeight w:val="397"/>
        </w:trPr>
        <w:tc>
          <w:tcPr>
            <w:tcW w:w="719" w:type="pct"/>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jc w:val="left"/>
              <w:rPr>
                <w:rFonts w:ascii="Calibri" w:hAnsi="Calibri"/>
                <w:color w:val="000000"/>
                <w:sz w:val="10"/>
                <w:szCs w:val="10"/>
              </w:rPr>
            </w:pPr>
            <w:r>
              <w:rPr>
                <w:rFonts w:ascii="Calibri" w:hAnsi="Calibri"/>
                <w:color w:val="000000"/>
                <w:sz w:val="12"/>
                <w:szCs w:val="12"/>
              </w:rPr>
              <w:t xml:space="preserve">Crecimiento </w:t>
            </w:r>
            <w:proofErr w:type="spellStart"/>
            <w:r>
              <w:rPr>
                <w:rFonts w:ascii="Calibri" w:hAnsi="Calibri"/>
                <w:color w:val="000000"/>
                <w:sz w:val="12"/>
                <w:szCs w:val="12"/>
              </w:rPr>
              <w:t>Win</w:t>
            </w:r>
            <w:proofErr w:type="spellEnd"/>
            <w:r>
              <w:rPr>
                <w:rFonts w:ascii="Calibri" w:hAnsi="Calibri"/>
                <w:color w:val="000000"/>
                <w:sz w:val="12"/>
                <w:szCs w:val="12"/>
              </w:rPr>
              <w:t xml:space="preserve"> Nominal</w:t>
            </w:r>
          </w:p>
        </w:tc>
        <w:tc>
          <w:tcPr>
            <w:tcW w:w="401"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12,3%</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10,3%</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8,3%</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17,1%</w:t>
            </w:r>
          </w:p>
        </w:tc>
        <w:tc>
          <w:tcPr>
            <w:tcW w:w="346"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9,4%</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7,1%</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1,8%</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3,5%</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7,0%</w:t>
            </w:r>
          </w:p>
        </w:tc>
        <w:tc>
          <w:tcPr>
            <w:tcW w:w="361"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2,7%</w:t>
            </w:r>
          </w:p>
        </w:tc>
        <w:tc>
          <w:tcPr>
            <w:tcW w:w="349"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8,0%</w:t>
            </w:r>
          </w:p>
        </w:tc>
        <w:tc>
          <w:tcPr>
            <w:tcW w:w="350" w:type="pct"/>
            <w:gridSpan w:val="2"/>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-0,6%</w:t>
            </w:r>
          </w:p>
        </w:tc>
      </w:tr>
      <w:tr w:rsidR="00FB3D8B" w:rsidRPr="00FD5AE7" w:rsidTr="00196290">
        <w:trPr>
          <w:trHeight w:val="397"/>
        </w:trPr>
        <w:tc>
          <w:tcPr>
            <w:tcW w:w="4650" w:type="pct"/>
            <w:gridSpan w:val="14"/>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FD5AE7" w:rsidRDefault="00FB3D8B" w:rsidP="00DE53E5">
            <w:pPr>
              <w:spacing w:line="240" w:lineRule="auto"/>
              <w:jc w:val="left"/>
              <w:rPr>
                <w:rFonts w:ascii="Calibri" w:hAnsi="Calibri"/>
                <w:bCs/>
                <w:color w:val="000000"/>
                <w:sz w:val="10"/>
                <w:szCs w:val="10"/>
              </w:rPr>
            </w:pPr>
            <w:r w:rsidRPr="00FD5AE7">
              <w:rPr>
                <w:rFonts w:ascii="Calibri" w:hAnsi="Calibri"/>
                <w:bCs/>
                <w:color w:val="000000"/>
                <w:sz w:val="10"/>
                <w:szCs w:val="10"/>
              </w:rPr>
              <w:t xml:space="preserve">Crecimiento </w:t>
            </w:r>
            <w:proofErr w:type="spellStart"/>
            <w:r w:rsidRPr="00FD5AE7">
              <w:rPr>
                <w:rFonts w:ascii="Calibri" w:hAnsi="Calibri"/>
                <w:bCs/>
                <w:color w:val="000000"/>
                <w:sz w:val="10"/>
                <w:szCs w:val="10"/>
              </w:rPr>
              <w:t>Win</w:t>
            </w:r>
            <w:proofErr w:type="spellEnd"/>
            <w:r w:rsidRPr="00FD5AE7">
              <w:rPr>
                <w:rFonts w:ascii="Calibri" w:hAnsi="Calibri"/>
                <w:bCs/>
                <w:color w:val="000000"/>
                <w:sz w:val="10"/>
                <w:szCs w:val="10"/>
              </w:rPr>
              <w:t xml:space="preserve"> Nominal (Anual)</w:t>
            </w:r>
          </w:p>
        </w:tc>
        <w:tc>
          <w:tcPr>
            <w:tcW w:w="350" w:type="pct"/>
            <w:gridSpan w:val="2"/>
            <w:tcBorders>
              <w:top w:val="nil"/>
              <w:left w:val="nil"/>
              <w:bottom w:val="single" w:sz="8" w:space="0" w:color="auto"/>
              <w:right w:val="single" w:sz="8" w:space="0" w:color="auto"/>
            </w:tcBorders>
            <w:shd w:val="clear" w:color="000000" w:fill="DCE6F1"/>
            <w:noWrap/>
            <w:vAlign w:val="center"/>
            <w:hideMark/>
          </w:tcPr>
          <w:p w:rsidR="00FB3D8B" w:rsidRPr="00FD5AE7" w:rsidRDefault="004843DA" w:rsidP="004843DA">
            <w:pPr>
              <w:jc w:val="center"/>
              <w:rPr>
                <w:rFonts w:ascii="Calibri" w:hAnsi="Calibri"/>
                <w:color w:val="000000"/>
                <w:sz w:val="10"/>
                <w:szCs w:val="10"/>
              </w:rPr>
            </w:pPr>
            <w:r>
              <w:rPr>
                <w:rFonts w:ascii="Calibri" w:hAnsi="Calibri"/>
                <w:color w:val="000000"/>
                <w:sz w:val="10"/>
                <w:szCs w:val="10"/>
              </w:rPr>
              <w:t>6</w:t>
            </w:r>
            <w:r w:rsidR="00FB3D8B" w:rsidRPr="00FD5AE7">
              <w:rPr>
                <w:rFonts w:ascii="Calibri" w:hAnsi="Calibri"/>
                <w:color w:val="000000"/>
                <w:sz w:val="10"/>
                <w:szCs w:val="10"/>
              </w:rPr>
              <w:t>,</w:t>
            </w:r>
            <w:r>
              <w:rPr>
                <w:rFonts w:ascii="Calibri" w:hAnsi="Calibri"/>
                <w:color w:val="000000"/>
                <w:sz w:val="10"/>
                <w:szCs w:val="10"/>
              </w:rPr>
              <w:t>9</w:t>
            </w:r>
            <w:r w:rsidR="00FB3D8B" w:rsidRPr="00FD5AE7">
              <w:rPr>
                <w:rFonts w:ascii="Calibri" w:hAnsi="Calibri"/>
                <w:color w:val="000000"/>
                <w:sz w:val="10"/>
                <w:szCs w:val="10"/>
              </w:rPr>
              <w:t>%</w:t>
            </w:r>
          </w:p>
        </w:tc>
      </w:tr>
      <w:tr w:rsidR="00FB3D8B" w:rsidRPr="00FD5AE7" w:rsidTr="00196290">
        <w:trPr>
          <w:trHeight w:val="397"/>
        </w:trPr>
        <w:tc>
          <w:tcPr>
            <w:tcW w:w="5000" w:type="pct"/>
            <w:gridSpan w:val="16"/>
            <w:tcBorders>
              <w:top w:val="single" w:sz="8" w:space="0" w:color="auto"/>
              <w:left w:val="single" w:sz="8" w:space="0" w:color="auto"/>
              <w:bottom w:val="single" w:sz="8" w:space="0" w:color="auto"/>
              <w:right w:val="single" w:sz="8" w:space="0" w:color="000000"/>
            </w:tcBorders>
            <w:shd w:val="clear" w:color="000000" w:fill="36609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 xml:space="preserve">Ingresos brutos del juego o </w:t>
            </w:r>
            <w:proofErr w:type="spellStart"/>
            <w:r w:rsidRPr="00FD5AE7">
              <w:rPr>
                <w:rFonts w:ascii="Calibri" w:eastAsia="Times New Roman" w:hAnsi="Calibri" w:cs="Times New Roman"/>
                <w:b/>
                <w:bCs/>
                <w:color w:val="FFFFFF"/>
                <w:sz w:val="10"/>
                <w:szCs w:val="10"/>
                <w:lang w:val="es-ES" w:eastAsia="es-ES"/>
              </w:rPr>
              <w:t>win</w:t>
            </w:r>
            <w:proofErr w:type="spellEnd"/>
            <w:r w:rsidRPr="00FD5AE7">
              <w:rPr>
                <w:rFonts w:ascii="Calibri" w:eastAsia="Times New Roman" w:hAnsi="Calibri" w:cs="Times New Roman"/>
                <w:b/>
                <w:bCs/>
                <w:color w:val="FFFFFF"/>
                <w:sz w:val="10"/>
                <w:szCs w:val="10"/>
                <w:lang w:val="es-ES" w:eastAsia="es-ES"/>
              </w:rPr>
              <w:t xml:space="preserve"> UF)</w:t>
            </w:r>
          </w:p>
        </w:tc>
      </w:tr>
      <w:tr w:rsidR="00FB3D8B" w:rsidRPr="00FD5AE7" w:rsidTr="00196290">
        <w:trPr>
          <w:trHeight w:val="377"/>
        </w:trPr>
        <w:tc>
          <w:tcPr>
            <w:tcW w:w="5000" w:type="pct"/>
            <w:gridSpan w:val="16"/>
            <w:tcBorders>
              <w:top w:val="single" w:sz="8" w:space="0" w:color="auto"/>
              <w:left w:val="single" w:sz="8" w:space="0" w:color="auto"/>
              <w:bottom w:val="nil"/>
              <w:right w:val="single" w:sz="8" w:space="0" w:color="000000"/>
            </w:tcBorders>
            <w:shd w:val="clear" w:color="000000" w:fill="244062"/>
            <w:noWrap/>
            <w:vAlign w:val="center"/>
            <w:hideMark/>
          </w:tcPr>
          <w:p w:rsidR="00FB3D8B" w:rsidRPr="00FD5AE7" w:rsidRDefault="00FB3D8B" w:rsidP="00DE53E5">
            <w:pPr>
              <w:spacing w:after="0" w:line="240" w:lineRule="auto"/>
              <w:jc w:val="center"/>
              <w:rPr>
                <w:rFonts w:ascii="Calibri" w:eastAsia="Times New Roman" w:hAnsi="Calibri" w:cs="Times New Roman"/>
                <w:b/>
                <w:bCs/>
                <w:color w:val="FFFFFF"/>
                <w:sz w:val="10"/>
                <w:szCs w:val="10"/>
                <w:lang w:val="es-ES" w:eastAsia="es-ES"/>
              </w:rPr>
            </w:pPr>
            <w:r w:rsidRPr="00FD5AE7">
              <w:rPr>
                <w:rFonts w:ascii="Calibri" w:eastAsia="Times New Roman" w:hAnsi="Calibri" w:cs="Times New Roman"/>
                <w:b/>
                <w:bCs/>
                <w:color w:val="FFFFFF"/>
                <w:sz w:val="10"/>
                <w:szCs w:val="10"/>
                <w:lang w:val="es-ES" w:eastAsia="es-ES"/>
              </w:rPr>
              <w:t>VALORES REALES</w:t>
            </w:r>
          </w:p>
        </w:tc>
      </w:tr>
      <w:tr w:rsidR="004843DA" w:rsidRPr="00FD5AE7" w:rsidTr="004843DA">
        <w:trPr>
          <w:gridAfter w:val="1"/>
          <w:wAfter w:w="4" w:type="pct"/>
          <w:trHeight w:val="397"/>
        </w:trPr>
        <w:tc>
          <w:tcPr>
            <w:tcW w:w="756"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spacing w:line="240" w:lineRule="auto"/>
              <w:jc w:val="left"/>
              <w:rPr>
                <w:rFonts w:ascii="Calibri" w:hAnsi="Calibri"/>
                <w:color w:val="000000"/>
                <w:sz w:val="10"/>
                <w:szCs w:val="10"/>
              </w:rPr>
            </w:pPr>
            <w:proofErr w:type="spellStart"/>
            <w:r>
              <w:rPr>
                <w:rFonts w:ascii="Calibri" w:hAnsi="Calibri"/>
                <w:color w:val="000000"/>
                <w:sz w:val="12"/>
                <w:szCs w:val="12"/>
              </w:rPr>
              <w:t>Win</w:t>
            </w:r>
            <w:proofErr w:type="spellEnd"/>
            <w:r>
              <w:rPr>
                <w:rFonts w:ascii="Calibri" w:hAnsi="Calibri"/>
                <w:color w:val="000000"/>
                <w:sz w:val="12"/>
                <w:szCs w:val="12"/>
              </w:rPr>
              <w:t xml:space="preserve">  Noviembre 2014-Octubre 2015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spacing w:line="240" w:lineRule="auto"/>
              <w:jc w:val="center"/>
              <w:rPr>
                <w:rFonts w:ascii="Calibri" w:hAnsi="Calibri"/>
                <w:color w:val="000000"/>
                <w:sz w:val="10"/>
                <w:szCs w:val="10"/>
              </w:rPr>
            </w:pPr>
            <w:r>
              <w:rPr>
                <w:rFonts w:ascii="Calibri" w:hAnsi="Calibri"/>
                <w:color w:val="000000"/>
                <w:sz w:val="12"/>
                <w:szCs w:val="12"/>
              </w:rPr>
              <w:t xml:space="preserve">                     857.424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922.565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969.481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833.010 </w:t>
            </w:r>
          </w:p>
        </w:tc>
        <w:tc>
          <w:tcPr>
            <w:tcW w:w="346"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945.404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961.168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1.057.203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964.108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1.026.893 </w:t>
            </w:r>
          </w:p>
        </w:tc>
        <w:tc>
          <w:tcPr>
            <w:tcW w:w="361"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1.041.055 </w:t>
            </w:r>
          </w:p>
        </w:tc>
        <w:tc>
          <w:tcPr>
            <w:tcW w:w="349"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941.970 </w:t>
            </w:r>
          </w:p>
        </w:tc>
        <w:tc>
          <w:tcPr>
            <w:tcW w:w="350" w:type="pct"/>
            <w:gridSpan w:val="2"/>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1.064.658 </w:t>
            </w:r>
          </w:p>
        </w:tc>
      </w:tr>
      <w:tr w:rsidR="004843DA" w:rsidRPr="00FD5AE7" w:rsidTr="004843DA">
        <w:trPr>
          <w:gridAfter w:val="1"/>
          <w:wAfter w:w="4" w:type="pct"/>
          <w:trHeight w:val="397"/>
        </w:trPr>
        <w:tc>
          <w:tcPr>
            <w:tcW w:w="756"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jc w:val="left"/>
              <w:rPr>
                <w:rFonts w:ascii="Calibri" w:hAnsi="Calibri"/>
                <w:color w:val="000000"/>
                <w:sz w:val="10"/>
                <w:szCs w:val="10"/>
              </w:rPr>
            </w:pPr>
            <w:proofErr w:type="spellStart"/>
            <w:r>
              <w:rPr>
                <w:rFonts w:ascii="Calibri" w:hAnsi="Calibri"/>
                <w:color w:val="000000"/>
                <w:sz w:val="12"/>
                <w:szCs w:val="12"/>
              </w:rPr>
              <w:t>Win</w:t>
            </w:r>
            <w:proofErr w:type="spellEnd"/>
            <w:r>
              <w:rPr>
                <w:rFonts w:ascii="Calibri" w:hAnsi="Calibri"/>
                <w:color w:val="000000"/>
                <w:sz w:val="12"/>
                <w:szCs w:val="12"/>
              </w:rPr>
              <w:t xml:space="preserve">  Noviembre 2015-Octubre 2016 (UF)</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923.372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978.021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1.006.072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930.609 </w:t>
            </w:r>
          </w:p>
        </w:tc>
        <w:tc>
          <w:tcPr>
            <w:tcW w:w="346"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986.864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983.225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1.031.081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956.484 </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1.054.459 </w:t>
            </w:r>
          </w:p>
        </w:tc>
        <w:tc>
          <w:tcPr>
            <w:tcW w:w="361"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1.028.064 </w:t>
            </w:r>
          </w:p>
        </w:tc>
        <w:tc>
          <w:tcPr>
            <w:tcW w:w="349"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983.407 </w:t>
            </w:r>
          </w:p>
        </w:tc>
        <w:tc>
          <w:tcPr>
            <w:tcW w:w="350" w:type="pct"/>
            <w:gridSpan w:val="2"/>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 xml:space="preserve">                     1.027.151 </w:t>
            </w:r>
          </w:p>
        </w:tc>
      </w:tr>
      <w:tr w:rsidR="004843DA" w:rsidRPr="00FD5AE7" w:rsidTr="004843DA">
        <w:trPr>
          <w:gridAfter w:val="1"/>
          <w:wAfter w:w="4" w:type="pct"/>
          <w:trHeight w:val="397"/>
        </w:trPr>
        <w:tc>
          <w:tcPr>
            <w:tcW w:w="756" w:type="pct"/>
            <w:gridSpan w:val="2"/>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jc w:val="left"/>
              <w:rPr>
                <w:rFonts w:ascii="Calibri" w:hAnsi="Calibri"/>
                <w:bCs/>
                <w:color w:val="000000"/>
                <w:sz w:val="10"/>
                <w:szCs w:val="10"/>
              </w:rPr>
            </w:pPr>
            <w:r>
              <w:rPr>
                <w:rFonts w:ascii="Calibri" w:hAnsi="Calibri"/>
                <w:b/>
                <w:bCs/>
                <w:color w:val="000000"/>
                <w:sz w:val="12"/>
                <w:szCs w:val="12"/>
              </w:rPr>
              <w:t xml:space="preserve">Crecimiento </w:t>
            </w:r>
            <w:proofErr w:type="spellStart"/>
            <w:r>
              <w:rPr>
                <w:rFonts w:ascii="Calibri" w:hAnsi="Calibri"/>
                <w:b/>
                <w:bCs/>
                <w:color w:val="000000"/>
                <w:sz w:val="12"/>
                <w:szCs w:val="12"/>
              </w:rPr>
              <w:t>Win</w:t>
            </w:r>
            <w:proofErr w:type="spellEnd"/>
            <w:r>
              <w:rPr>
                <w:rFonts w:ascii="Calibri" w:hAnsi="Calibri"/>
                <w:b/>
                <w:bCs/>
                <w:color w:val="000000"/>
                <w:sz w:val="12"/>
                <w:szCs w:val="12"/>
              </w:rPr>
              <w:t xml:space="preserve"> Real</w:t>
            </w:r>
          </w:p>
        </w:tc>
        <w:tc>
          <w:tcPr>
            <w:tcW w:w="364" w:type="pct"/>
            <w:tcBorders>
              <w:top w:val="nil"/>
              <w:left w:val="single" w:sz="8" w:space="0" w:color="auto"/>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7,7%</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6,0%</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3,8%</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11,7%</w:t>
            </w:r>
          </w:p>
        </w:tc>
        <w:tc>
          <w:tcPr>
            <w:tcW w:w="346"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4,4%</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2,3%</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-2,5%</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-0,8%</w:t>
            </w:r>
          </w:p>
        </w:tc>
        <w:tc>
          <w:tcPr>
            <w:tcW w:w="353"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2,7%</w:t>
            </w:r>
          </w:p>
        </w:tc>
        <w:tc>
          <w:tcPr>
            <w:tcW w:w="361"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-1,2%</w:t>
            </w:r>
          </w:p>
        </w:tc>
        <w:tc>
          <w:tcPr>
            <w:tcW w:w="349" w:type="pct"/>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4,4%</w:t>
            </w:r>
          </w:p>
        </w:tc>
        <w:tc>
          <w:tcPr>
            <w:tcW w:w="350" w:type="pct"/>
            <w:gridSpan w:val="2"/>
            <w:tcBorders>
              <w:top w:val="nil"/>
              <w:left w:val="nil"/>
              <w:bottom w:val="single" w:sz="8" w:space="0" w:color="auto"/>
              <w:right w:val="single" w:sz="8" w:space="0" w:color="auto"/>
            </w:tcBorders>
            <w:shd w:val="clear" w:color="000000" w:fill="DCE6F1"/>
            <w:noWrap/>
            <w:vAlign w:val="bottom"/>
            <w:hideMark/>
          </w:tcPr>
          <w:p w:rsidR="004843DA" w:rsidRPr="00FD5AE7" w:rsidRDefault="004843DA" w:rsidP="004843DA">
            <w:pPr>
              <w:jc w:val="center"/>
              <w:rPr>
                <w:rFonts w:ascii="Calibri" w:hAnsi="Calibri"/>
                <w:color w:val="000000"/>
                <w:sz w:val="10"/>
                <w:szCs w:val="10"/>
              </w:rPr>
            </w:pPr>
            <w:r>
              <w:rPr>
                <w:rFonts w:ascii="Calibri" w:hAnsi="Calibri"/>
                <w:color w:val="000000"/>
                <w:sz w:val="12"/>
                <w:szCs w:val="12"/>
              </w:rPr>
              <w:t>-3,5%</w:t>
            </w:r>
          </w:p>
        </w:tc>
      </w:tr>
      <w:tr w:rsidR="00FB3D8B" w:rsidRPr="00FD5AE7" w:rsidTr="00196290">
        <w:trPr>
          <w:trHeight w:val="397"/>
        </w:trPr>
        <w:tc>
          <w:tcPr>
            <w:tcW w:w="4650" w:type="pct"/>
            <w:gridSpan w:val="14"/>
            <w:tcBorders>
              <w:top w:val="single" w:sz="8" w:space="0" w:color="auto"/>
              <w:left w:val="single" w:sz="8" w:space="0" w:color="auto"/>
              <w:bottom w:val="single" w:sz="8" w:space="0" w:color="auto"/>
              <w:right w:val="single" w:sz="8" w:space="0" w:color="000000"/>
            </w:tcBorders>
            <w:shd w:val="clear" w:color="000000" w:fill="DCE6F1"/>
            <w:noWrap/>
            <w:vAlign w:val="center"/>
            <w:hideMark/>
          </w:tcPr>
          <w:p w:rsidR="00FB3D8B" w:rsidRPr="00FD5AE7" w:rsidRDefault="00FB3D8B" w:rsidP="00DE53E5">
            <w:pPr>
              <w:spacing w:line="240" w:lineRule="auto"/>
              <w:jc w:val="left"/>
              <w:rPr>
                <w:rFonts w:ascii="Calibri" w:hAnsi="Calibri"/>
                <w:bCs/>
                <w:color w:val="000000"/>
                <w:sz w:val="10"/>
                <w:szCs w:val="10"/>
              </w:rPr>
            </w:pPr>
            <w:r w:rsidRPr="00FD5AE7">
              <w:rPr>
                <w:rFonts w:ascii="Calibri" w:hAnsi="Calibri"/>
                <w:bCs/>
                <w:color w:val="000000"/>
                <w:sz w:val="10"/>
                <w:szCs w:val="10"/>
              </w:rPr>
              <w:t xml:space="preserve">Crecimiento </w:t>
            </w:r>
            <w:proofErr w:type="spellStart"/>
            <w:r w:rsidRPr="00FD5AE7">
              <w:rPr>
                <w:rFonts w:ascii="Calibri" w:hAnsi="Calibri"/>
                <w:bCs/>
                <w:color w:val="000000"/>
                <w:sz w:val="10"/>
                <w:szCs w:val="10"/>
              </w:rPr>
              <w:t>Win</w:t>
            </w:r>
            <w:proofErr w:type="spellEnd"/>
            <w:r w:rsidRPr="00FD5AE7">
              <w:rPr>
                <w:rFonts w:ascii="Calibri" w:hAnsi="Calibri"/>
                <w:bCs/>
                <w:color w:val="000000"/>
                <w:sz w:val="10"/>
                <w:szCs w:val="10"/>
              </w:rPr>
              <w:t xml:space="preserve"> Anual Real</w:t>
            </w:r>
          </w:p>
        </w:tc>
        <w:tc>
          <w:tcPr>
            <w:tcW w:w="350" w:type="pct"/>
            <w:gridSpan w:val="2"/>
            <w:tcBorders>
              <w:top w:val="nil"/>
              <w:left w:val="nil"/>
              <w:bottom w:val="single" w:sz="8" w:space="0" w:color="auto"/>
              <w:right w:val="single" w:sz="8" w:space="0" w:color="auto"/>
            </w:tcBorders>
            <w:shd w:val="clear" w:color="000000" w:fill="DCE6F1"/>
            <w:noWrap/>
            <w:vAlign w:val="center"/>
            <w:hideMark/>
          </w:tcPr>
          <w:p w:rsidR="00FB3D8B" w:rsidRPr="00FD5AE7" w:rsidRDefault="004843DA" w:rsidP="004843DA">
            <w:pPr>
              <w:jc w:val="center"/>
              <w:rPr>
                <w:rFonts w:ascii="Calibri" w:hAnsi="Calibri"/>
                <w:color w:val="000000"/>
                <w:sz w:val="10"/>
                <w:szCs w:val="10"/>
              </w:rPr>
            </w:pPr>
            <w:r>
              <w:rPr>
                <w:rFonts w:ascii="Calibri" w:hAnsi="Calibri"/>
                <w:color w:val="000000"/>
                <w:sz w:val="10"/>
                <w:szCs w:val="10"/>
              </w:rPr>
              <w:t>2</w:t>
            </w:r>
            <w:r w:rsidR="00FB3D8B" w:rsidRPr="00FD5AE7">
              <w:rPr>
                <w:rFonts w:ascii="Calibri" w:hAnsi="Calibri"/>
                <w:color w:val="000000"/>
                <w:sz w:val="10"/>
                <w:szCs w:val="10"/>
              </w:rPr>
              <w:t>,</w:t>
            </w:r>
            <w:r>
              <w:rPr>
                <w:rFonts w:ascii="Calibri" w:hAnsi="Calibri"/>
                <w:color w:val="000000"/>
                <w:sz w:val="10"/>
                <w:szCs w:val="10"/>
              </w:rPr>
              <w:t>6</w:t>
            </w:r>
            <w:r w:rsidR="00FB3D8B" w:rsidRPr="00FD5AE7">
              <w:rPr>
                <w:rFonts w:ascii="Calibri" w:hAnsi="Calibri"/>
                <w:color w:val="000000"/>
                <w:sz w:val="10"/>
                <w:szCs w:val="10"/>
              </w:rPr>
              <w:t>%</w:t>
            </w:r>
          </w:p>
        </w:tc>
      </w:tr>
    </w:tbl>
    <w:p w:rsidR="005B1CCB" w:rsidRDefault="005B1CCB" w:rsidP="00FB3D8B">
      <w:pPr>
        <w:tabs>
          <w:tab w:val="left" w:pos="0"/>
        </w:tabs>
        <w:ind w:left="-284"/>
        <w:rPr>
          <w:b/>
          <w:sz w:val="18"/>
          <w:szCs w:val="18"/>
        </w:rPr>
      </w:pPr>
    </w:p>
    <w:p w:rsidR="00FB3D8B" w:rsidRDefault="00FB3D8B" w:rsidP="00FB3D8B">
      <w:pPr>
        <w:tabs>
          <w:tab w:val="left" w:pos="0"/>
        </w:tabs>
        <w:ind w:left="-284"/>
        <w:rPr>
          <w:sz w:val="18"/>
          <w:szCs w:val="18"/>
          <w:lang w:val="es-ES"/>
        </w:rPr>
      </w:pPr>
      <w:r w:rsidRPr="00EC0FC2">
        <w:rPr>
          <w:b/>
          <w:sz w:val="18"/>
          <w:szCs w:val="18"/>
        </w:rPr>
        <w:t>Nota:</w:t>
      </w:r>
      <w:r w:rsidRPr="00EC0FC2">
        <w:rPr>
          <w:sz w:val="18"/>
          <w:szCs w:val="18"/>
        </w:rPr>
        <w:t xml:space="preserve"> Considerando que a partir de </w:t>
      </w:r>
      <w:r>
        <w:rPr>
          <w:sz w:val="18"/>
          <w:szCs w:val="18"/>
        </w:rPr>
        <w:t>mayo de 2016</w:t>
      </w:r>
      <w:r w:rsidR="005B1CCB">
        <w:rPr>
          <w:sz w:val="18"/>
          <w:szCs w:val="18"/>
          <w:lang w:val="es-ES"/>
        </w:rPr>
        <w:t xml:space="preserve">, la Superintendencia informa </w:t>
      </w:r>
      <w:r w:rsidRPr="00EC0FC2">
        <w:rPr>
          <w:sz w:val="18"/>
          <w:szCs w:val="18"/>
          <w:lang w:val="es-ES"/>
        </w:rPr>
        <w:t>las variaciones reales de los resultados operacionales de los casinos de juego, es decir corregidas al valor de la UF del último día del mes, se adjunta la presenta tabla que mantiene la serie histórica para ambas mediciones.</w:t>
      </w:r>
    </w:p>
    <w:p w:rsidR="00196290" w:rsidRDefault="00196290" w:rsidP="00FB3D8B">
      <w:pPr>
        <w:tabs>
          <w:tab w:val="left" w:pos="0"/>
        </w:tabs>
        <w:ind w:left="-284"/>
        <w:rPr>
          <w:sz w:val="18"/>
          <w:szCs w:val="18"/>
          <w:lang w:val="es-ES"/>
        </w:rPr>
      </w:pPr>
    </w:p>
    <w:p w:rsidR="00FB3D8B" w:rsidRDefault="00FB3D8B" w:rsidP="00FB3D8B">
      <w:pPr>
        <w:pStyle w:val="Prrafodelista"/>
        <w:numPr>
          <w:ilvl w:val="0"/>
          <w:numId w:val="1"/>
        </w:numPr>
        <w:tabs>
          <w:tab w:val="left" w:pos="0"/>
          <w:tab w:val="left" w:pos="6285"/>
        </w:tabs>
        <w:ind w:left="0"/>
        <w:jc w:val="left"/>
        <w:rPr>
          <w:b/>
        </w:rPr>
      </w:pPr>
      <w:r w:rsidRPr="002D141C">
        <w:rPr>
          <w:b/>
        </w:rPr>
        <w:t xml:space="preserve">Evolución Mensual </w:t>
      </w:r>
      <w:r>
        <w:rPr>
          <w:b/>
        </w:rPr>
        <w:t xml:space="preserve">impuesto específico al juego, </w:t>
      </w:r>
      <w:r w:rsidRPr="002D141C">
        <w:rPr>
          <w:b/>
        </w:rPr>
        <w:t xml:space="preserve">valores reales </w:t>
      </w:r>
      <w:r>
        <w:rPr>
          <w:b/>
        </w:rPr>
        <w:t>(UF</w:t>
      </w:r>
      <w:r w:rsidRPr="002D141C">
        <w:rPr>
          <w:b/>
        </w:rPr>
        <w:t>)</w:t>
      </w:r>
      <w:r>
        <w:rPr>
          <w:b/>
        </w:rPr>
        <w:t>: Año 2014-2016</w:t>
      </w:r>
    </w:p>
    <w:p w:rsidR="00196290" w:rsidRDefault="00196290" w:rsidP="00196290">
      <w:pPr>
        <w:pStyle w:val="Prrafodelista"/>
        <w:tabs>
          <w:tab w:val="left" w:pos="0"/>
          <w:tab w:val="left" w:pos="6285"/>
        </w:tabs>
        <w:ind w:left="0"/>
        <w:jc w:val="left"/>
        <w:rPr>
          <w:b/>
        </w:rPr>
      </w:pPr>
    </w:p>
    <w:p w:rsidR="00FB3D8B" w:rsidRDefault="004843DA" w:rsidP="00196290">
      <w:pPr>
        <w:tabs>
          <w:tab w:val="left" w:pos="0"/>
          <w:tab w:val="left" w:pos="6285"/>
        </w:tabs>
        <w:ind w:hanging="567"/>
      </w:pPr>
      <w:r>
        <w:rPr>
          <w:noProof/>
          <w:lang w:val="es-ES" w:eastAsia="es-ES"/>
        </w:rPr>
        <w:drawing>
          <wp:inline distT="0" distB="0" distL="0" distR="0" wp14:anchorId="6E75A469" wp14:editId="0118F0B8">
            <wp:extent cx="5747385" cy="2036062"/>
            <wp:effectExtent l="0" t="0" r="5715" b="254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8432" cy="2043518"/>
                    </a:xfrm>
                    <a:prstGeom prst="rect">
                      <a:avLst/>
                    </a:prstGeom>
                    <a:noFill/>
                  </pic:spPr>
                </pic:pic>
              </a:graphicData>
            </a:graphic>
          </wp:inline>
        </w:drawing>
      </w:r>
    </w:p>
    <w:p w:rsidR="00AC7932" w:rsidRDefault="00AC7932" w:rsidP="00196290">
      <w:pPr>
        <w:tabs>
          <w:tab w:val="left" w:pos="0"/>
          <w:tab w:val="left" w:pos="6285"/>
        </w:tabs>
        <w:ind w:hanging="567"/>
      </w:pPr>
    </w:p>
    <w:p w:rsidR="00AC7932" w:rsidRDefault="00AC7932" w:rsidP="00196290">
      <w:pPr>
        <w:tabs>
          <w:tab w:val="left" w:pos="0"/>
          <w:tab w:val="left" w:pos="6285"/>
        </w:tabs>
        <w:ind w:hanging="567"/>
      </w:pPr>
    </w:p>
    <w:p w:rsidR="00FB3D8B" w:rsidRDefault="00FB3D8B" w:rsidP="00FB3D8B">
      <w:pPr>
        <w:pStyle w:val="Prrafodelista"/>
        <w:numPr>
          <w:ilvl w:val="0"/>
          <w:numId w:val="1"/>
        </w:numPr>
        <w:tabs>
          <w:tab w:val="left" w:pos="0"/>
          <w:tab w:val="left" w:pos="6285"/>
        </w:tabs>
        <w:ind w:left="0"/>
        <w:jc w:val="left"/>
        <w:rPr>
          <w:b/>
        </w:rPr>
      </w:pPr>
      <w:r w:rsidRPr="002D141C">
        <w:rPr>
          <w:b/>
        </w:rPr>
        <w:t>Evolución IVA, valores reales (UF)</w:t>
      </w:r>
      <w:r>
        <w:rPr>
          <w:b/>
        </w:rPr>
        <w:t>: Año 2014-2016</w:t>
      </w:r>
    </w:p>
    <w:p w:rsidR="00FB3D8B" w:rsidRDefault="00FB3D8B" w:rsidP="00FB3D8B">
      <w:pPr>
        <w:pStyle w:val="Prrafodelista"/>
        <w:tabs>
          <w:tab w:val="left" w:pos="0"/>
          <w:tab w:val="left" w:pos="6285"/>
        </w:tabs>
        <w:ind w:left="0"/>
        <w:jc w:val="left"/>
      </w:pPr>
    </w:p>
    <w:p w:rsidR="00FB3D8B" w:rsidRDefault="004843DA" w:rsidP="00FB3D8B">
      <w:pPr>
        <w:pStyle w:val="Prrafodelista"/>
        <w:tabs>
          <w:tab w:val="left" w:pos="0"/>
        </w:tabs>
        <w:ind w:left="0"/>
        <w:jc w:val="left"/>
      </w:pPr>
      <w:r>
        <w:rPr>
          <w:noProof/>
          <w:lang w:val="es-ES" w:eastAsia="es-ES"/>
        </w:rPr>
        <w:drawing>
          <wp:inline distT="0" distB="0" distL="0" distR="0" wp14:anchorId="5BDB456A" wp14:editId="11472CC4">
            <wp:extent cx="5754355" cy="2038532"/>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83291" cy="2048783"/>
                    </a:xfrm>
                    <a:prstGeom prst="rect">
                      <a:avLst/>
                    </a:prstGeom>
                    <a:noFill/>
                  </pic:spPr>
                </pic:pic>
              </a:graphicData>
            </a:graphic>
          </wp:inline>
        </w:drawing>
      </w:r>
    </w:p>
    <w:p w:rsidR="00FB3D8B" w:rsidRDefault="00FB3D8B" w:rsidP="00FB3D8B">
      <w:pPr>
        <w:pStyle w:val="Prrafodelista"/>
        <w:tabs>
          <w:tab w:val="left" w:pos="0"/>
          <w:tab w:val="left" w:pos="6285"/>
        </w:tabs>
        <w:ind w:left="0"/>
        <w:jc w:val="left"/>
        <w:rPr>
          <w:b/>
        </w:rPr>
      </w:pPr>
    </w:p>
    <w:p w:rsidR="00FB3D8B" w:rsidRDefault="00FB3D8B" w:rsidP="00FB3D8B">
      <w:pPr>
        <w:pStyle w:val="Prrafodelista"/>
        <w:numPr>
          <w:ilvl w:val="0"/>
          <w:numId w:val="1"/>
        </w:numPr>
        <w:tabs>
          <w:tab w:val="left" w:pos="0"/>
          <w:tab w:val="left" w:pos="6285"/>
        </w:tabs>
        <w:ind w:left="0" w:hanging="426"/>
        <w:jc w:val="left"/>
        <w:rPr>
          <w:b/>
        </w:rPr>
      </w:pPr>
      <w:r w:rsidRPr="002D141C">
        <w:rPr>
          <w:b/>
        </w:rPr>
        <w:t xml:space="preserve">Evolución impuesto </w:t>
      </w:r>
      <w:r>
        <w:rPr>
          <w:b/>
        </w:rPr>
        <w:t>por entradas</w:t>
      </w:r>
      <w:r w:rsidRPr="002D141C">
        <w:rPr>
          <w:b/>
        </w:rPr>
        <w:t>, valores reales (UF)</w:t>
      </w:r>
      <w:r>
        <w:rPr>
          <w:b/>
        </w:rPr>
        <w:t>: Año 2014-2016</w:t>
      </w:r>
    </w:p>
    <w:p w:rsidR="005B1CCB" w:rsidRPr="00E80F2B" w:rsidRDefault="005B1CCB" w:rsidP="005B1CCB">
      <w:pPr>
        <w:pStyle w:val="Prrafodelista"/>
        <w:tabs>
          <w:tab w:val="left" w:pos="0"/>
          <w:tab w:val="left" w:pos="6285"/>
        </w:tabs>
        <w:ind w:left="0"/>
        <w:jc w:val="left"/>
        <w:rPr>
          <w:b/>
        </w:rPr>
      </w:pPr>
    </w:p>
    <w:p w:rsidR="00FB3D8B" w:rsidRDefault="004843DA" w:rsidP="00FB3D8B">
      <w:pPr>
        <w:pStyle w:val="Prrafodelista"/>
        <w:tabs>
          <w:tab w:val="left" w:pos="0"/>
          <w:tab w:val="left" w:pos="6285"/>
        </w:tabs>
        <w:ind w:left="0"/>
        <w:jc w:val="left"/>
        <w:rPr>
          <w:b/>
        </w:rPr>
      </w:pPr>
      <w:r>
        <w:rPr>
          <w:b/>
          <w:noProof/>
          <w:lang w:val="es-ES" w:eastAsia="es-ES"/>
        </w:rPr>
        <w:drawing>
          <wp:inline distT="0" distB="0" distL="0" distR="0" wp14:anchorId="28E261F5" wp14:editId="12FBF0EC">
            <wp:extent cx="5821032" cy="2062153"/>
            <wp:effectExtent l="0" t="0" r="889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57381" cy="2075030"/>
                    </a:xfrm>
                    <a:prstGeom prst="rect">
                      <a:avLst/>
                    </a:prstGeom>
                    <a:noFill/>
                  </pic:spPr>
                </pic:pic>
              </a:graphicData>
            </a:graphic>
          </wp:inline>
        </w:drawing>
      </w:r>
    </w:p>
    <w:p w:rsidR="00FB3D8B" w:rsidRPr="00E0320F" w:rsidRDefault="00FB3D8B" w:rsidP="00FB3D8B">
      <w:pPr>
        <w:pStyle w:val="Prrafodelista"/>
        <w:tabs>
          <w:tab w:val="left" w:pos="0"/>
          <w:tab w:val="left" w:pos="6285"/>
        </w:tabs>
        <w:ind w:left="0"/>
        <w:jc w:val="left"/>
        <w:rPr>
          <w:b/>
        </w:rPr>
      </w:pPr>
    </w:p>
    <w:p w:rsidR="004843DA"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t>
      </w:r>
      <w:proofErr w:type="spellStart"/>
      <w:r w:rsidRPr="00E80F2B">
        <w:rPr>
          <w:b/>
        </w:rPr>
        <w:t>win</w:t>
      </w:r>
      <w:proofErr w:type="spellEnd"/>
      <w:r w:rsidRPr="00E80F2B">
        <w:rPr>
          <w:b/>
        </w:rPr>
        <w:t xml:space="preserve"> por casino de juego, valores reales (UF)</w:t>
      </w:r>
      <w:r>
        <w:rPr>
          <w:b/>
        </w:rPr>
        <w:t xml:space="preserve">: </w:t>
      </w:r>
    </w:p>
    <w:p w:rsidR="00FB3D8B" w:rsidRPr="00E80F2B" w:rsidRDefault="004843DA" w:rsidP="004843DA">
      <w:pPr>
        <w:pStyle w:val="Prrafodelista"/>
        <w:tabs>
          <w:tab w:val="left" w:pos="0"/>
          <w:tab w:val="left" w:pos="6285"/>
        </w:tabs>
        <w:ind w:left="0"/>
        <w:jc w:val="left"/>
        <w:rPr>
          <w:b/>
        </w:rPr>
      </w:pPr>
      <w:r>
        <w:rPr>
          <w:b/>
        </w:rPr>
        <w:t>Septiembre</w:t>
      </w:r>
      <w:r w:rsidR="00FB3D8B" w:rsidRPr="00E80F2B">
        <w:rPr>
          <w:b/>
        </w:rPr>
        <w:t xml:space="preserve"> -</w:t>
      </w:r>
      <w:r w:rsidR="00FB3D8B">
        <w:rPr>
          <w:b/>
        </w:rPr>
        <w:t xml:space="preserve"> </w:t>
      </w:r>
      <w:r>
        <w:rPr>
          <w:b/>
        </w:rPr>
        <w:t>Octubre</w:t>
      </w:r>
      <w:r w:rsidR="00FB3D8B" w:rsidRPr="00E80F2B">
        <w:rPr>
          <w:b/>
        </w:rPr>
        <w:t xml:space="preserve"> 2016</w:t>
      </w:r>
    </w:p>
    <w:p w:rsidR="00FB3D8B" w:rsidRPr="000F3DC9" w:rsidRDefault="00FB3D8B" w:rsidP="00FB3D8B">
      <w:pPr>
        <w:pStyle w:val="Prrafodelista"/>
        <w:tabs>
          <w:tab w:val="left" w:pos="0"/>
          <w:tab w:val="left" w:pos="360"/>
          <w:tab w:val="left" w:pos="6285"/>
        </w:tabs>
        <w:ind w:left="0"/>
        <w:jc w:val="left"/>
        <w:rPr>
          <w:sz w:val="20"/>
          <w:szCs w:val="20"/>
        </w:rPr>
      </w:pPr>
    </w:p>
    <w:p w:rsidR="00FB3D8B" w:rsidRDefault="004843DA" w:rsidP="004843DA">
      <w:pPr>
        <w:pStyle w:val="Prrafodelista"/>
        <w:tabs>
          <w:tab w:val="left" w:pos="0"/>
          <w:tab w:val="left" w:pos="360"/>
          <w:tab w:val="left" w:pos="6285"/>
        </w:tabs>
        <w:ind w:left="0" w:hanging="567"/>
        <w:jc w:val="center"/>
        <w:rPr>
          <w:b/>
        </w:rPr>
      </w:pPr>
      <w:r>
        <w:rPr>
          <w:b/>
          <w:noProof/>
          <w:lang w:val="es-ES" w:eastAsia="es-ES"/>
        </w:rPr>
        <w:drawing>
          <wp:inline distT="0" distB="0" distL="0" distR="0" wp14:anchorId="51DB8449" wp14:editId="79737F20">
            <wp:extent cx="5836189" cy="2646532"/>
            <wp:effectExtent l="0" t="0" r="0" b="190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52189" cy="2653787"/>
                    </a:xfrm>
                    <a:prstGeom prst="rect">
                      <a:avLst/>
                    </a:prstGeom>
                    <a:noFill/>
                  </pic:spPr>
                </pic:pic>
              </a:graphicData>
            </a:graphic>
          </wp:inline>
        </w:drawing>
      </w:r>
    </w:p>
    <w:p w:rsidR="00FB3D8B" w:rsidRDefault="00FB3D8B" w:rsidP="00FB3D8B">
      <w:pPr>
        <w:pStyle w:val="Prrafodelista"/>
        <w:tabs>
          <w:tab w:val="left" w:pos="0"/>
          <w:tab w:val="left" w:pos="360"/>
          <w:tab w:val="left" w:pos="6285"/>
        </w:tabs>
        <w:ind w:left="0"/>
        <w:jc w:val="left"/>
        <w:rPr>
          <w:b/>
        </w:rPr>
      </w:pPr>
    </w:p>
    <w:p w:rsidR="004843DA" w:rsidRDefault="004843DA" w:rsidP="00FB3D8B">
      <w:pPr>
        <w:pStyle w:val="Prrafodelista"/>
        <w:tabs>
          <w:tab w:val="left" w:pos="0"/>
          <w:tab w:val="left" w:pos="360"/>
          <w:tab w:val="left" w:pos="6285"/>
        </w:tabs>
        <w:ind w:left="0"/>
        <w:jc w:val="left"/>
        <w:rPr>
          <w:b/>
        </w:rPr>
      </w:pPr>
    </w:p>
    <w:p w:rsidR="00FB3D8B" w:rsidRDefault="00FB3D8B" w:rsidP="00FB3D8B">
      <w:pPr>
        <w:pStyle w:val="Prrafodelista"/>
        <w:tabs>
          <w:tab w:val="left" w:pos="0"/>
          <w:tab w:val="left" w:pos="360"/>
          <w:tab w:val="left" w:pos="6285"/>
        </w:tabs>
        <w:ind w:left="0"/>
        <w:jc w:val="left"/>
        <w:rPr>
          <w:b/>
        </w:rPr>
      </w:pPr>
    </w:p>
    <w:p w:rsidR="00FB3D8B" w:rsidRPr="00F9221C" w:rsidRDefault="00FB3D8B" w:rsidP="00FB3D8B">
      <w:pPr>
        <w:pStyle w:val="Prrafodelista"/>
        <w:numPr>
          <w:ilvl w:val="0"/>
          <w:numId w:val="1"/>
        </w:numPr>
        <w:tabs>
          <w:tab w:val="left" w:pos="0"/>
          <w:tab w:val="left" w:pos="360"/>
          <w:tab w:val="left" w:pos="6285"/>
        </w:tabs>
        <w:ind w:left="0" w:firstLine="0"/>
        <w:jc w:val="left"/>
        <w:rPr>
          <w:b/>
        </w:rPr>
      </w:pPr>
      <w:r>
        <w:rPr>
          <w:b/>
        </w:rPr>
        <w:t xml:space="preserve">Gasto promedio por visita </w:t>
      </w:r>
      <w:r w:rsidR="00E305E8">
        <w:rPr>
          <w:b/>
        </w:rPr>
        <w:t>Octubre</w:t>
      </w:r>
      <w:r>
        <w:rPr>
          <w:b/>
        </w:rPr>
        <w:t xml:space="preserve"> de 2016, valores nominales ($)</w:t>
      </w:r>
    </w:p>
    <w:p w:rsidR="00FB3D8B" w:rsidRDefault="004843DA" w:rsidP="00FB3D8B">
      <w:pPr>
        <w:tabs>
          <w:tab w:val="left" w:pos="0"/>
          <w:tab w:val="left" w:pos="6285"/>
        </w:tabs>
        <w:jc w:val="center"/>
        <w:rPr>
          <w:szCs w:val="21"/>
        </w:rPr>
      </w:pPr>
      <w:r>
        <w:rPr>
          <w:noProof/>
          <w:szCs w:val="21"/>
          <w:lang w:val="es-ES" w:eastAsia="es-ES"/>
        </w:rPr>
        <w:drawing>
          <wp:inline distT="0" distB="0" distL="0" distR="0" wp14:anchorId="0DBC0082" wp14:editId="49216641">
            <wp:extent cx="5538932" cy="4039027"/>
            <wp:effectExtent l="0" t="0" r="508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40524" cy="4040188"/>
                    </a:xfrm>
                    <a:prstGeom prst="rect">
                      <a:avLst/>
                    </a:prstGeom>
                    <a:noFill/>
                  </pic:spPr>
                </pic:pic>
              </a:graphicData>
            </a:graphic>
          </wp:inline>
        </w:drawing>
      </w:r>
    </w:p>
    <w:p w:rsidR="00FB3D8B" w:rsidRPr="003D15B6" w:rsidRDefault="00FB3D8B" w:rsidP="00FB3D8B">
      <w:pPr>
        <w:pStyle w:val="Prrafodelista"/>
        <w:numPr>
          <w:ilvl w:val="0"/>
          <w:numId w:val="1"/>
        </w:numPr>
        <w:tabs>
          <w:tab w:val="left" w:pos="0"/>
        </w:tabs>
        <w:ind w:left="0" w:firstLine="0"/>
        <w:rPr>
          <w:b/>
          <w:szCs w:val="21"/>
        </w:rPr>
      </w:pPr>
      <w:r w:rsidRPr="003D15B6">
        <w:rPr>
          <w:b/>
          <w:szCs w:val="21"/>
        </w:rPr>
        <w:t>Monto total apostado</w:t>
      </w:r>
      <w:r>
        <w:rPr>
          <w:b/>
          <w:szCs w:val="21"/>
        </w:rPr>
        <w:t xml:space="preserve"> máquinas de azar, valores nominales ($): </w:t>
      </w:r>
      <w:r w:rsidR="00EC15C7">
        <w:rPr>
          <w:b/>
          <w:szCs w:val="21"/>
        </w:rPr>
        <w:t>Octubre</w:t>
      </w:r>
      <w:r>
        <w:rPr>
          <w:b/>
          <w:szCs w:val="21"/>
        </w:rPr>
        <w:t xml:space="preserve"> de 2016</w:t>
      </w:r>
    </w:p>
    <w:p w:rsidR="00FB3D8B" w:rsidRDefault="004843DA" w:rsidP="00FB3D8B">
      <w:pPr>
        <w:tabs>
          <w:tab w:val="left" w:pos="0"/>
          <w:tab w:val="left" w:pos="6285"/>
        </w:tabs>
        <w:jc w:val="center"/>
        <w:rPr>
          <w:szCs w:val="21"/>
        </w:rPr>
      </w:pPr>
      <w:r>
        <w:rPr>
          <w:noProof/>
          <w:szCs w:val="21"/>
          <w:lang w:val="es-ES" w:eastAsia="es-ES"/>
        </w:rPr>
        <w:drawing>
          <wp:inline distT="0" distB="0" distL="0" distR="0" wp14:anchorId="2B5D1DA3" wp14:editId="35216C55">
            <wp:extent cx="2853353" cy="3443074"/>
            <wp:effectExtent l="0" t="0" r="4445" b="508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4424" cy="3444366"/>
                    </a:xfrm>
                    <a:prstGeom prst="rect">
                      <a:avLst/>
                    </a:prstGeom>
                    <a:noFill/>
                  </pic:spPr>
                </pic:pic>
              </a:graphicData>
            </a:graphic>
          </wp:inline>
        </w:drawing>
      </w:r>
    </w:p>
    <w:p w:rsidR="00FB3D8B" w:rsidRDefault="00FB3D8B" w:rsidP="00FB3D8B">
      <w:pPr>
        <w:tabs>
          <w:tab w:val="left" w:pos="0"/>
          <w:tab w:val="left" w:pos="6285"/>
        </w:tabs>
        <w:jc w:val="center"/>
        <w:rPr>
          <w:szCs w:val="21"/>
        </w:rPr>
      </w:pPr>
    </w:p>
    <w:p w:rsidR="00FB3D8B" w:rsidRDefault="00FB3D8B" w:rsidP="00FB3D8B">
      <w:pPr>
        <w:pStyle w:val="Prrafodelista"/>
        <w:numPr>
          <w:ilvl w:val="0"/>
          <w:numId w:val="1"/>
        </w:numPr>
        <w:tabs>
          <w:tab w:val="left" w:pos="0"/>
        </w:tabs>
        <w:ind w:left="0" w:firstLine="0"/>
        <w:jc w:val="left"/>
        <w:rPr>
          <w:b/>
          <w:sz w:val="21"/>
          <w:szCs w:val="21"/>
        </w:rPr>
      </w:pPr>
      <w:r>
        <w:rPr>
          <w:b/>
          <w:sz w:val="21"/>
          <w:szCs w:val="21"/>
        </w:rPr>
        <w:t xml:space="preserve">Máquinas de Azar: </w:t>
      </w:r>
      <w:r w:rsidRPr="003D15B6">
        <w:rPr>
          <w:b/>
          <w:sz w:val="21"/>
          <w:szCs w:val="21"/>
        </w:rPr>
        <w:t>Montos apostados y premios ganados máquinas de a</w:t>
      </w:r>
      <w:r>
        <w:rPr>
          <w:b/>
          <w:sz w:val="21"/>
          <w:szCs w:val="21"/>
        </w:rPr>
        <w:t xml:space="preserve">zar, valores nominales ($): </w:t>
      </w:r>
      <w:r w:rsidR="004843DA">
        <w:rPr>
          <w:b/>
          <w:sz w:val="21"/>
          <w:szCs w:val="21"/>
        </w:rPr>
        <w:t>octubre</w:t>
      </w:r>
      <w:r w:rsidRPr="003D15B6">
        <w:rPr>
          <w:b/>
          <w:sz w:val="21"/>
          <w:szCs w:val="21"/>
        </w:rPr>
        <w:t xml:space="preserve"> de 2016</w:t>
      </w:r>
    </w:p>
    <w:tbl>
      <w:tblPr>
        <w:tblW w:w="8960" w:type="dxa"/>
        <w:tblCellMar>
          <w:left w:w="70" w:type="dxa"/>
          <w:right w:w="70" w:type="dxa"/>
        </w:tblCellMar>
        <w:tblLook w:val="04A0" w:firstRow="1" w:lastRow="0" w:firstColumn="1" w:lastColumn="0" w:noHBand="0" w:noVBand="1"/>
      </w:tblPr>
      <w:tblGrid>
        <w:gridCol w:w="2379"/>
        <w:gridCol w:w="2876"/>
        <w:gridCol w:w="2528"/>
        <w:gridCol w:w="1177"/>
      </w:tblGrid>
      <w:tr w:rsidR="00FB3D8B" w:rsidRPr="00922B76" w:rsidTr="00DE53E5">
        <w:trPr>
          <w:trHeight w:val="555"/>
        </w:trPr>
        <w:tc>
          <w:tcPr>
            <w:tcW w:w="8960" w:type="dxa"/>
            <w:gridSpan w:val="4"/>
            <w:tcBorders>
              <w:top w:val="single" w:sz="4" w:space="0" w:color="808080"/>
              <w:left w:val="single" w:sz="4" w:space="0" w:color="808080"/>
              <w:bottom w:val="single" w:sz="4" w:space="0" w:color="808080"/>
              <w:right w:val="single" w:sz="4" w:space="0" w:color="808080"/>
            </w:tcBorders>
            <w:shd w:val="clear" w:color="000000" w:fill="1F497D"/>
            <w:vAlign w:val="bottom"/>
            <w:hideMark/>
          </w:tcPr>
          <w:p w:rsidR="00FB3D8B" w:rsidRPr="00922B76" w:rsidRDefault="00FB3D8B" w:rsidP="00EC15C7">
            <w:pPr>
              <w:spacing w:after="0" w:line="240" w:lineRule="auto"/>
              <w:jc w:val="center"/>
              <w:rPr>
                <w:rFonts w:ascii="Calibri" w:eastAsia="Times New Roman" w:hAnsi="Calibri" w:cs="Times New Roman"/>
                <w:b/>
                <w:bCs/>
                <w:color w:val="FFFFFF"/>
                <w:sz w:val="18"/>
                <w:szCs w:val="18"/>
                <w:lang w:eastAsia="es-CL"/>
              </w:rPr>
            </w:pPr>
            <w:r w:rsidRPr="00922B76">
              <w:rPr>
                <w:rFonts w:ascii="Calibri" w:eastAsia="Times New Roman" w:hAnsi="Calibri" w:cs="Times New Roman"/>
                <w:b/>
                <w:bCs/>
                <w:color w:val="FFFFFF"/>
                <w:sz w:val="18"/>
                <w:szCs w:val="18"/>
                <w:lang w:eastAsia="es-CL"/>
              </w:rPr>
              <w:t xml:space="preserve">MÁQUINAS DE AZAR: Montos Apostados y Premios Ganados ($ Millones)                                                                                                        </w:t>
            </w:r>
            <w:r w:rsidR="00EC15C7">
              <w:rPr>
                <w:rFonts w:ascii="Calibri" w:eastAsia="Times New Roman" w:hAnsi="Calibri" w:cs="Times New Roman"/>
                <w:b/>
                <w:bCs/>
                <w:color w:val="FFFFFF"/>
                <w:sz w:val="18"/>
                <w:szCs w:val="18"/>
                <w:lang w:eastAsia="es-CL"/>
              </w:rPr>
              <w:t>Octubre</w:t>
            </w:r>
            <w:r w:rsidRPr="00922B76">
              <w:rPr>
                <w:rFonts w:ascii="Calibri" w:eastAsia="Times New Roman" w:hAnsi="Calibri" w:cs="Times New Roman"/>
                <w:b/>
                <w:bCs/>
                <w:color w:val="FFFFFF"/>
                <w:sz w:val="18"/>
                <w:szCs w:val="18"/>
                <w:lang w:eastAsia="es-CL"/>
              </w:rPr>
              <w:t xml:space="preserve"> 2016 ($ Millones)</w:t>
            </w:r>
          </w:p>
        </w:tc>
      </w:tr>
      <w:tr w:rsidR="00FB3D8B" w:rsidRPr="00922B76" w:rsidTr="00DE53E5">
        <w:trPr>
          <w:trHeight w:val="765"/>
        </w:trPr>
        <w:tc>
          <w:tcPr>
            <w:tcW w:w="2379" w:type="dxa"/>
            <w:tcBorders>
              <w:top w:val="nil"/>
              <w:left w:val="single" w:sz="4" w:space="0" w:color="808080"/>
              <w:bottom w:val="nil"/>
              <w:right w:val="single" w:sz="4" w:space="0" w:color="808080"/>
            </w:tcBorders>
            <w:shd w:val="clear" w:color="000000" w:fill="1F497D"/>
            <w:noWrap/>
            <w:vAlign w:val="center"/>
            <w:hideMark/>
          </w:tcPr>
          <w:p w:rsidR="00FB3D8B" w:rsidRPr="00922B76" w:rsidRDefault="00FB3D8B" w:rsidP="00DE53E5">
            <w:pPr>
              <w:spacing w:after="0" w:line="240" w:lineRule="auto"/>
              <w:jc w:val="center"/>
              <w:rPr>
                <w:rFonts w:ascii="Calibri" w:eastAsia="Times New Roman" w:hAnsi="Calibri" w:cs="Times New Roman"/>
                <w:b/>
                <w:bCs/>
                <w:color w:val="FFFFFF"/>
                <w:sz w:val="18"/>
                <w:szCs w:val="18"/>
                <w:lang w:eastAsia="es-CL"/>
              </w:rPr>
            </w:pPr>
            <w:r w:rsidRPr="00922B76">
              <w:rPr>
                <w:rFonts w:ascii="Calibri" w:eastAsia="Times New Roman" w:hAnsi="Calibri" w:cs="Times New Roman"/>
                <w:b/>
                <w:bCs/>
                <w:color w:val="FFFFFF"/>
                <w:sz w:val="18"/>
                <w:szCs w:val="18"/>
                <w:lang w:eastAsia="es-CL"/>
              </w:rPr>
              <w:t xml:space="preserve">Casino de Juego </w:t>
            </w:r>
          </w:p>
        </w:tc>
        <w:tc>
          <w:tcPr>
            <w:tcW w:w="2876" w:type="dxa"/>
            <w:tcBorders>
              <w:top w:val="nil"/>
              <w:left w:val="nil"/>
              <w:bottom w:val="nil"/>
              <w:right w:val="single" w:sz="4" w:space="0" w:color="808080"/>
            </w:tcBorders>
            <w:shd w:val="clear" w:color="000000" w:fill="1F497D"/>
            <w:vAlign w:val="center"/>
            <w:hideMark/>
          </w:tcPr>
          <w:p w:rsidR="00FB3D8B" w:rsidRPr="00922B76" w:rsidRDefault="00FB3D8B" w:rsidP="00DE53E5">
            <w:pPr>
              <w:spacing w:after="0" w:line="240" w:lineRule="auto"/>
              <w:jc w:val="center"/>
              <w:rPr>
                <w:rFonts w:ascii="Calibri" w:eastAsia="Times New Roman" w:hAnsi="Calibri" w:cs="Times New Roman"/>
                <w:b/>
                <w:bCs/>
                <w:color w:val="FFFFFF"/>
                <w:sz w:val="18"/>
                <w:szCs w:val="18"/>
                <w:lang w:eastAsia="es-CL"/>
              </w:rPr>
            </w:pPr>
            <w:r w:rsidRPr="00922B76">
              <w:rPr>
                <w:rFonts w:ascii="Calibri" w:eastAsia="Times New Roman" w:hAnsi="Calibri" w:cs="Times New Roman"/>
                <w:b/>
                <w:bCs/>
                <w:color w:val="FFFFFF"/>
                <w:sz w:val="18"/>
                <w:szCs w:val="18"/>
                <w:lang w:eastAsia="es-CL"/>
              </w:rPr>
              <w:t>Monto total apostado</w:t>
            </w:r>
          </w:p>
        </w:tc>
        <w:tc>
          <w:tcPr>
            <w:tcW w:w="2528" w:type="dxa"/>
            <w:tcBorders>
              <w:top w:val="nil"/>
              <w:left w:val="nil"/>
              <w:bottom w:val="nil"/>
              <w:right w:val="single" w:sz="4" w:space="0" w:color="808080"/>
            </w:tcBorders>
            <w:shd w:val="clear" w:color="000000" w:fill="1F497D"/>
            <w:vAlign w:val="center"/>
            <w:hideMark/>
          </w:tcPr>
          <w:p w:rsidR="00FB3D8B" w:rsidRPr="00922B76" w:rsidRDefault="00FB3D8B" w:rsidP="00DE53E5">
            <w:pPr>
              <w:spacing w:after="0" w:line="240" w:lineRule="auto"/>
              <w:jc w:val="center"/>
              <w:rPr>
                <w:rFonts w:ascii="Calibri" w:eastAsia="Times New Roman" w:hAnsi="Calibri" w:cs="Times New Roman"/>
                <w:b/>
                <w:bCs/>
                <w:color w:val="FFFFFF"/>
                <w:sz w:val="18"/>
                <w:szCs w:val="18"/>
                <w:lang w:eastAsia="es-CL"/>
              </w:rPr>
            </w:pPr>
            <w:r w:rsidRPr="00922B76">
              <w:rPr>
                <w:rFonts w:ascii="Calibri" w:eastAsia="Times New Roman" w:hAnsi="Calibri" w:cs="Times New Roman"/>
                <w:b/>
                <w:bCs/>
                <w:color w:val="FFFFFF"/>
                <w:sz w:val="18"/>
                <w:szCs w:val="18"/>
                <w:lang w:eastAsia="es-CL"/>
              </w:rPr>
              <w:t>Premios ganados</w:t>
            </w:r>
          </w:p>
        </w:tc>
        <w:tc>
          <w:tcPr>
            <w:tcW w:w="1177" w:type="dxa"/>
            <w:tcBorders>
              <w:top w:val="nil"/>
              <w:left w:val="nil"/>
              <w:bottom w:val="nil"/>
              <w:right w:val="single" w:sz="4" w:space="0" w:color="808080"/>
            </w:tcBorders>
            <w:shd w:val="clear" w:color="000000" w:fill="1F497D"/>
            <w:vAlign w:val="center"/>
            <w:hideMark/>
          </w:tcPr>
          <w:p w:rsidR="00FB3D8B" w:rsidRPr="00922B76" w:rsidRDefault="00FB3D8B" w:rsidP="00DE53E5">
            <w:pPr>
              <w:spacing w:after="0" w:line="240" w:lineRule="auto"/>
              <w:jc w:val="center"/>
              <w:rPr>
                <w:rFonts w:ascii="Calibri" w:eastAsia="Times New Roman" w:hAnsi="Calibri" w:cs="Times New Roman"/>
                <w:b/>
                <w:bCs/>
                <w:color w:val="FFFFFF"/>
                <w:sz w:val="18"/>
                <w:szCs w:val="18"/>
                <w:lang w:eastAsia="es-CL"/>
              </w:rPr>
            </w:pPr>
            <w:r w:rsidRPr="00922B76">
              <w:rPr>
                <w:rFonts w:ascii="Calibri" w:eastAsia="Times New Roman" w:hAnsi="Calibri" w:cs="Times New Roman"/>
                <w:b/>
                <w:bCs/>
                <w:color w:val="FFFFFF"/>
                <w:sz w:val="18"/>
                <w:szCs w:val="18"/>
                <w:lang w:eastAsia="es-CL"/>
              </w:rPr>
              <w:t xml:space="preserve">Porcentaje de retorno </w:t>
            </w:r>
          </w:p>
        </w:tc>
      </w:tr>
      <w:tr w:rsidR="00826557" w:rsidRPr="00922B76" w:rsidTr="00DE53E5">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Marina del Sol Calama</w:t>
            </w:r>
          </w:p>
        </w:tc>
        <w:tc>
          <w:tcPr>
            <w:tcW w:w="2876" w:type="dxa"/>
            <w:tcBorders>
              <w:top w:val="single" w:sz="4" w:space="0" w:color="808080"/>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13.153 </w:t>
            </w:r>
          </w:p>
        </w:tc>
        <w:tc>
          <w:tcPr>
            <w:tcW w:w="2528" w:type="dxa"/>
            <w:tcBorders>
              <w:top w:val="single" w:sz="4" w:space="0" w:color="808080"/>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12.305 </w:t>
            </w:r>
          </w:p>
        </w:tc>
        <w:tc>
          <w:tcPr>
            <w:tcW w:w="1177" w:type="dxa"/>
            <w:tcBorders>
              <w:top w:val="single" w:sz="4" w:space="0" w:color="808080"/>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93,6%</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826557" w:rsidRPr="00922B76" w:rsidRDefault="00826557" w:rsidP="00826557">
            <w:pPr>
              <w:spacing w:after="0" w:line="240" w:lineRule="auto"/>
              <w:jc w:val="left"/>
              <w:rPr>
                <w:rFonts w:ascii="Calibri" w:eastAsia="Times New Roman" w:hAnsi="Calibri" w:cs="Times New Roman"/>
                <w:b/>
                <w:bCs/>
                <w:sz w:val="18"/>
                <w:szCs w:val="18"/>
                <w:lang w:eastAsia="es-CL"/>
              </w:rPr>
            </w:pPr>
            <w:proofErr w:type="spellStart"/>
            <w:r w:rsidRPr="00922B76">
              <w:rPr>
                <w:rFonts w:ascii="Calibri" w:eastAsia="Times New Roman" w:hAnsi="Calibri" w:cs="Times New Roman"/>
                <w:b/>
                <w:bCs/>
                <w:sz w:val="18"/>
                <w:szCs w:val="18"/>
                <w:lang w:eastAsia="es-CL"/>
              </w:rPr>
              <w:t>Enjoy</w:t>
            </w:r>
            <w:proofErr w:type="spellEnd"/>
            <w:r w:rsidRPr="00922B76">
              <w:rPr>
                <w:rFonts w:ascii="Calibri" w:eastAsia="Times New Roman" w:hAnsi="Calibri" w:cs="Times New Roman"/>
                <w:b/>
                <w:bCs/>
                <w:sz w:val="18"/>
                <w:szCs w:val="18"/>
                <w:lang w:eastAsia="es-CL"/>
              </w:rPr>
              <w:t xml:space="preserve"> Antofagasta</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32.319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30.208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93,5%</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proofErr w:type="spellStart"/>
            <w:r w:rsidRPr="00922B76">
              <w:rPr>
                <w:rFonts w:ascii="Calibri" w:eastAsia="Times New Roman" w:hAnsi="Calibri" w:cs="Times New Roman"/>
                <w:b/>
                <w:bCs/>
                <w:color w:val="000000"/>
                <w:sz w:val="18"/>
                <w:szCs w:val="18"/>
                <w:lang w:eastAsia="es-CL"/>
              </w:rPr>
              <w:t>Antay</w:t>
            </w:r>
            <w:proofErr w:type="spellEnd"/>
            <w:r w:rsidRPr="00922B76">
              <w:rPr>
                <w:rFonts w:ascii="Calibri" w:eastAsia="Times New Roman" w:hAnsi="Calibri" w:cs="Times New Roman"/>
                <w:b/>
                <w:bCs/>
                <w:color w:val="000000"/>
                <w:sz w:val="18"/>
                <w:szCs w:val="18"/>
                <w:lang w:eastAsia="es-CL"/>
              </w:rPr>
              <w:t xml:space="preserve"> Casino &amp; Hotel</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13.023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12.224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93,9%</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Ovalle Casino Resort S.A.</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3.290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3.174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96,5%</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Casino de Juegos del Pacífico</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9.237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8.621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93,3%</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Casino Rinconada</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44.190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41.533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94,0%</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proofErr w:type="spellStart"/>
            <w:r w:rsidRPr="00922B76">
              <w:rPr>
                <w:rFonts w:ascii="Calibri" w:eastAsia="Times New Roman" w:hAnsi="Calibri" w:cs="Times New Roman"/>
                <w:b/>
                <w:bCs/>
                <w:color w:val="000000"/>
                <w:sz w:val="18"/>
                <w:szCs w:val="18"/>
                <w:lang w:eastAsia="es-CL"/>
              </w:rPr>
              <w:t>Sun</w:t>
            </w:r>
            <w:proofErr w:type="spellEnd"/>
            <w:r w:rsidRPr="00922B76">
              <w:rPr>
                <w:rFonts w:ascii="Calibri" w:eastAsia="Times New Roman" w:hAnsi="Calibri" w:cs="Times New Roman"/>
                <w:b/>
                <w:bCs/>
                <w:color w:val="000000"/>
                <w:sz w:val="18"/>
                <w:szCs w:val="18"/>
                <w:lang w:eastAsia="es-CL"/>
              </w:rPr>
              <w:t xml:space="preserve"> Monticello</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91.244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86.355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94,6%</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Casino de Colchagua</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6.771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6.306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93,1%</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Gran Casino de Talca</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13.202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12.323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93,3%</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Marina del Sol Talcahuano</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49.044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45.782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93,3%</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 xml:space="preserve">Casino Gran Los </w:t>
            </w:r>
            <w:proofErr w:type="spellStart"/>
            <w:r w:rsidRPr="00922B76">
              <w:rPr>
                <w:rFonts w:ascii="Calibri" w:eastAsia="Times New Roman" w:hAnsi="Calibri" w:cs="Times New Roman"/>
                <w:b/>
                <w:bCs/>
                <w:color w:val="000000"/>
                <w:sz w:val="18"/>
                <w:szCs w:val="18"/>
                <w:lang w:eastAsia="es-CL"/>
              </w:rPr>
              <w:t>Angeles</w:t>
            </w:r>
            <w:proofErr w:type="spellEnd"/>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5.014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4.706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93,9%</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center"/>
            <w:hideMark/>
          </w:tcPr>
          <w:p w:rsidR="00826557" w:rsidRPr="00922B76" w:rsidRDefault="00826557" w:rsidP="00826557">
            <w:pPr>
              <w:spacing w:after="0" w:line="240" w:lineRule="auto"/>
              <w:jc w:val="left"/>
              <w:rPr>
                <w:rFonts w:ascii="Calibri" w:eastAsia="Times New Roman" w:hAnsi="Calibri" w:cs="Times New Roman"/>
                <w:b/>
                <w:bCs/>
                <w:sz w:val="18"/>
                <w:szCs w:val="18"/>
                <w:lang w:eastAsia="es-CL"/>
              </w:rPr>
            </w:pPr>
            <w:proofErr w:type="spellStart"/>
            <w:r w:rsidRPr="00922B76">
              <w:rPr>
                <w:rFonts w:ascii="Calibri" w:eastAsia="Times New Roman" w:hAnsi="Calibri" w:cs="Times New Roman"/>
                <w:b/>
                <w:bCs/>
                <w:sz w:val="18"/>
                <w:szCs w:val="18"/>
                <w:lang w:eastAsia="es-CL"/>
              </w:rPr>
              <w:t>Dreams</w:t>
            </w:r>
            <w:proofErr w:type="spellEnd"/>
            <w:r w:rsidRPr="00922B76">
              <w:rPr>
                <w:rFonts w:ascii="Calibri" w:eastAsia="Times New Roman" w:hAnsi="Calibri" w:cs="Times New Roman"/>
                <w:b/>
                <w:bCs/>
                <w:sz w:val="18"/>
                <w:szCs w:val="18"/>
                <w:lang w:eastAsia="es-CL"/>
              </w:rPr>
              <w:t xml:space="preserve"> Temuco</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29.689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27.991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94,3%</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proofErr w:type="spellStart"/>
            <w:r w:rsidRPr="00922B76">
              <w:rPr>
                <w:rFonts w:ascii="Calibri" w:eastAsia="Times New Roman" w:hAnsi="Calibri" w:cs="Times New Roman"/>
                <w:b/>
                <w:bCs/>
                <w:color w:val="000000"/>
                <w:sz w:val="18"/>
                <w:szCs w:val="18"/>
                <w:lang w:eastAsia="es-CL"/>
              </w:rPr>
              <w:t>Dreams</w:t>
            </w:r>
            <w:proofErr w:type="spellEnd"/>
            <w:r w:rsidRPr="00922B76">
              <w:rPr>
                <w:rFonts w:ascii="Calibri" w:eastAsia="Times New Roman" w:hAnsi="Calibri" w:cs="Times New Roman"/>
                <w:b/>
                <w:bCs/>
                <w:color w:val="000000"/>
                <w:sz w:val="18"/>
                <w:szCs w:val="18"/>
                <w:lang w:eastAsia="es-CL"/>
              </w:rPr>
              <w:t xml:space="preserve"> Valdivia</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16.549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15.638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94,5%</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r w:rsidRPr="00922B76">
              <w:rPr>
                <w:rFonts w:ascii="Calibri" w:eastAsia="Times New Roman" w:hAnsi="Calibri" w:cs="Times New Roman"/>
                <w:b/>
                <w:bCs/>
                <w:color w:val="000000"/>
                <w:sz w:val="18"/>
                <w:szCs w:val="18"/>
                <w:lang w:eastAsia="es-CL"/>
              </w:rPr>
              <w:t>Marina del Sol Osorno</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9.748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9.073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93,1%</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proofErr w:type="spellStart"/>
            <w:r w:rsidRPr="00922B76">
              <w:rPr>
                <w:rFonts w:ascii="Calibri" w:eastAsia="Times New Roman" w:hAnsi="Calibri" w:cs="Times New Roman"/>
                <w:b/>
                <w:bCs/>
                <w:color w:val="000000"/>
                <w:sz w:val="18"/>
                <w:szCs w:val="18"/>
                <w:lang w:eastAsia="es-CL"/>
              </w:rPr>
              <w:t>Enjoy</w:t>
            </w:r>
            <w:proofErr w:type="spellEnd"/>
            <w:r w:rsidRPr="00922B76">
              <w:rPr>
                <w:rFonts w:ascii="Calibri" w:eastAsia="Times New Roman" w:hAnsi="Calibri" w:cs="Times New Roman"/>
                <w:b/>
                <w:bCs/>
                <w:color w:val="000000"/>
                <w:sz w:val="18"/>
                <w:szCs w:val="18"/>
                <w:lang w:eastAsia="es-CL"/>
              </w:rPr>
              <w:t xml:space="preserve"> Chiloé</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3.675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3.384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92,1%</w:t>
            </w:r>
          </w:p>
        </w:tc>
      </w:tr>
      <w:tr w:rsidR="00826557" w:rsidRPr="00922B76" w:rsidTr="00DE53E5">
        <w:trPr>
          <w:trHeight w:val="300"/>
        </w:trPr>
        <w:tc>
          <w:tcPr>
            <w:tcW w:w="2379"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proofErr w:type="spellStart"/>
            <w:r w:rsidRPr="00922B76">
              <w:rPr>
                <w:rFonts w:ascii="Calibri" w:eastAsia="Times New Roman" w:hAnsi="Calibri" w:cs="Times New Roman"/>
                <w:b/>
                <w:bCs/>
                <w:color w:val="000000"/>
                <w:sz w:val="18"/>
                <w:szCs w:val="18"/>
                <w:lang w:eastAsia="es-CL"/>
              </w:rPr>
              <w:t>Dreams</w:t>
            </w:r>
            <w:proofErr w:type="spellEnd"/>
            <w:r w:rsidRPr="00922B76">
              <w:rPr>
                <w:rFonts w:ascii="Calibri" w:eastAsia="Times New Roman" w:hAnsi="Calibri" w:cs="Times New Roman"/>
                <w:b/>
                <w:bCs/>
                <w:color w:val="000000"/>
                <w:sz w:val="18"/>
                <w:szCs w:val="18"/>
                <w:lang w:eastAsia="es-CL"/>
              </w:rPr>
              <w:t xml:space="preserve"> Coyhaique</w:t>
            </w:r>
          </w:p>
        </w:tc>
        <w:tc>
          <w:tcPr>
            <w:tcW w:w="2876"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6.279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5.867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93,4%</w:t>
            </w:r>
          </w:p>
        </w:tc>
      </w:tr>
      <w:tr w:rsidR="00826557" w:rsidRPr="00922B76" w:rsidTr="00DE53E5">
        <w:trPr>
          <w:trHeight w:val="300"/>
        </w:trPr>
        <w:tc>
          <w:tcPr>
            <w:tcW w:w="2379" w:type="dxa"/>
            <w:tcBorders>
              <w:top w:val="nil"/>
              <w:left w:val="nil"/>
              <w:bottom w:val="nil"/>
              <w:right w:val="nil"/>
            </w:tcBorders>
            <w:shd w:val="clear" w:color="000000" w:fill="FFFFFF"/>
            <w:noWrap/>
            <w:vAlign w:val="bottom"/>
            <w:hideMark/>
          </w:tcPr>
          <w:p w:rsidR="00826557" w:rsidRPr="00922B76" w:rsidRDefault="00826557" w:rsidP="00826557">
            <w:pPr>
              <w:spacing w:after="0" w:line="240" w:lineRule="auto"/>
              <w:jc w:val="left"/>
              <w:rPr>
                <w:rFonts w:ascii="Calibri" w:eastAsia="Times New Roman" w:hAnsi="Calibri" w:cs="Times New Roman"/>
                <w:b/>
                <w:bCs/>
                <w:color w:val="000000"/>
                <w:sz w:val="18"/>
                <w:szCs w:val="18"/>
                <w:lang w:eastAsia="es-CL"/>
              </w:rPr>
            </w:pPr>
            <w:proofErr w:type="spellStart"/>
            <w:r w:rsidRPr="00922B76">
              <w:rPr>
                <w:rFonts w:ascii="Calibri" w:eastAsia="Times New Roman" w:hAnsi="Calibri" w:cs="Times New Roman"/>
                <w:b/>
                <w:bCs/>
                <w:color w:val="000000"/>
                <w:sz w:val="18"/>
                <w:szCs w:val="18"/>
                <w:lang w:eastAsia="es-CL"/>
              </w:rPr>
              <w:t>Dreams</w:t>
            </w:r>
            <w:proofErr w:type="spellEnd"/>
            <w:r w:rsidRPr="00922B76">
              <w:rPr>
                <w:rFonts w:ascii="Calibri" w:eastAsia="Times New Roman" w:hAnsi="Calibri" w:cs="Times New Roman"/>
                <w:b/>
                <w:bCs/>
                <w:color w:val="000000"/>
                <w:sz w:val="18"/>
                <w:szCs w:val="18"/>
                <w:lang w:eastAsia="es-CL"/>
              </w:rPr>
              <w:t xml:space="preserve"> Punta Arenas</w:t>
            </w:r>
          </w:p>
        </w:tc>
        <w:tc>
          <w:tcPr>
            <w:tcW w:w="2876" w:type="dxa"/>
            <w:tcBorders>
              <w:top w:val="nil"/>
              <w:left w:val="single" w:sz="4" w:space="0" w:color="808080"/>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19.655 </w:t>
            </w:r>
          </w:p>
        </w:tc>
        <w:tc>
          <w:tcPr>
            <w:tcW w:w="2528"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 xml:space="preserve">18.303 </w:t>
            </w:r>
          </w:p>
        </w:tc>
        <w:tc>
          <w:tcPr>
            <w:tcW w:w="1177" w:type="dxa"/>
            <w:tcBorders>
              <w:top w:val="nil"/>
              <w:left w:val="nil"/>
              <w:bottom w:val="single" w:sz="4" w:space="0" w:color="808080"/>
              <w:right w:val="single" w:sz="4" w:space="0" w:color="808080"/>
            </w:tcBorders>
            <w:shd w:val="clear" w:color="000000" w:fill="FFFFFF"/>
            <w:noWrap/>
            <w:vAlign w:val="bottom"/>
            <w:hideMark/>
          </w:tcPr>
          <w:p w:rsidR="00826557" w:rsidRPr="00922B76" w:rsidRDefault="00826557" w:rsidP="00826557">
            <w:pPr>
              <w:spacing w:after="0" w:line="240" w:lineRule="auto"/>
              <w:jc w:val="right"/>
              <w:rPr>
                <w:rFonts w:ascii="Calibri" w:eastAsia="Times New Roman" w:hAnsi="Calibri" w:cs="Times New Roman"/>
                <w:sz w:val="18"/>
                <w:szCs w:val="18"/>
                <w:lang w:eastAsia="es-CL"/>
              </w:rPr>
            </w:pPr>
            <w:r>
              <w:rPr>
                <w:rFonts w:ascii="Calibri" w:hAnsi="Calibri"/>
                <w:sz w:val="18"/>
                <w:szCs w:val="18"/>
              </w:rPr>
              <w:t>93,1%</w:t>
            </w:r>
          </w:p>
        </w:tc>
      </w:tr>
      <w:tr w:rsidR="00826557" w:rsidRPr="00922B76" w:rsidTr="00DE53E5">
        <w:trPr>
          <w:trHeight w:val="300"/>
        </w:trPr>
        <w:tc>
          <w:tcPr>
            <w:tcW w:w="2379" w:type="dxa"/>
            <w:tcBorders>
              <w:top w:val="single" w:sz="4" w:space="0" w:color="808080"/>
              <w:left w:val="single" w:sz="4" w:space="0" w:color="808080"/>
              <w:bottom w:val="single" w:sz="4" w:space="0" w:color="808080"/>
              <w:right w:val="single" w:sz="4" w:space="0" w:color="808080"/>
            </w:tcBorders>
            <w:shd w:val="clear" w:color="000000" w:fill="1F497D"/>
            <w:noWrap/>
            <w:vAlign w:val="bottom"/>
            <w:hideMark/>
          </w:tcPr>
          <w:p w:rsidR="00826557" w:rsidRPr="00922B76" w:rsidRDefault="00826557" w:rsidP="00826557">
            <w:pPr>
              <w:spacing w:after="0" w:line="240" w:lineRule="auto"/>
              <w:jc w:val="left"/>
              <w:rPr>
                <w:rFonts w:ascii="Calibri" w:eastAsia="Times New Roman" w:hAnsi="Calibri" w:cs="Times New Roman"/>
                <w:b/>
                <w:bCs/>
                <w:color w:val="FFFFFF"/>
                <w:sz w:val="18"/>
                <w:szCs w:val="18"/>
                <w:lang w:eastAsia="es-CL"/>
              </w:rPr>
            </w:pPr>
            <w:r w:rsidRPr="00922B76">
              <w:rPr>
                <w:rFonts w:ascii="Calibri" w:eastAsia="Times New Roman" w:hAnsi="Calibri" w:cs="Times New Roman"/>
                <w:b/>
                <w:bCs/>
                <w:color w:val="FFFFFF"/>
                <w:sz w:val="18"/>
                <w:szCs w:val="18"/>
                <w:lang w:eastAsia="es-CL"/>
              </w:rPr>
              <w:t>Total</w:t>
            </w:r>
          </w:p>
        </w:tc>
        <w:tc>
          <w:tcPr>
            <w:tcW w:w="2876" w:type="dxa"/>
            <w:tcBorders>
              <w:top w:val="nil"/>
              <w:left w:val="nil"/>
              <w:bottom w:val="single" w:sz="4" w:space="0" w:color="808080"/>
              <w:right w:val="single" w:sz="4" w:space="0" w:color="808080"/>
            </w:tcBorders>
            <w:shd w:val="clear" w:color="000000" w:fill="1F497D"/>
            <w:noWrap/>
            <w:vAlign w:val="bottom"/>
            <w:hideMark/>
          </w:tcPr>
          <w:p w:rsidR="00826557" w:rsidRPr="00922B76" w:rsidRDefault="00826557" w:rsidP="00826557">
            <w:pPr>
              <w:spacing w:after="0" w:line="240" w:lineRule="auto"/>
              <w:jc w:val="right"/>
              <w:rPr>
                <w:rFonts w:ascii="Calibri" w:eastAsia="Times New Roman" w:hAnsi="Calibri" w:cs="Times New Roman"/>
                <w:b/>
                <w:bCs/>
                <w:color w:val="FFFFFF"/>
                <w:sz w:val="18"/>
                <w:szCs w:val="18"/>
                <w:lang w:eastAsia="es-CL"/>
              </w:rPr>
            </w:pPr>
            <w:r>
              <w:rPr>
                <w:rFonts w:ascii="Calibri" w:hAnsi="Calibri"/>
                <w:b/>
                <w:bCs/>
                <w:color w:val="FFFFFF"/>
                <w:sz w:val="18"/>
                <w:szCs w:val="18"/>
              </w:rPr>
              <w:t xml:space="preserve">366.083 </w:t>
            </w:r>
          </w:p>
        </w:tc>
        <w:tc>
          <w:tcPr>
            <w:tcW w:w="2528" w:type="dxa"/>
            <w:tcBorders>
              <w:top w:val="nil"/>
              <w:left w:val="nil"/>
              <w:bottom w:val="single" w:sz="4" w:space="0" w:color="808080"/>
              <w:right w:val="single" w:sz="4" w:space="0" w:color="808080"/>
            </w:tcBorders>
            <w:shd w:val="clear" w:color="000000" w:fill="1F497D"/>
            <w:noWrap/>
            <w:vAlign w:val="bottom"/>
            <w:hideMark/>
          </w:tcPr>
          <w:p w:rsidR="00826557" w:rsidRPr="00922B76" w:rsidRDefault="00826557" w:rsidP="00826557">
            <w:pPr>
              <w:spacing w:after="0" w:line="240" w:lineRule="auto"/>
              <w:jc w:val="right"/>
              <w:rPr>
                <w:rFonts w:ascii="Calibri" w:eastAsia="Times New Roman" w:hAnsi="Calibri" w:cs="Times New Roman"/>
                <w:b/>
                <w:bCs/>
                <w:color w:val="FFFFFF"/>
                <w:sz w:val="18"/>
                <w:szCs w:val="18"/>
                <w:lang w:eastAsia="es-CL"/>
              </w:rPr>
            </w:pPr>
            <w:r>
              <w:rPr>
                <w:rFonts w:ascii="Calibri" w:hAnsi="Calibri"/>
                <w:b/>
                <w:bCs/>
                <w:color w:val="FFFFFF"/>
                <w:sz w:val="18"/>
                <w:szCs w:val="18"/>
              </w:rPr>
              <w:t xml:space="preserve">343.793 </w:t>
            </w:r>
          </w:p>
        </w:tc>
        <w:tc>
          <w:tcPr>
            <w:tcW w:w="1177" w:type="dxa"/>
            <w:tcBorders>
              <w:top w:val="nil"/>
              <w:left w:val="nil"/>
              <w:bottom w:val="single" w:sz="4" w:space="0" w:color="808080"/>
              <w:right w:val="single" w:sz="4" w:space="0" w:color="808080"/>
            </w:tcBorders>
            <w:shd w:val="clear" w:color="000000" w:fill="1F497D"/>
            <w:noWrap/>
            <w:vAlign w:val="bottom"/>
            <w:hideMark/>
          </w:tcPr>
          <w:p w:rsidR="00826557" w:rsidRPr="00922B76" w:rsidRDefault="00826557" w:rsidP="00826557">
            <w:pPr>
              <w:spacing w:after="0" w:line="240" w:lineRule="auto"/>
              <w:jc w:val="right"/>
              <w:rPr>
                <w:rFonts w:ascii="Calibri" w:eastAsia="Times New Roman" w:hAnsi="Calibri" w:cs="Times New Roman"/>
                <w:b/>
                <w:bCs/>
                <w:color w:val="FFFFFF"/>
                <w:sz w:val="18"/>
                <w:szCs w:val="18"/>
                <w:lang w:eastAsia="es-CL"/>
              </w:rPr>
            </w:pPr>
            <w:r>
              <w:rPr>
                <w:rFonts w:ascii="Calibri" w:hAnsi="Calibri"/>
                <w:b/>
                <w:bCs/>
                <w:color w:val="FFFFFF"/>
                <w:sz w:val="18"/>
                <w:szCs w:val="18"/>
              </w:rPr>
              <w:t>93,9%</w:t>
            </w:r>
          </w:p>
        </w:tc>
      </w:tr>
    </w:tbl>
    <w:p w:rsidR="00FB3D8B" w:rsidRDefault="00FB3D8B" w:rsidP="00FB3D8B">
      <w:pPr>
        <w:tabs>
          <w:tab w:val="left" w:pos="0"/>
          <w:tab w:val="left" w:pos="6285"/>
        </w:tabs>
        <w:jc w:val="center"/>
      </w:pPr>
    </w:p>
    <w:p w:rsidR="00FB3D8B" w:rsidRPr="003D15B6" w:rsidRDefault="00FB3D8B" w:rsidP="00FB3D8B">
      <w:pPr>
        <w:pStyle w:val="Prrafodelista"/>
        <w:numPr>
          <w:ilvl w:val="0"/>
          <w:numId w:val="1"/>
        </w:numPr>
        <w:tabs>
          <w:tab w:val="left" w:pos="0"/>
        </w:tabs>
        <w:ind w:left="0" w:firstLine="0"/>
        <w:rPr>
          <w:rFonts w:ascii="Calibri" w:hAnsi="Calibri" w:cs="Calibri"/>
          <w:b/>
          <w:sz w:val="21"/>
          <w:szCs w:val="21"/>
        </w:rPr>
      </w:pPr>
      <w:r>
        <w:rPr>
          <w:rFonts w:ascii="Calibri" w:hAnsi="Calibri" w:cs="Calibri"/>
          <w:b/>
          <w:sz w:val="21"/>
          <w:szCs w:val="21"/>
        </w:rPr>
        <w:t xml:space="preserve">Máquinas de azar – Porcentaje de retorno a los clientes, valores nominales: </w:t>
      </w:r>
      <w:r w:rsidR="00EC15C7">
        <w:rPr>
          <w:rFonts w:ascii="Calibri" w:hAnsi="Calibri" w:cs="Calibri"/>
          <w:b/>
          <w:sz w:val="21"/>
          <w:szCs w:val="21"/>
        </w:rPr>
        <w:t>Octubre</w:t>
      </w:r>
      <w:r>
        <w:rPr>
          <w:rFonts w:ascii="Calibri" w:hAnsi="Calibri" w:cs="Calibri"/>
          <w:b/>
          <w:sz w:val="21"/>
          <w:szCs w:val="21"/>
        </w:rPr>
        <w:t xml:space="preserve"> 2016</w:t>
      </w:r>
    </w:p>
    <w:p w:rsidR="00FB3D8B" w:rsidRDefault="00EC15C7" w:rsidP="00196290">
      <w:pPr>
        <w:tabs>
          <w:tab w:val="left" w:pos="0"/>
          <w:tab w:val="left" w:pos="6285"/>
        </w:tabs>
        <w:ind w:hanging="284"/>
        <w:rPr>
          <w:rFonts w:ascii="Calibri" w:hAnsi="Calibri" w:cs="Calibri"/>
          <w:b/>
          <w:sz w:val="21"/>
          <w:szCs w:val="21"/>
        </w:rPr>
      </w:pPr>
      <w:r>
        <w:rPr>
          <w:rFonts w:ascii="Calibri" w:hAnsi="Calibri" w:cs="Calibri"/>
          <w:b/>
          <w:noProof/>
          <w:sz w:val="21"/>
          <w:szCs w:val="21"/>
          <w:lang w:val="es-ES" w:eastAsia="es-ES"/>
        </w:rPr>
        <w:drawing>
          <wp:inline distT="0" distB="0" distL="0" distR="0" wp14:anchorId="243122A4" wp14:editId="16FCF2D3">
            <wp:extent cx="5575453" cy="1813415"/>
            <wp:effectExtent l="0" t="0" r="635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05693" cy="1823251"/>
                    </a:xfrm>
                    <a:prstGeom prst="rect">
                      <a:avLst/>
                    </a:prstGeom>
                    <a:noFill/>
                  </pic:spPr>
                </pic:pic>
              </a:graphicData>
            </a:graphic>
          </wp:inline>
        </w:drawing>
      </w:r>
    </w:p>
    <w:p w:rsidR="00FB3D8B" w:rsidRDefault="00FB3D8B" w:rsidP="00FB3D8B">
      <w:pPr>
        <w:tabs>
          <w:tab w:val="left" w:pos="0"/>
          <w:tab w:val="left" w:pos="6285"/>
        </w:tabs>
        <w:rPr>
          <w:rFonts w:ascii="Calibri" w:hAnsi="Calibri" w:cs="Calibri"/>
          <w:b/>
          <w:sz w:val="21"/>
          <w:szCs w:val="21"/>
        </w:rPr>
      </w:pPr>
    </w:p>
    <w:p w:rsidR="00EC15C7" w:rsidRDefault="00EC15C7" w:rsidP="00FB3D8B">
      <w:pPr>
        <w:tabs>
          <w:tab w:val="left" w:pos="0"/>
          <w:tab w:val="left" w:pos="6285"/>
        </w:tabs>
        <w:rPr>
          <w:rFonts w:ascii="Calibri" w:hAnsi="Calibri" w:cs="Calibri"/>
          <w:b/>
          <w:sz w:val="21"/>
          <w:szCs w:val="21"/>
        </w:rPr>
      </w:pPr>
    </w:p>
    <w:p w:rsidR="00196290" w:rsidRDefault="00196290" w:rsidP="00FB3D8B">
      <w:pPr>
        <w:tabs>
          <w:tab w:val="left" w:pos="0"/>
          <w:tab w:val="left" w:pos="6285"/>
        </w:tabs>
        <w:rPr>
          <w:rFonts w:ascii="Calibri" w:hAnsi="Calibri" w:cs="Calibri"/>
          <w:b/>
          <w:sz w:val="21"/>
          <w:szCs w:val="21"/>
        </w:rPr>
      </w:pPr>
    </w:p>
    <w:p w:rsidR="00196290" w:rsidRDefault="00196290" w:rsidP="00FB3D8B">
      <w:pPr>
        <w:tabs>
          <w:tab w:val="left" w:pos="0"/>
          <w:tab w:val="left" w:pos="6285"/>
        </w:tabs>
        <w:rPr>
          <w:rFonts w:ascii="Calibri" w:hAnsi="Calibri" w:cs="Calibri"/>
          <w:b/>
          <w:sz w:val="21"/>
          <w:szCs w:val="21"/>
        </w:rPr>
      </w:pPr>
    </w:p>
    <w:p w:rsidR="00FB3D8B" w:rsidRPr="003D15B6" w:rsidRDefault="00FB3D8B" w:rsidP="00FB3D8B">
      <w:pPr>
        <w:pStyle w:val="Prrafodelista"/>
        <w:numPr>
          <w:ilvl w:val="0"/>
          <w:numId w:val="1"/>
        </w:numPr>
        <w:tabs>
          <w:tab w:val="left" w:pos="0"/>
        </w:tabs>
        <w:ind w:left="0" w:firstLine="0"/>
        <w:jc w:val="left"/>
        <w:rPr>
          <w:b/>
        </w:rPr>
      </w:pPr>
      <w:r w:rsidRPr="003D15B6">
        <w:rPr>
          <w:b/>
        </w:rPr>
        <w:t xml:space="preserve">Impuestos, valores nominales: </w:t>
      </w:r>
      <w:r w:rsidR="00826557">
        <w:rPr>
          <w:b/>
        </w:rPr>
        <w:t>octubre</w:t>
      </w:r>
      <w:r>
        <w:rPr>
          <w:b/>
        </w:rPr>
        <w:t xml:space="preserve">  </w:t>
      </w:r>
      <w:r w:rsidRPr="003D15B6">
        <w:rPr>
          <w:b/>
        </w:rPr>
        <w:t>de 2016</w:t>
      </w:r>
    </w:p>
    <w:tbl>
      <w:tblPr>
        <w:tblW w:w="5000" w:type="pct"/>
        <w:jc w:val="center"/>
        <w:tblLayout w:type="fixed"/>
        <w:tblCellMar>
          <w:left w:w="70" w:type="dxa"/>
          <w:right w:w="70" w:type="dxa"/>
        </w:tblCellMar>
        <w:tblLook w:val="04A0" w:firstRow="1" w:lastRow="0" w:firstColumn="1" w:lastColumn="0" w:noHBand="0" w:noVBand="1"/>
      </w:tblPr>
      <w:tblGrid>
        <w:gridCol w:w="1048"/>
        <w:gridCol w:w="1840"/>
        <w:gridCol w:w="1138"/>
        <w:gridCol w:w="1219"/>
        <w:gridCol w:w="973"/>
        <w:gridCol w:w="1106"/>
        <w:gridCol w:w="1180"/>
      </w:tblGrid>
      <w:tr w:rsidR="00826557" w:rsidRPr="00826557" w:rsidTr="00826557">
        <w:trPr>
          <w:trHeight w:val="300"/>
          <w:jc w:val="center"/>
        </w:trPr>
        <w:tc>
          <w:tcPr>
            <w:tcW w:w="5000" w:type="pct"/>
            <w:gridSpan w:val="7"/>
            <w:tcBorders>
              <w:top w:val="nil"/>
              <w:left w:val="nil"/>
              <w:bottom w:val="nil"/>
              <w:right w:val="nil"/>
            </w:tcBorders>
            <w:shd w:val="clear" w:color="000000" w:fill="1F497D"/>
            <w:noWrap/>
            <w:vAlign w:val="center"/>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IMPUESTOS  Octubre 2016 ($ Millones)</w:t>
            </w:r>
          </w:p>
        </w:tc>
      </w:tr>
      <w:tr w:rsidR="00826557" w:rsidRPr="00826557" w:rsidTr="00826557">
        <w:trPr>
          <w:trHeight w:val="720"/>
          <w:jc w:val="center"/>
        </w:trPr>
        <w:tc>
          <w:tcPr>
            <w:tcW w:w="616" w:type="pct"/>
            <w:tcBorders>
              <w:top w:val="single" w:sz="4" w:space="0" w:color="A6A6A6"/>
              <w:left w:val="single" w:sz="4" w:space="0" w:color="A6A6A6"/>
              <w:bottom w:val="single" w:sz="4" w:space="0" w:color="A6A6A6"/>
              <w:right w:val="single" w:sz="4" w:space="0" w:color="A6A6A6"/>
            </w:tcBorders>
            <w:shd w:val="clear" w:color="000000" w:fill="1F497D"/>
            <w:noWrap/>
            <w:vAlign w:val="center"/>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Región</w:t>
            </w:r>
          </w:p>
        </w:tc>
        <w:tc>
          <w:tcPr>
            <w:tcW w:w="1082" w:type="pct"/>
            <w:tcBorders>
              <w:top w:val="single" w:sz="4" w:space="0" w:color="A6A6A6"/>
              <w:left w:val="nil"/>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Casino</w:t>
            </w:r>
          </w:p>
        </w:tc>
        <w:tc>
          <w:tcPr>
            <w:tcW w:w="669" w:type="pct"/>
            <w:tcBorders>
              <w:top w:val="single" w:sz="4" w:space="0" w:color="A6A6A6"/>
              <w:left w:val="nil"/>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 xml:space="preserve"> Impuesto específico Gobierno Regional</w:t>
            </w:r>
          </w:p>
        </w:tc>
        <w:tc>
          <w:tcPr>
            <w:tcW w:w="717" w:type="pct"/>
            <w:tcBorders>
              <w:top w:val="single" w:sz="4" w:space="0" w:color="A6A6A6"/>
              <w:left w:val="nil"/>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Impuesto específico Municipalidad</w:t>
            </w:r>
          </w:p>
        </w:tc>
        <w:tc>
          <w:tcPr>
            <w:tcW w:w="572" w:type="pct"/>
            <w:tcBorders>
              <w:top w:val="single" w:sz="4" w:space="0" w:color="A6A6A6"/>
              <w:left w:val="nil"/>
              <w:bottom w:val="single" w:sz="4" w:space="0" w:color="A6A6A6"/>
              <w:right w:val="single" w:sz="4" w:space="0" w:color="A6A6A6"/>
            </w:tcBorders>
            <w:shd w:val="clear" w:color="000000" w:fill="1F497D"/>
            <w:noWrap/>
            <w:vAlign w:val="center"/>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IVA</w:t>
            </w:r>
          </w:p>
        </w:tc>
        <w:tc>
          <w:tcPr>
            <w:tcW w:w="650" w:type="pct"/>
            <w:tcBorders>
              <w:top w:val="single" w:sz="4" w:space="0" w:color="A6A6A6"/>
              <w:left w:val="nil"/>
              <w:bottom w:val="single" w:sz="4" w:space="0" w:color="A6A6A6"/>
              <w:right w:val="nil"/>
            </w:tcBorders>
            <w:shd w:val="clear" w:color="000000" w:fill="1F497D"/>
            <w:noWrap/>
            <w:vAlign w:val="center"/>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Por entrada</w:t>
            </w:r>
          </w:p>
        </w:tc>
        <w:tc>
          <w:tcPr>
            <w:tcW w:w="694" w:type="pct"/>
            <w:tcBorders>
              <w:top w:val="single" w:sz="4" w:space="0" w:color="A6A6A6"/>
              <w:left w:val="single" w:sz="4" w:space="0" w:color="A6A6A6"/>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Total</w:t>
            </w:r>
          </w:p>
        </w:tc>
      </w:tr>
      <w:tr w:rsidR="00826557" w:rsidRPr="00826557" w:rsidTr="00826557">
        <w:trPr>
          <w:trHeight w:val="300"/>
          <w:jc w:val="center"/>
        </w:trPr>
        <w:tc>
          <w:tcPr>
            <w:tcW w:w="61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De Antofagasta </w:t>
            </w:r>
          </w:p>
        </w:tc>
        <w:tc>
          <w:tcPr>
            <w:tcW w:w="108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Marina de Sol Calama</w:t>
            </w:r>
          </w:p>
        </w:tc>
        <w:tc>
          <w:tcPr>
            <w:tcW w:w="66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288 </w:t>
            </w: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85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170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55 </w:t>
            </w:r>
          </w:p>
        </w:tc>
        <w:tc>
          <w:tcPr>
            <w:tcW w:w="69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1.359 </w:t>
            </w:r>
          </w:p>
        </w:tc>
      </w:tr>
      <w:tr w:rsidR="00826557" w:rsidRPr="00826557" w:rsidTr="00826557">
        <w:trPr>
          <w:trHeight w:val="300"/>
          <w:jc w:val="center"/>
        </w:trPr>
        <w:tc>
          <w:tcPr>
            <w:tcW w:w="616"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
        </w:tc>
        <w:tc>
          <w:tcPr>
            <w:tcW w:w="108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roofErr w:type="spellStart"/>
            <w:r w:rsidRPr="00826557">
              <w:rPr>
                <w:rFonts w:ascii="Calibri" w:eastAsia="Times New Roman" w:hAnsi="Calibri" w:cs="Times New Roman"/>
                <w:color w:val="244062"/>
                <w:sz w:val="18"/>
                <w:szCs w:val="18"/>
                <w:lang w:eastAsia="es-CL"/>
              </w:rPr>
              <w:t>Enjoy</w:t>
            </w:r>
            <w:proofErr w:type="spellEnd"/>
            <w:r w:rsidRPr="00826557">
              <w:rPr>
                <w:rFonts w:ascii="Calibri" w:eastAsia="Times New Roman" w:hAnsi="Calibri" w:cs="Times New Roman"/>
                <w:color w:val="244062"/>
                <w:sz w:val="18"/>
                <w:szCs w:val="18"/>
                <w:lang w:eastAsia="es-CL"/>
              </w:rPr>
              <w:t xml:space="preserve"> Antofagasta</w:t>
            </w:r>
          </w:p>
        </w:tc>
        <w:tc>
          <w:tcPr>
            <w:tcW w:w="669"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203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410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148 </w:t>
            </w:r>
          </w:p>
        </w:tc>
        <w:tc>
          <w:tcPr>
            <w:tcW w:w="694"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r>
      <w:tr w:rsidR="00826557" w:rsidRPr="00826557" w:rsidTr="00826557">
        <w:trPr>
          <w:trHeight w:val="300"/>
          <w:jc w:val="center"/>
        </w:trPr>
        <w:tc>
          <w:tcPr>
            <w:tcW w:w="616" w:type="pc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 Atacama</w:t>
            </w:r>
          </w:p>
        </w:tc>
        <w:tc>
          <w:tcPr>
            <w:tcW w:w="108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roofErr w:type="spellStart"/>
            <w:r w:rsidRPr="00826557">
              <w:rPr>
                <w:rFonts w:ascii="Calibri" w:eastAsia="Times New Roman" w:hAnsi="Calibri" w:cs="Times New Roman"/>
                <w:color w:val="244062"/>
                <w:sz w:val="18"/>
                <w:szCs w:val="18"/>
                <w:lang w:eastAsia="es-CL"/>
              </w:rPr>
              <w:t>Antay</w:t>
            </w:r>
            <w:proofErr w:type="spellEnd"/>
            <w:r w:rsidRPr="00826557">
              <w:rPr>
                <w:rFonts w:ascii="Calibri" w:eastAsia="Times New Roman" w:hAnsi="Calibri" w:cs="Times New Roman"/>
                <w:color w:val="244062"/>
                <w:sz w:val="18"/>
                <w:szCs w:val="18"/>
                <w:lang w:eastAsia="es-CL"/>
              </w:rPr>
              <w:t xml:space="preserve"> Casino &amp; Hotel</w:t>
            </w:r>
          </w:p>
        </w:tc>
        <w:tc>
          <w:tcPr>
            <w:tcW w:w="669"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71 </w:t>
            </w:r>
          </w:p>
        </w:tc>
        <w:tc>
          <w:tcPr>
            <w:tcW w:w="717"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71 </w:t>
            </w:r>
          </w:p>
        </w:tc>
        <w:tc>
          <w:tcPr>
            <w:tcW w:w="57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144 </w:t>
            </w:r>
          </w:p>
        </w:tc>
        <w:tc>
          <w:tcPr>
            <w:tcW w:w="650"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73 </w:t>
            </w:r>
          </w:p>
        </w:tc>
        <w:tc>
          <w:tcPr>
            <w:tcW w:w="694"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360 </w:t>
            </w:r>
          </w:p>
        </w:tc>
      </w:tr>
      <w:tr w:rsidR="00826557" w:rsidRPr="00826557" w:rsidTr="00826557">
        <w:trPr>
          <w:trHeight w:val="300"/>
          <w:jc w:val="center"/>
        </w:trPr>
        <w:tc>
          <w:tcPr>
            <w:tcW w:w="616" w:type="pc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 Coquimbo</w:t>
            </w:r>
          </w:p>
        </w:tc>
        <w:tc>
          <w:tcPr>
            <w:tcW w:w="108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Ovalle Casino Resort S.A.</w:t>
            </w:r>
          </w:p>
        </w:tc>
        <w:tc>
          <w:tcPr>
            <w:tcW w:w="669"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14 </w:t>
            </w: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14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27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49 </w:t>
            </w:r>
          </w:p>
        </w:tc>
        <w:tc>
          <w:tcPr>
            <w:tcW w:w="694"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105 </w:t>
            </w:r>
          </w:p>
        </w:tc>
      </w:tr>
      <w:tr w:rsidR="00826557" w:rsidRPr="00826557" w:rsidTr="00826557">
        <w:trPr>
          <w:trHeight w:val="300"/>
          <w:jc w:val="center"/>
        </w:trPr>
        <w:tc>
          <w:tcPr>
            <w:tcW w:w="616"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 Valparaíso</w:t>
            </w:r>
          </w:p>
        </w:tc>
        <w:tc>
          <w:tcPr>
            <w:tcW w:w="108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Casino de Juegos del Pacífico</w:t>
            </w:r>
          </w:p>
        </w:tc>
        <w:tc>
          <w:tcPr>
            <w:tcW w:w="66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361 </w:t>
            </w:r>
          </w:p>
        </w:tc>
        <w:tc>
          <w:tcPr>
            <w:tcW w:w="717"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57 </w:t>
            </w:r>
          </w:p>
        </w:tc>
        <w:tc>
          <w:tcPr>
            <w:tcW w:w="57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107 </w:t>
            </w:r>
          </w:p>
        </w:tc>
        <w:tc>
          <w:tcPr>
            <w:tcW w:w="650"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75 </w:t>
            </w:r>
          </w:p>
        </w:tc>
        <w:tc>
          <w:tcPr>
            <w:tcW w:w="69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1.610 </w:t>
            </w:r>
          </w:p>
        </w:tc>
      </w:tr>
      <w:tr w:rsidR="00826557" w:rsidRPr="00826557" w:rsidTr="00826557">
        <w:trPr>
          <w:trHeight w:val="300"/>
          <w:jc w:val="center"/>
        </w:trPr>
        <w:tc>
          <w:tcPr>
            <w:tcW w:w="616"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
        </w:tc>
        <w:tc>
          <w:tcPr>
            <w:tcW w:w="108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Casino de Juego de Rinconada</w:t>
            </w:r>
          </w:p>
        </w:tc>
        <w:tc>
          <w:tcPr>
            <w:tcW w:w="669"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c>
          <w:tcPr>
            <w:tcW w:w="717"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305 </w:t>
            </w:r>
          </w:p>
        </w:tc>
        <w:tc>
          <w:tcPr>
            <w:tcW w:w="57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579 </w:t>
            </w:r>
          </w:p>
        </w:tc>
        <w:tc>
          <w:tcPr>
            <w:tcW w:w="650"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127 </w:t>
            </w:r>
          </w:p>
        </w:tc>
        <w:tc>
          <w:tcPr>
            <w:tcW w:w="694"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r>
      <w:tr w:rsidR="00826557" w:rsidRPr="00826557" w:rsidTr="00826557">
        <w:trPr>
          <w:trHeight w:val="300"/>
          <w:jc w:val="center"/>
        </w:trPr>
        <w:tc>
          <w:tcPr>
            <w:tcW w:w="61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 O´Higgins</w:t>
            </w:r>
          </w:p>
        </w:tc>
        <w:tc>
          <w:tcPr>
            <w:tcW w:w="108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roofErr w:type="spellStart"/>
            <w:r w:rsidRPr="00826557">
              <w:rPr>
                <w:rFonts w:ascii="Calibri" w:eastAsia="Times New Roman" w:hAnsi="Calibri" w:cs="Times New Roman"/>
                <w:color w:val="244062"/>
                <w:sz w:val="18"/>
                <w:szCs w:val="18"/>
                <w:lang w:eastAsia="es-CL"/>
              </w:rPr>
              <w:t>Sun</w:t>
            </w:r>
            <w:proofErr w:type="spellEnd"/>
            <w:r w:rsidRPr="00826557">
              <w:rPr>
                <w:rFonts w:ascii="Calibri" w:eastAsia="Times New Roman" w:hAnsi="Calibri" w:cs="Times New Roman"/>
                <w:color w:val="244062"/>
                <w:sz w:val="18"/>
                <w:szCs w:val="18"/>
                <w:lang w:eastAsia="es-CL"/>
              </w:rPr>
              <w:t xml:space="preserve"> Monticello</w:t>
            </w:r>
          </w:p>
        </w:tc>
        <w:tc>
          <w:tcPr>
            <w:tcW w:w="66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590 </w:t>
            </w: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541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1.054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247 </w:t>
            </w:r>
          </w:p>
        </w:tc>
        <w:tc>
          <w:tcPr>
            <w:tcW w:w="69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2.609 </w:t>
            </w:r>
          </w:p>
        </w:tc>
      </w:tr>
      <w:tr w:rsidR="00826557" w:rsidRPr="00826557" w:rsidTr="00826557">
        <w:trPr>
          <w:trHeight w:val="300"/>
          <w:jc w:val="center"/>
        </w:trPr>
        <w:tc>
          <w:tcPr>
            <w:tcW w:w="616"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
        </w:tc>
        <w:tc>
          <w:tcPr>
            <w:tcW w:w="108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Casino de Colchagua</w:t>
            </w:r>
          </w:p>
        </w:tc>
        <w:tc>
          <w:tcPr>
            <w:tcW w:w="669"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49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97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30 </w:t>
            </w:r>
          </w:p>
        </w:tc>
        <w:tc>
          <w:tcPr>
            <w:tcW w:w="694"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r>
      <w:tr w:rsidR="00826557" w:rsidRPr="00826557" w:rsidTr="00826557">
        <w:trPr>
          <w:trHeight w:val="300"/>
          <w:jc w:val="center"/>
        </w:trPr>
        <w:tc>
          <w:tcPr>
            <w:tcW w:w="616" w:type="pc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Del Maule</w:t>
            </w:r>
          </w:p>
        </w:tc>
        <w:tc>
          <w:tcPr>
            <w:tcW w:w="108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Gran Casino de Talca</w:t>
            </w:r>
          </w:p>
        </w:tc>
        <w:tc>
          <w:tcPr>
            <w:tcW w:w="669"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77 </w:t>
            </w:r>
          </w:p>
        </w:tc>
        <w:tc>
          <w:tcPr>
            <w:tcW w:w="717"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77 </w:t>
            </w:r>
          </w:p>
        </w:tc>
        <w:tc>
          <w:tcPr>
            <w:tcW w:w="57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152 </w:t>
            </w:r>
          </w:p>
        </w:tc>
        <w:tc>
          <w:tcPr>
            <w:tcW w:w="650"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68 </w:t>
            </w:r>
          </w:p>
        </w:tc>
        <w:tc>
          <w:tcPr>
            <w:tcW w:w="694"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373 </w:t>
            </w:r>
          </w:p>
        </w:tc>
      </w:tr>
      <w:tr w:rsidR="00826557" w:rsidRPr="00826557" w:rsidTr="00826557">
        <w:trPr>
          <w:trHeight w:val="300"/>
          <w:jc w:val="center"/>
        </w:trPr>
        <w:tc>
          <w:tcPr>
            <w:tcW w:w="616"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Del </w:t>
            </w:r>
            <w:proofErr w:type="spellStart"/>
            <w:r w:rsidRPr="00826557">
              <w:rPr>
                <w:rFonts w:ascii="Calibri" w:eastAsia="Times New Roman" w:hAnsi="Calibri" w:cs="Times New Roman"/>
                <w:color w:val="244062"/>
                <w:sz w:val="18"/>
                <w:szCs w:val="18"/>
                <w:lang w:eastAsia="es-CL"/>
              </w:rPr>
              <w:t>Bío</w:t>
            </w:r>
            <w:proofErr w:type="spellEnd"/>
            <w:r w:rsidRPr="00826557">
              <w:rPr>
                <w:rFonts w:ascii="Calibri" w:eastAsia="Times New Roman" w:hAnsi="Calibri" w:cs="Times New Roman"/>
                <w:color w:val="244062"/>
                <w:sz w:val="18"/>
                <w:szCs w:val="18"/>
                <w:lang w:eastAsia="es-CL"/>
              </w:rPr>
              <w:t xml:space="preserve"> </w:t>
            </w:r>
            <w:proofErr w:type="spellStart"/>
            <w:r w:rsidRPr="00826557">
              <w:rPr>
                <w:rFonts w:ascii="Calibri" w:eastAsia="Times New Roman" w:hAnsi="Calibri" w:cs="Times New Roman"/>
                <w:color w:val="244062"/>
                <w:sz w:val="18"/>
                <w:szCs w:val="18"/>
                <w:lang w:eastAsia="es-CL"/>
              </w:rPr>
              <w:t>Bío</w:t>
            </w:r>
            <w:proofErr w:type="spellEnd"/>
            <w:r w:rsidRPr="00826557">
              <w:rPr>
                <w:rFonts w:ascii="Calibri" w:eastAsia="Times New Roman" w:hAnsi="Calibri" w:cs="Times New Roman"/>
                <w:color w:val="244062"/>
                <w:sz w:val="18"/>
                <w:szCs w:val="18"/>
                <w:lang w:eastAsia="es-CL"/>
              </w:rPr>
              <w:t xml:space="preserve"> </w:t>
            </w:r>
          </w:p>
        </w:tc>
        <w:tc>
          <w:tcPr>
            <w:tcW w:w="108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Marina de Sol Talcahuano</w:t>
            </w:r>
          </w:p>
        </w:tc>
        <w:tc>
          <w:tcPr>
            <w:tcW w:w="669"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319 </w:t>
            </w: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284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562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234 </w:t>
            </w:r>
          </w:p>
        </w:tc>
        <w:tc>
          <w:tcPr>
            <w:tcW w:w="694" w:type="pct"/>
            <w:vMerge w:val="restar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1.542 </w:t>
            </w:r>
          </w:p>
        </w:tc>
      </w:tr>
      <w:tr w:rsidR="00826557" w:rsidRPr="00826557" w:rsidTr="00826557">
        <w:trPr>
          <w:trHeight w:val="300"/>
          <w:jc w:val="center"/>
        </w:trPr>
        <w:tc>
          <w:tcPr>
            <w:tcW w:w="616"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
        </w:tc>
        <w:tc>
          <w:tcPr>
            <w:tcW w:w="108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Casino Gran Los Ángeles</w:t>
            </w:r>
          </w:p>
        </w:tc>
        <w:tc>
          <w:tcPr>
            <w:tcW w:w="669"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35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67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39 </w:t>
            </w:r>
          </w:p>
        </w:tc>
        <w:tc>
          <w:tcPr>
            <w:tcW w:w="694"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r>
      <w:tr w:rsidR="00826557" w:rsidRPr="00826557" w:rsidTr="00826557">
        <w:trPr>
          <w:trHeight w:val="300"/>
          <w:jc w:val="center"/>
        </w:trPr>
        <w:tc>
          <w:tcPr>
            <w:tcW w:w="616" w:type="pc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De La Araucanía </w:t>
            </w:r>
          </w:p>
        </w:tc>
        <w:tc>
          <w:tcPr>
            <w:tcW w:w="108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roofErr w:type="spellStart"/>
            <w:r w:rsidRPr="00826557">
              <w:rPr>
                <w:rFonts w:ascii="Calibri" w:eastAsia="Times New Roman" w:hAnsi="Calibri" w:cs="Times New Roman"/>
                <w:color w:val="244062"/>
                <w:sz w:val="18"/>
                <w:szCs w:val="18"/>
                <w:lang w:eastAsia="es-CL"/>
              </w:rPr>
              <w:t>Dreams</w:t>
            </w:r>
            <w:proofErr w:type="spellEnd"/>
            <w:r w:rsidRPr="00826557">
              <w:rPr>
                <w:rFonts w:ascii="Calibri" w:eastAsia="Times New Roman" w:hAnsi="Calibri" w:cs="Times New Roman"/>
                <w:color w:val="244062"/>
                <w:sz w:val="18"/>
                <w:szCs w:val="18"/>
                <w:lang w:eastAsia="es-CL"/>
              </w:rPr>
              <w:t xml:space="preserve"> Temuco</w:t>
            </w:r>
          </w:p>
        </w:tc>
        <w:tc>
          <w:tcPr>
            <w:tcW w:w="669"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153 </w:t>
            </w:r>
          </w:p>
        </w:tc>
        <w:tc>
          <w:tcPr>
            <w:tcW w:w="717"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153 </w:t>
            </w:r>
          </w:p>
        </w:tc>
        <w:tc>
          <w:tcPr>
            <w:tcW w:w="57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300 </w:t>
            </w:r>
          </w:p>
        </w:tc>
        <w:tc>
          <w:tcPr>
            <w:tcW w:w="650"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136 </w:t>
            </w:r>
          </w:p>
        </w:tc>
        <w:tc>
          <w:tcPr>
            <w:tcW w:w="694"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742 </w:t>
            </w:r>
          </w:p>
        </w:tc>
      </w:tr>
      <w:tr w:rsidR="00826557" w:rsidRPr="00826557" w:rsidTr="00826557">
        <w:trPr>
          <w:trHeight w:val="300"/>
          <w:jc w:val="center"/>
        </w:trPr>
        <w:tc>
          <w:tcPr>
            <w:tcW w:w="616" w:type="pct"/>
            <w:tcBorders>
              <w:top w:val="nil"/>
              <w:left w:val="single" w:sz="4" w:space="0" w:color="A6A6A6"/>
              <w:bottom w:val="single" w:sz="4" w:space="0" w:color="A6A6A6"/>
              <w:right w:val="single" w:sz="4" w:space="0" w:color="A6A6A6"/>
            </w:tcBorders>
            <w:shd w:val="clear" w:color="000000" w:fill="FFFFFF"/>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 Los Ríos</w:t>
            </w:r>
          </w:p>
        </w:tc>
        <w:tc>
          <w:tcPr>
            <w:tcW w:w="1082" w:type="pct"/>
            <w:tcBorders>
              <w:top w:val="nil"/>
              <w:left w:val="nil"/>
              <w:bottom w:val="single" w:sz="4" w:space="0" w:color="A6A6A6"/>
              <w:right w:val="single" w:sz="4" w:space="0" w:color="A6A6A6"/>
            </w:tcBorders>
            <w:shd w:val="clear" w:color="000000" w:fill="FFFFFF"/>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roofErr w:type="spellStart"/>
            <w:r w:rsidRPr="00826557">
              <w:rPr>
                <w:rFonts w:ascii="Calibri" w:eastAsia="Times New Roman" w:hAnsi="Calibri" w:cs="Times New Roman"/>
                <w:color w:val="244062"/>
                <w:sz w:val="18"/>
                <w:szCs w:val="18"/>
                <w:lang w:eastAsia="es-CL"/>
              </w:rPr>
              <w:t>Dreams</w:t>
            </w:r>
            <w:proofErr w:type="spellEnd"/>
            <w:r w:rsidRPr="00826557">
              <w:rPr>
                <w:rFonts w:ascii="Calibri" w:eastAsia="Times New Roman" w:hAnsi="Calibri" w:cs="Times New Roman"/>
                <w:color w:val="244062"/>
                <w:sz w:val="18"/>
                <w:szCs w:val="18"/>
                <w:lang w:eastAsia="es-CL"/>
              </w:rPr>
              <w:t xml:space="preserve"> Valdivia</w:t>
            </w:r>
          </w:p>
        </w:tc>
        <w:tc>
          <w:tcPr>
            <w:tcW w:w="669"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80 </w:t>
            </w: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80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152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94 </w:t>
            </w:r>
          </w:p>
        </w:tc>
        <w:tc>
          <w:tcPr>
            <w:tcW w:w="694"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405 </w:t>
            </w:r>
          </w:p>
        </w:tc>
      </w:tr>
      <w:tr w:rsidR="00826557" w:rsidRPr="00826557" w:rsidTr="00826557">
        <w:trPr>
          <w:trHeight w:val="300"/>
          <w:jc w:val="center"/>
        </w:trPr>
        <w:tc>
          <w:tcPr>
            <w:tcW w:w="616"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 Los Lagos</w:t>
            </w:r>
          </w:p>
        </w:tc>
        <w:tc>
          <w:tcPr>
            <w:tcW w:w="108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Marina del Sol Osorno</w:t>
            </w:r>
          </w:p>
        </w:tc>
        <w:tc>
          <w:tcPr>
            <w:tcW w:w="669"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92 </w:t>
            </w:r>
          </w:p>
        </w:tc>
        <w:tc>
          <w:tcPr>
            <w:tcW w:w="717"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61 </w:t>
            </w:r>
          </w:p>
        </w:tc>
        <w:tc>
          <w:tcPr>
            <w:tcW w:w="57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118 </w:t>
            </w:r>
          </w:p>
        </w:tc>
        <w:tc>
          <w:tcPr>
            <w:tcW w:w="650"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52 </w:t>
            </w:r>
          </w:p>
        </w:tc>
        <w:tc>
          <w:tcPr>
            <w:tcW w:w="694" w:type="pct"/>
            <w:vMerge w:val="restar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444 </w:t>
            </w:r>
          </w:p>
        </w:tc>
      </w:tr>
      <w:tr w:rsidR="00826557" w:rsidRPr="00826557" w:rsidTr="00826557">
        <w:trPr>
          <w:trHeight w:val="300"/>
          <w:jc w:val="center"/>
        </w:trPr>
        <w:tc>
          <w:tcPr>
            <w:tcW w:w="616"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
        </w:tc>
        <w:tc>
          <w:tcPr>
            <w:tcW w:w="108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roofErr w:type="spellStart"/>
            <w:r w:rsidRPr="00826557">
              <w:rPr>
                <w:rFonts w:ascii="Calibri" w:eastAsia="Times New Roman" w:hAnsi="Calibri" w:cs="Times New Roman"/>
                <w:color w:val="244062"/>
                <w:sz w:val="18"/>
                <w:szCs w:val="18"/>
                <w:lang w:eastAsia="es-CL"/>
              </w:rPr>
              <w:t>Enjoy</w:t>
            </w:r>
            <w:proofErr w:type="spellEnd"/>
            <w:r w:rsidRPr="00826557">
              <w:rPr>
                <w:rFonts w:ascii="Calibri" w:eastAsia="Times New Roman" w:hAnsi="Calibri" w:cs="Times New Roman"/>
                <w:color w:val="244062"/>
                <w:sz w:val="18"/>
                <w:szCs w:val="18"/>
                <w:lang w:eastAsia="es-CL"/>
              </w:rPr>
              <w:t xml:space="preserve"> Chiloé</w:t>
            </w:r>
          </w:p>
        </w:tc>
        <w:tc>
          <w:tcPr>
            <w:tcW w:w="669"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c>
          <w:tcPr>
            <w:tcW w:w="717"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31 </w:t>
            </w:r>
          </w:p>
        </w:tc>
        <w:tc>
          <w:tcPr>
            <w:tcW w:w="57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59 </w:t>
            </w:r>
          </w:p>
        </w:tc>
        <w:tc>
          <w:tcPr>
            <w:tcW w:w="650"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30 </w:t>
            </w:r>
          </w:p>
        </w:tc>
        <w:tc>
          <w:tcPr>
            <w:tcW w:w="694" w:type="pct"/>
            <w:vMerge/>
            <w:tcBorders>
              <w:top w:val="nil"/>
              <w:left w:val="single" w:sz="4" w:space="0" w:color="A6A6A6"/>
              <w:bottom w:val="single" w:sz="4" w:space="0" w:color="A6A6A6"/>
              <w:right w:val="single" w:sz="4" w:space="0" w:color="A6A6A6"/>
            </w:tcBorders>
            <w:vAlign w:val="center"/>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p>
        </w:tc>
      </w:tr>
      <w:tr w:rsidR="00826557" w:rsidRPr="00826557" w:rsidTr="00826557">
        <w:trPr>
          <w:trHeight w:val="300"/>
          <w:jc w:val="center"/>
        </w:trPr>
        <w:tc>
          <w:tcPr>
            <w:tcW w:w="616" w:type="pct"/>
            <w:tcBorders>
              <w:top w:val="nil"/>
              <w:left w:val="single" w:sz="4" w:space="0" w:color="A6A6A6"/>
              <w:bottom w:val="single" w:sz="4" w:space="0" w:color="A6A6A6"/>
              <w:right w:val="single" w:sz="4" w:space="0" w:color="A6A6A6"/>
            </w:tcBorders>
            <w:shd w:val="clear" w:color="auto" w:fill="auto"/>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 Aysén</w:t>
            </w:r>
          </w:p>
        </w:tc>
        <w:tc>
          <w:tcPr>
            <w:tcW w:w="108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roofErr w:type="spellStart"/>
            <w:r w:rsidRPr="00826557">
              <w:rPr>
                <w:rFonts w:ascii="Calibri" w:eastAsia="Times New Roman" w:hAnsi="Calibri" w:cs="Times New Roman"/>
                <w:color w:val="244062"/>
                <w:sz w:val="18"/>
                <w:szCs w:val="18"/>
                <w:lang w:eastAsia="es-CL"/>
              </w:rPr>
              <w:t>Dreams</w:t>
            </w:r>
            <w:proofErr w:type="spellEnd"/>
            <w:r w:rsidRPr="00826557">
              <w:rPr>
                <w:rFonts w:ascii="Calibri" w:eastAsia="Times New Roman" w:hAnsi="Calibri" w:cs="Times New Roman"/>
                <w:color w:val="244062"/>
                <w:sz w:val="18"/>
                <w:szCs w:val="18"/>
                <w:lang w:eastAsia="es-CL"/>
              </w:rPr>
              <w:t xml:space="preserve"> Coyhaique</w:t>
            </w:r>
          </w:p>
        </w:tc>
        <w:tc>
          <w:tcPr>
            <w:tcW w:w="669"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38 </w:t>
            </w:r>
          </w:p>
        </w:tc>
        <w:tc>
          <w:tcPr>
            <w:tcW w:w="717"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38 </w:t>
            </w:r>
          </w:p>
        </w:tc>
        <w:tc>
          <w:tcPr>
            <w:tcW w:w="572"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72 </w:t>
            </w:r>
          </w:p>
        </w:tc>
        <w:tc>
          <w:tcPr>
            <w:tcW w:w="650"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36 </w:t>
            </w:r>
          </w:p>
        </w:tc>
        <w:tc>
          <w:tcPr>
            <w:tcW w:w="694" w:type="pct"/>
            <w:tcBorders>
              <w:top w:val="nil"/>
              <w:left w:val="nil"/>
              <w:bottom w:val="single" w:sz="4" w:space="0" w:color="A6A6A6"/>
              <w:right w:val="single" w:sz="4" w:space="0" w:color="A6A6A6"/>
            </w:tcBorders>
            <w:shd w:val="clear" w:color="auto" w:fill="auto"/>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183 </w:t>
            </w:r>
          </w:p>
        </w:tc>
      </w:tr>
      <w:tr w:rsidR="00826557" w:rsidRPr="00826557" w:rsidTr="00826557">
        <w:trPr>
          <w:trHeight w:val="300"/>
          <w:jc w:val="center"/>
        </w:trPr>
        <w:tc>
          <w:tcPr>
            <w:tcW w:w="616" w:type="pct"/>
            <w:tcBorders>
              <w:top w:val="nil"/>
              <w:left w:val="single" w:sz="4" w:space="0" w:color="A6A6A6"/>
              <w:bottom w:val="single" w:sz="4" w:space="0" w:color="A6A6A6"/>
              <w:right w:val="single" w:sz="4" w:space="0" w:color="A6A6A6"/>
            </w:tcBorders>
            <w:shd w:val="clear" w:color="000000" w:fill="DAEEF3"/>
            <w:noWrap/>
            <w:vAlign w:val="center"/>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De Magallanes</w:t>
            </w:r>
          </w:p>
        </w:tc>
        <w:tc>
          <w:tcPr>
            <w:tcW w:w="108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left"/>
              <w:rPr>
                <w:rFonts w:ascii="Calibri" w:eastAsia="Times New Roman" w:hAnsi="Calibri" w:cs="Times New Roman"/>
                <w:color w:val="244062"/>
                <w:sz w:val="18"/>
                <w:szCs w:val="18"/>
                <w:lang w:eastAsia="es-CL"/>
              </w:rPr>
            </w:pPr>
            <w:proofErr w:type="spellStart"/>
            <w:r w:rsidRPr="00826557">
              <w:rPr>
                <w:rFonts w:ascii="Calibri" w:eastAsia="Times New Roman" w:hAnsi="Calibri" w:cs="Times New Roman"/>
                <w:color w:val="244062"/>
                <w:sz w:val="18"/>
                <w:szCs w:val="18"/>
                <w:lang w:eastAsia="es-CL"/>
              </w:rPr>
              <w:t>Dreams</w:t>
            </w:r>
            <w:proofErr w:type="spellEnd"/>
            <w:r w:rsidRPr="00826557">
              <w:rPr>
                <w:rFonts w:ascii="Calibri" w:eastAsia="Times New Roman" w:hAnsi="Calibri" w:cs="Times New Roman"/>
                <w:color w:val="244062"/>
                <w:sz w:val="18"/>
                <w:szCs w:val="18"/>
                <w:lang w:eastAsia="es-CL"/>
              </w:rPr>
              <w:t xml:space="preserve"> Punta Arenas</w:t>
            </w:r>
          </w:p>
        </w:tc>
        <w:tc>
          <w:tcPr>
            <w:tcW w:w="669"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119 </w:t>
            </w:r>
          </w:p>
        </w:tc>
        <w:tc>
          <w:tcPr>
            <w:tcW w:w="717"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119 </w:t>
            </w:r>
          </w:p>
        </w:tc>
        <w:tc>
          <w:tcPr>
            <w:tcW w:w="572"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235 </w:t>
            </w:r>
          </w:p>
        </w:tc>
        <w:tc>
          <w:tcPr>
            <w:tcW w:w="650"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119 </w:t>
            </w:r>
          </w:p>
        </w:tc>
        <w:tc>
          <w:tcPr>
            <w:tcW w:w="694" w:type="pct"/>
            <w:tcBorders>
              <w:top w:val="nil"/>
              <w:left w:val="nil"/>
              <w:bottom w:val="single" w:sz="4" w:space="0" w:color="A6A6A6"/>
              <w:right w:val="single" w:sz="4" w:space="0" w:color="A6A6A6"/>
            </w:tcBorders>
            <w:shd w:val="clear" w:color="000000" w:fill="DAEEF3"/>
            <w:noWrap/>
            <w:vAlign w:val="bottom"/>
            <w:hideMark/>
          </w:tcPr>
          <w:p w:rsidR="00826557" w:rsidRPr="00826557" w:rsidRDefault="00826557" w:rsidP="00826557">
            <w:pPr>
              <w:spacing w:after="0" w:line="240" w:lineRule="auto"/>
              <w:jc w:val="right"/>
              <w:rPr>
                <w:rFonts w:ascii="Calibri" w:eastAsia="Times New Roman" w:hAnsi="Calibri" w:cs="Times New Roman"/>
                <w:color w:val="244062"/>
                <w:sz w:val="18"/>
                <w:szCs w:val="18"/>
                <w:lang w:eastAsia="es-CL"/>
              </w:rPr>
            </w:pPr>
            <w:r w:rsidRPr="00826557">
              <w:rPr>
                <w:rFonts w:ascii="Calibri" w:eastAsia="Times New Roman" w:hAnsi="Calibri" w:cs="Times New Roman"/>
                <w:color w:val="244062"/>
                <w:sz w:val="18"/>
                <w:szCs w:val="18"/>
                <w:lang w:eastAsia="es-CL"/>
              </w:rPr>
              <w:t xml:space="preserve">                          591 </w:t>
            </w:r>
          </w:p>
        </w:tc>
      </w:tr>
      <w:tr w:rsidR="00826557" w:rsidRPr="00826557" w:rsidTr="00826557">
        <w:trPr>
          <w:trHeight w:val="300"/>
          <w:jc w:val="center"/>
        </w:trPr>
        <w:tc>
          <w:tcPr>
            <w:tcW w:w="1698" w:type="pct"/>
            <w:gridSpan w:val="2"/>
            <w:tcBorders>
              <w:top w:val="single" w:sz="4" w:space="0" w:color="A6A6A6"/>
              <w:left w:val="single" w:sz="4" w:space="0" w:color="A6A6A6"/>
              <w:bottom w:val="single" w:sz="4" w:space="0" w:color="A6A6A6"/>
              <w:right w:val="single" w:sz="4" w:space="0" w:color="A6A6A6"/>
            </w:tcBorders>
            <w:shd w:val="clear" w:color="000000" w:fill="1F497D"/>
            <w:noWrap/>
            <w:vAlign w:val="bottom"/>
            <w:hideMark/>
          </w:tcPr>
          <w:p w:rsidR="00826557" w:rsidRPr="00826557" w:rsidRDefault="00826557" w:rsidP="00826557">
            <w:pPr>
              <w:spacing w:after="0" w:line="240" w:lineRule="auto"/>
              <w:jc w:val="center"/>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 xml:space="preserve">Total </w:t>
            </w:r>
          </w:p>
        </w:tc>
        <w:tc>
          <w:tcPr>
            <w:tcW w:w="669" w:type="pct"/>
            <w:tcBorders>
              <w:top w:val="nil"/>
              <w:left w:val="nil"/>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right"/>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 xml:space="preserve">2.203  </w:t>
            </w:r>
          </w:p>
        </w:tc>
        <w:tc>
          <w:tcPr>
            <w:tcW w:w="717" w:type="pct"/>
            <w:tcBorders>
              <w:top w:val="nil"/>
              <w:left w:val="nil"/>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right"/>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 xml:space="preserve">2.203  </w:t>
            </w:r>
          </w:p>
        </w:tc>
        <w:tc>
          <w:tcPr>
            <w:tcW w:w="572" w:type="pct"/>
            <w:tcBorders>
              <w:top w:val="nil"/>
              <w:left w:val="nil"/>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right"/>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 xml:space="preserve">4.307  </w:t>
            </w:r>
          </w:p>
        </w:tc>
        <w:tc>
          <w:tcPr>
            <w:tcW w:w="650" w:type="pct"/>
            <w:tcBorders>
              <w:top w:val="nil"/>
              <w:left w:val="nil"/>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right"/>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 xml:space="preserve">1.611  </w:t>
            </w:r>
          </w:p>
        </w:tc>
        <w:tc>
          <w:tcPr>
            <w:tcW w:w="694" w:type="pct"/>
            <w:tcBorders>
              <w:top w:val="nil"/>
              <w:left w:val="nil"/>
              <w:bottom w:val="single" w:sz="4" w:space="0" w:color="A6A6A6"/>
              <w:right w:val="single" w:sz="4" w:space="0" w:color="A6A6A6"/>
            </w:tcBorders>
            <w:shd w:val="clear" w:color="000000" w:fill="1F497D"/>
            <w:vAlign w:val="center"/>
            <w:hideMark/>
          </w:tcPr>
          <w:p w:rsidR="00826557" w:rsidRPr="00826557" w:rsidRDefault="00826557" w:rsidP="00826557">
            <w:pPr>
              <w:spacing w:after="0" w:line="240" w:lineRule="auto"/>
              <w:jc w:val="right"/>
              <w:rPr>
                <w:rFonts w:ascii="Calibri" w:eastAsia="Times New Roman" w:hAnsi="Calibri" w:cs="Times New Roman"/>
                <w:b/>
                <w:bCs/>
                <w:color w:val="FFFFFF"/>
                <w:sz w:val="18"/>
                <w:szCs w:val="18"/>
                <w:lang w:eastAsia="es-CL"/>
              </w:rPr>
            </w:pPr>
            <w:r w:rsidRPr="00826557">
              <w:rPr>
                <w:rFonts w:ascii="Calibri" w:eastAsia="Times New Roman" w:hAnsi="Calibri" w:cs="Times New Roman"/>
                <w:b/>
                <w:bCs/>
                <w:color w:val="FFFFFF"/>
                <w:sz w:val="18"/>
                <w:szCs w:val="18"/>
                <w:lang w:eastAsia="es-CL"/>
              </w:rPr>
              <w:t xml:space="preserve">10.323  </w:t>
            </w:r>
          </w:p>
        </w:tc>
      </w:tr>
    </w:tbl>
    <w:p w:rsidR="00FB3D8B" w:rsidRDefault="00FB3D8B" w:rsidP="00FB3D8B">
      <w:pPr>
        <w:tabs>
          <w:tab w:val="left" w:pos="0"/>
          <w:tab w:val="left" w:pos="6285"/>
        </w:tabs>
        <w:rPr>
          <w:rFonts w:ascii="Calibri" w:hAnsi="Calibri" w:cs="Calibri"/>
          <w:b/>
          <w:sz w:val="18"/>
          <w:szCs w:val="18"/>
        </w:rPr>
      </w:pPr>
      <w:r>
        <w:rPr>
          <w:rFonts w:ascii="Calibri" w:hAnsi="Calibri" w:cs="Calibri"/>
          <w:b/>
          <w:sz w:val="18"/>
          <w:szCs w:val="18"/>
          <w:u w:val="single"/>
        </w:rPr>
        <w:t>N</w:t>
      </w:r>
      <w:r w:rsidRPr="00FF46E3">
        <w:rPr>
          <w:rFonts w:ascii="Calibri" w:hAnsi="Calibri" w:cs="Calibri"/>
          <w:b/>
          <w:sz w:val="18"/>
          <w:szCs w:val="18"/>
          <w:u w:val="single"/>
        </w:rPr>
        <w:t>ota</w:t>
      </w:r>
      <w:r>
        <w:rPr>
          <w:rFonts w:ascii="Calibri" w:hAnsi="Calibri" w:cs="Calibri"/>
          <w:b/>
          <w:sz w:val="18"/>
          <w:szCs w:val="18"/>
        </w:rPr>
        <w:t>: Los 12</w:t>
      </w:r>
      <w:r w:rsidRPr="00FF46E3">
        <w:rPr>
          <w:rFonts w:ascii="Calibri" w:hAnsi="Calibri" w:cs="Calibri"/>
          <w:b/>
          <w:sz w:val="18"/>
          <w:szCs w:val="18"/>
        </w:rPr>
        <w:t xml:space="preserve"> gobiernos regionales y las 1</w:t>
      </w:r>
      <w:r>
        <w:rPr>
          <w:rFonts w:ascii="Calibri" w:hAnsi="Calibri" w:cs="Calibri"/>
          <w:b/>
          <w:sz w:val="18"/>
          <w:szCs w:val="18"/>
        </w:rPr>
        <w:t>7</w:t>
      </w:r>
      <w:r w:rsidRPr="00FF46E3">
        <w:rPr>
          <w:rFonts w:ascii="Calibri" w:hAnsi="Calibri" w:cs="Calibri"/>
          <w:b/>
          <w:sz w:val="18"/>
          <w:szCs w:val="18"/>
        </w:rPr>
        <w:t xml:space="preserve"> municipalidades </w:t>
      </w:r>
      <w:r>
        <w:rPr>
          <w:rFonts w:ascii="Calibri" w:hAnsi="Calibri" w:cs="Calibri"/>
          <w:b/>
          <w:sz w:val="18"/>
          <w:szCs w:val="18"/>
        </w:rPr>
        <w:t>reciben</w:t>
      </w:r>
      <w:r w:rsidRPr="00FF46E3">
        <w:rPr>
          <w:rFonts w:ascii="Calibri" w:hAnsi="Calibri" w:cs="Calibri"/>
          <w:b/>
          <w:sz w:val="18"/>
          <w:szCs w:val="18"/>
        </w:rPr>
        <w:t xml:space="preserve"> los impuestos correspondientes el mes subsiguiente del pago de los mismos por parte de las sociedades operadoras.</w:t>
      </w:r>
      <w:r>
        <w:rPr>
          <w:rFonts w:ascii="Calibri" w:hAnsi="Calibri" w:cs="Calibri"/>
          <w:b/>
          <w:sz w:val="18"/>
          <w:szCs w:val="18"/>
        </w:rPr>
        <w:t xml:space="preserve"> </w:t>
      </w:r>
    </w:p>
    <w:p w:rsidR="00FB3D8B" w:rsidRDefault="00FB3D8B"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AC7932" w:rsidRDefault="00AC7932" w:rsidP="00E0320F">
      <w:pPr>
        <w:tabs>
          <w:tab w:val="left" w:pos="0"/>
        </w:tabs>
        <w:spacing w:after="0" w:line="240" w:lineRule="auto"/>
        <w:rPr>
          <w:rFonts w:ascii="Calibri" w:hAnsi="Calibri" w:cs="Arial"/>
          <w:b/>
          <w:sz w:val="20"/>
          <w:szCs w:val="20"/>
        </w:rPr>
      </w:pPr>
    </w:p>
    <w:p w:rsidR="005B1CCB" w:rsidRDefault="005B1CCB" w:rsidP="00E0320F">
      <w:pPr>
        <w:tabs>
          <w:tab w:val="left" w:pos="0"/>
        </w:tabs>
        <w:spacing w:after="0" w:line="240" w:lineRule="auto"/>
        <w:rPr>
          <w:rFonts w:ascii="Calibri" w:hAnsi="Calibri" w:cs="Arial"/>
          <w:b/>
          <w:sz w:val="20"/>
          <w:szCs w:val="20"/>
        </w:rPr>
      </w:pPr>
    </w:p>
    <w:p w:rsidR="00FB3D8B" w:rsidRPr="00FB3D8B" w:rsidRDefault="00FB3D8B" w:rsidP="00FB3D8B">
      <w:pPr>
        <w:shd w:val="clear" w:color="auto" w:fill="222A35" w:themeFill="text2" w:themeFillShade="80"/>
        <w:tabs>
          <w:tab w:val="left" w:pos="0"/>
        </w:tabs>
        <w:spacing w:after="0" w:line="240" w:lineRule="auto"/>
        <w:rPr>
          <w:rFonts w:ascii="Calibri" w:hAnsi="Calibri" w:cs="Arial"/>
          <w:b/>
        </w:rPr>
      </w:pPr>
      <w:r w:rsidRPr="00FB3D8B">
        <w:rPr>
          <w:rFonts w:ascii="Calibri" w:hAnsi="Calibri" w:cs="Arial"/>
          <w:b/>
          <w:shd w:val="clear" w:color="auto" w:fill="222A35" w:themeFill="text2" w:themeFillShade="80"/>
        </w:rPr>
        <w:t>Casinos de juego municipales</w:t>
      </w:r>
    </w:p>
    <w:p w:rsidR="00FB3D8B" w:rsidRDefault="00FB3D8B" w:rsidP="00E0320F">
      <w:pPr>
        <w:tabs>
          <w:tab w:val="left" w:pos="0"/>
        </w:tabs>
        <w:spacing w:after="0" w:line="240" w:lineRule="auto"/>
        <w:rPr>
          <w:rFonts w:ascii="Calibri" w:hAnsi="Calibri" w:cs="Arial"/>
          <w:b/>
          <w:sz w:val="20"/>
          <w:szCs w:val="20"/>
        </w:rPr>
      </w:pPr>
    </w:p>
    <w:p w:rsidR="00FB3D8B" w:rsidRDefault="00FB3D8B" w:rsidP="00E0320F">
      <w:pPr>
        <w:tabs>
          <w:tab w:val="left" w:pos="0"/>
        </w:tabs>
        <w:spacing w:after="0" w:line="240" w:lineRule="auto"/>
        <w:rPr>
          <w:rFonts w:ascii="Calibri" w:hAnsi="Calibri" w:cs="Arial"/>
          <w:b/>
          <w:sz w:val="20"/>
          <w:szCs w:val="20"/>
        </w:rPr>
      </w:pPr>
    </w:p>
    <w:p w:rsidR="00FB3D8B" w:rsidRPr="001152D3" w:rsidRDefault="00FB3D8B" w:rsidP="00FB3D8B">
      <w:pPr>
        <w:pStyle w:val="Prrafodelista"/>
        <w:numPr>
          <w:ilvl w:val="0"/>
          <w:numId w:val="1"/>
        </w:numPr>
        <w:tabs>
          <w:tab w:val="left" w:pos="0"/>
        </w:tabs>
        <w:ind w:left="0"/>
        <w:rPr>
          <w:b/>
        </w:rPr>
      </w:pPr>
      <w:r w:rsidRPr="00D42C6C">
        <w:rPr>
          <w:b/>
        </w:rPr>
        <w:t>Evolución Mensual ingr</w:t>
      </w:r>
      <w:r>
        <w:rPr>
          <w:b/>
        </w:rPr>
        <w:t xml:space="preserve">esos brutos del juego o </w:t>
      </w:r>
      <w:proofErr w:type="spellStart"/>
      <w:r>
        <w:rPr>
          <w:b/>
        </w:rPr>
        <w:t>win</w:t>
      </w:r>
      <w:proofErr w:type="spellEnd"/>
      <w:r>
        <w:rPr>
          <w:b/>
        </w:rPr>
        <w:t>, valores reales (UF): Año 2015-2016</w:t>
      </w:r>
    </w:p>
    <w:p w:rsidR="00FB3D8B" w:rsidRDefault="00B41AFC" w:rsidP="00FB3D8B">
      <w:pPr>
        <w:pStyle w:val="Prrafodelista"/>
        <w:tabs>
          <w:tab w:val="left" w:pos="0"/>
        </w:tabs>
        <w:ind w:left="0"/>
        <w:rPr>
          <w:b/>
        </w:rPr>
      </w:pPr>
      <w:r>
        <w:rPr>
          <w:b/>
          <w:noProof/>
          <w:lang w:val="es-ES" w:eastAsia="es-ES"/>
        </w:rPr>
        <w:drawing>
          <wp:inline distT="0" distB="0" distL="0" distR="0" wp14:anchorId="049AF17E" wp14:editId="1E20D748">
            <wp:extent cx="5349544" cy="1808328"/>
            <wp:effectExtent l="0" t="0" r="3810" b="190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90290" cy="1822102"/>
                    </a:xfrm>
                    <a:prstGeom prst="rect">
                      <a:avLst/>
                    </a:prstGeom>
                    <a:noFill/>
                  </pic:spPr>
                </pic:pic>
              </a:graphicData>
            </a:graphic>
          </wp:inline>
        </w:drawing>
      </w:r>
    </w:p>
    <w:p w:rsidR="00196290" w:rsidRDefault="00196290" w:rsidP="00FB3D8B">
      <w:pPr>
        <w:pStyle w:val="Prrafodelista"/>
        <w:tabs>
          <w:tab w:val="left" w:pos="0"/>
        </w:tabs>
        <w:ind w:left="0"/>
        <w:rPr>
          <w:b/>
        </w:rPr>
      </w:pPr>
    </w:p>
    <w:p w:rsidR="00196290" w:rsidRDefault="00196290" w:rsidP="00FB3D8B">
      <w:pPr>
        <w:pStyle w:val="Prrafodelista"/>
        <w:tabs>
          <w:tab w:val="left" w:pos="0"/>
        </w:tabs>
        <w:ind w:left="0"/>
        <w:rPr>
          <w:b/>
        </w:rPr>
      </w:pPr>
    </w:p>
    <w:p w:rsidR="00196290" w:rsidRDefault="00196290" w:rsidP="00FB3D8B">
      <w:pPr>
        <w:pStyle w:val="Prrafodelista"/>
        <w:tabs>
          <w:tab w:val="left" w:pos="0"/>
        </w:tabs>
        <w:ind w:left="0"/>
        <w:rPr>
          <w:b/>
        </w:rPr>
      </w:pPr>
    </w:p>
    <w:p w:rsidR="00FB3D8B" w:rsidRPr="001E2D5F" w:rsidRDefault="00FB3D8B" w:rsidP="00FB3D8B">
      <w:pPr>
        <w:pStyle w:val="Prrafodelista"/>
        <w:tabs>
          <w:tab w:val="left" w:pos="0"/>
        </w:tabs>
        <w:ind w:left="0"/>
        <w:rPr>
          <w:b/>
        </w:rPr>
      </w:pPr>
    </w:p>
    <w:p w:rsidR="00FB3D8B" w:rsidRDefault="00FB3D8B" w:rsidP="00FB3D8B">
      <w:pPr>
        <w:pStyle w:val="Prrafodelista"/>
        <w:numPr>
          <w:ilvl w:val="0"/>
          <w:numId w:val="1"/>
        </w:numPr>
        <w:tabs>
          <w:tab w:val="left" w:pos="0"/>
          <w:tab w:val="left" w:pos="6285"/>
        </w:tabs>
        <w:ind w:left="0"/>
        <w:jc w:val="left"/>
        <w:rPr>
          <w:b/>
          <w:sz w:val="21"/>
          <w:szCs w:val="21"/>
        </w:rPr>
      </w:pPr>
      <w:r w:rsidRPr="003D15B6">
        <w:rPr>
          <w:b/>
          <w:sz w:val="21"/>
          <w:szCs w:val="21"/>
        </w:rPr>
        <w:t xml:space="preserve">Ingresos brutos del juego o </w:t>
      </w:r>
      <w:proofErr w:type="spellStart"/>
      <w:r w:rsidRPr="003D15B6">
        <w:rPr>
          <w:b/>
          <w:sz w:val="21"/>
          <w:szCs w:val="21"/>
        </w:rPr>
        <w:t>win</w:t>
      </w:r>
      <w:proofErr w:type="spellEnd"/>
      <w:r w:rsidRPr="003D15B6">
        <w:rPr>
          <w:b/>
          <w:sz w:val="21"/>
          <w:szCs w:val="21"/>
        </w:rPr>
        <w:t xml:space="preserve"> en valores nominales ($) y reales (UF)</w:t>
      </w:r>
      <w:r>
        <w:rPr>
          <w:b/>
          <w:sz w:val="21"/>
          <w:szCs w:val="21"/>
        </w:rPr>
        <w:t>: Año 2015</w:t>
      </w:r>
      <w:r w:rsidRPr="003D15B6">
        <w:rPr>
          <w:b/>
          <w:sz w:val="21"/>
          <w:szCs w:val="21"/>
        </w:rPr>
        <w:t>-201</w:t>
      </w:r>
      <w:r>
        <w:rPr>
          <w:b/>
          <w:sz w:val="21"/>
          <w:szCs w:val="21"/>
        </w:rPr>
        <w:t>6</w:t>
      </w:r>
    </w:p>
    <w:p w:rsidR="003B0C64" w:rsidRDefault="003B0C64" w:rsidP="003B0C64">
      <w:pPr>
        <w:pStyle w:val="Prrafodelista"/>
        <w:tabs>
          <w:tab w:val="left" w:pos="0"/>
          <w:tab w:val="left" w:pos="6285"/>
        </w:tabs>
        <w:ind w:left="0"/>
        <w:jc w:val="left"/>
        <w:rPr>
          <w:b/>
          <w:sz w:val="21"/>
          <w:szCs w:val="21"/>
        </w:rPr>
      </w:pPr>
    </w:p>
    <w:tbl>
      <w:tblPr>
        <w:tblW w:w="0" w:type="auto"/>
        <w:tblLayout w:type="fixed"/>
        <w:tblCellMar>
          <w:left w:w="70" w:type="dxa"/>
          <w:right w:w="70" w:type="dxa"/>
        </w:tblCellMar>
        <w:tblLook w:val="04A0" w:firstRow="1" w:lastRow="0" w:firstColumn="1" w:lastColumn="0" w:noHBand="0" w:noVBand="1"/>
      </w:tblPr>
      <w:tblGrid>
        <w:gridCol w:w="1276"/>
        <w:gridCol w:w="567"/>
        <w:gridCol w:w="586"/>
        <w:gridCol w:w="762"/>
        <w:gridCol w:w="637"/>
        <w:gridCol w:w="708"/>
        <w:gridCol w:w="686"/>
        <w:gridCol w:w="538"/>
        <w:gridCol w:w="549"/>
        <w:gridCol w:w="549"/>
        <w:gridCol w:w="549"/>
        <w:gridCol w:w="507"/>
        <w:gridCol w:w="580"/>
      </w:tblGrid>
      <w:tr w:rsidR="00DB1263" w:rsidRPr="00CA6263" w:rsidTr="00DB1263">
        <w:trPr>
          <w:trHeight w:val="240"/>
        </w:trPr>
        <w:tc>
          <w:tcPr>
            <w:tcW w:w="1276" w:type="dxa"/>
            <w:tcBorders>
              <w:top w:val="nil"/>
              <w:left w:val="nil"/>
              <w:bottom w:val="nil"/>
              <w:right w:val="nil"/>
            </w:tcBorders>
            <w:shd w:val="clear" w:color="auto" w:fill="auto"/>
            <w:noWrap/>
            <w:vAlign w:val="bottom"/>
            <w:hideMark/>
          </w:tcPr>
          <w:p w:rsidR="00FB3D8B" w:rsidRPr="00CA6263" w:rsidRDefault="00FB3D8B" w:rsidP="00DE53E5">
            <w:pPr>
              <w:spacing w:after="0" w:line="240" w:lineRule="auto"/>
              <w:jc w:val="left"/>
              <w:rPr>
                <w:rFonts w:ascii="Times New Roman" w:eastAsia="Times New Roman" w:hAnsi="Times New Roman" w:cs="Times New Roman"/>
                <w:sz w:val="24"/>
                <w:szCs w:val="24"/>
                <w:lang w:eastAsia="es-CL"/>
              </w:rPr>
            </w:pPr>
          </w:p>
        </w:tc>
        <w:tc>
          <w:tcPr>
            <w:tcW w:w="567" w:type="dxa"/>
            <w:tcBorders>
              <w:top w:val="single" w:sz="8" w:space="0" w:color="auto"/>
              <w:left w:val="single" w:sz="8" w:space="0" w:color="auto"/>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Ene</w:t>
            </w:r>
          </w:p>
        </w:tc>
        <w:tc>
          <w:tcPr>
            <w:tcW w:w="586"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Feb</w:t>
            </w:r>
          </w:p>
        </w:tc>
        <w:tc>
          <w:tcPr>
            <w:tcW w:w="762"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Mar</w:t>
            </w:r>
          </w:p>
        </w:tc>
        <w:tc>
          <w:tcPr>
            <w:tcW w:w="637"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Abr</w:t>
            </w:r>
          </w:p>
        </w:tc>
        <w:tc>
          <w:tcPr>
            <w:tcW w:w="708"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proofErr w:type="spellStart"/>
            <w:r w:rsidRPr="00CA6263">
              <w:rPr>
                <w:rFonts w:ascii="Calibri" w:eastAsia="Times New Roman" w:hAnsi="Calibri" w:cs="Times New Roman"/>
                <w:b/>
                <w:bCs/>
                <w:color w:val="FFFFFF"/>
                <w:sz w:val="12"/>
                <w:szCs w:val="12"/>
                <w:lang w:eastAsia="es-CL"/>
              </w:rPr>
              <w:t>May</w:t>
            </w:r>
            <w:proofErr w:type="spellEnd"/>
          </w:p>
        </w:tc>
        <w:tc>
          <w:tcPr>
            <w:tcW w:w="686"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Jun</w:t>
            </w:r>
          </w:p>
        </w:tc>
        <w:tc>
          <w:tcPr>
            <w:tcW w:w="538"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Jul</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proofErr w:type="spellStart"/>
            <w:r w:rsidRPr="00CA6263">
              <w:rPr>
                <w:rFonts w:ascii="Calibri" w:eastAsia="Times New Roman" w:hAnsi="Calibri" w:cs="Times New Roman"/>
                <w:b/>
                <w:bCs/>
                <w:color w:val="FFFFFF"/>
                <w:sz w:val="12"/>
                <w:szCs w:val="12"/>
                <w:lang w:eastAsia="es-CL"/>
              </w:rPr>
              <w:t>Ago</w:t>
            </w:r>
            <w:proofErr w:type="spellEnd"/>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Sep</w:t>
            </w:r>
          </w:p>
        </w:tc>
        <w:tc>
          <w:tcPr>
            <w:tcW w:w="549"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Oct</w:t>
            </w:r>
          </w:p>
        </w:tc>
        <w:tc>
          <w:tcPr>
            <w:tcW w:w="507"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Nov</w:t>
            </w:r>
          </w:p>
        </w:tc>
        <w:tc>
          <w:tcPr>
            <w:tcW w:w="580" w:type="dxa"/>
            <w:tcBorders>
              <w:top w:val="single" w:sz="8" w:space="0" w:color="auto"/>
              <w:left w:val="nil"/>
              <w:bottom w:val="single" w:sz="8" w:space="0" w:color="auto"/>
              <w:right w:val="single" w:sz="8" w:space="0" w:color="auto"/>
            </w:tcBorders>
            <w:shd w:val="clear" w:color="000000" w:fill="0F243E"/>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Dic</w:t>
            </w:r>
          </w:p>
        </w:tc>
      </w:tr>
      <w:tr w:rsidR="00FB3D8B" w:rsidRPr="00CA6263"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 millones)</w:t>
            </w:r>
          </w:p>
        </w:tc>
      </w:tr>
      <w:tr w:rsidR="00FB3D8B" w:rsidRPr="00CA6263"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NOMINALES</w:t>
            </w:r>
          </w:p>
        </w:tc>
      </w:tr>
      <w:tr w:rsidR="00DB1263" w:rsidRPr="00CA6263" w:rsidTr="00DB1263">
        <w:trPr>
          <w:trHeight w:val="551"/>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41AFC" w:rsidRPr="00084B20" w:rsidRDefault="00B41AFC" w:rsidP="00B41AFC">
            <w:pPr>
              <w:spacing w:line="240" w:lineRule="auto"/>
              <w:jc w:val="left"/>
              <w:rPr>
                <w:rFonts w:ascii="Calibri" w:hAnsi="Calibri"/>
                <w:color w:val="000000"/>
                <w:sz w:val="10"/>
                <w:szCs w:val="12"/>
              </w:rPr>
            </w:pPr>
            <w:r w:rsidRPr="00084B20">
              <w:rPr>
                <w:rFonts w:ascii="Calibri" w:hAnsi="Calibri"/>
                <w:color w:val="000000"/>
                <w:sz w:val="10"/>
                <w:szCs w:val="12"/>
              </w:rPr>
              <w:t>WIN Enero 2015-Octubre 2015 ($ millones)</w:t>
            </w:r>
          </w:p>
        </w:tc>
        <w:tc>
          <w:tcPr>
            <w:tcW w:w="567"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14.090 </w:t>
            </w:r>
          </w:p>
        </w:tc>
        <w:tc>
          <w:tcPr>
            <w:tcW w:w="586"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13.956 </w:t>
            </w:r>
          </w:p>
        </w:tc>
        <w:tc>
          <w:tcPr>
            <w:tcW w:w="762"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10.453 </w:t>
            </w:r>
          </w:p>
        </w:tc>
        <w:tc>
          <w:tcPr>
            <w:tcW w:w="637"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11.011 </w:t>
            </w:r>
          </w:p>
        </w:tc>
        <w:tc>
          <w:tcPr>
            <w:tcW w:w="708"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11.298 </w:t>
            </w:r>
          </w:p>
        </w:tc>
        <w:tc>
          <w:tcPr>
            <w:tcW w:w="686"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10.033 </w:t>
            </w:r>
          </w:p>
        </w:tc>
        <w:tc>
          <w:tcPr>
            <w:tcW w:w="538"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11.478 </w:t>
            </w:r>
          </w:p>
        </w:tc>
        <w:tc>
          <w:tcPr>
            <w:tcW w:w="549"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10.400 </w:t>
            </w:r>
          </w:p>
        </w:tc>
        <w:tc>
          <w:tcPr>
            <w:tcW w:w="549"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10.084 </w:t>
            </w:r>
          </w:p>
        </w:tc>
        <w:tc>
          <w:tcPr>
            <w:tcW w:w="549"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10.987 </w:t>
            </w:r>
          </w:p>
        </w:tc>
        <w:tc>
          <w:tcPr>
            <w:tcW w:w="507"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w:t>
            </w:r>
          </w:p>
        </w:tc>
        <w:tc>
          <w:tcPr>
            <w:tcW w:w="580"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w:t>
            </w:r>
          </w:p>
        </w:tc>
      </w:tr>
      <w:tr w:rsidR="00DB1263"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41AFC" w:rsidRPr="00084B20" w:rsidRDefault="00B41AFC" w:rsidP="00B41AFC">
            <w:pPr>
              <w:jc w:val="left"/>
              <w:rPr>
                <w:rFonts w:ascii="Calibri" w:hAnsi="Calibri"/>
                <w:color w:val="000000"/>
                <w:sz w:val="10"/>
                <w:szCs w:val="12"/>
              </w:rPr>
            </w:pPr>
            <w:r w:rsidRPr="00084B20">
              <w:rPr>
                <w:rFonts w:ascii="Calibri" w:hAnsi="Calibri"/>
                <w:color w:val="000000"/>
                <w:sz w:val="10"/>
                <w:szCs w:val="12"/>
              </w:rPr>
              <w:t>WIN Enero 2016-Octubre 2016 ($ millones)</w:t>
            </w:r>
          </w:p>
        </w:tc>
        <w:tc>
          <w:tcPr>
            <w:tcW w:w="567"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14.721 </w:t>
            </w:r>
          </w:p>
        </w:tc>
        <w:tc>
          <w:tcPr>
            <w:tcW w:w="586"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16.670 </w:t>
            </w:r>
          </w:p>
        </w:tc>
        <w:tc>
          <w:tcPr>
            <w:tcW w:w="762"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12.584 </w:t>
            </w:r>
          </w:p>
        </w:tc>
        <w:tc>
          <w:tcPr>
            <w:tcW w:w="637"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11.067 </w:t>
            </w:r>
          </w:p>
        </w:tc>
        <w:tc>
          <w:tcPr>
            <w:tcW w:w="708"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11.083 </w:t>
            </w:r>
          </w:p>
        </w:tc>
        <w:tc>
          <w:tcPr>
            <w:tcW w:w="686"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10.675 </w:t>
            </w:r>
          </w:p>
        </w:tc>
        <w:tc>
          <w:tcPr>
            <w:tcW w:w="538"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12.648 </w:t>
            </w:r>
          </w:p>
        </w:tc>
        <w:tc>
          <w:tcPr>
            <w:tcW w:w="549"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11.041 </w:t>
            </w:r>
          </w:p>
        </w:tc>
        <w:tc>
          <w:tcPr>
            <w:tcW w:w="549" w:type="dxa"/>
            <w:tcBorders>
              <w:top w:val="nil"/>
              <w:left w:val="nil"/>
              <w:bottom w:val="single" w:sz="8" w:space="0" w:color="auto"/>
              <w:right w:val="single" w:sz="8" w:space="0" w:color="auto"/>
            </w:tcBorders>
            <w:shd w:val="clear" w:color="000000" w:fill="DCE6F1"/>
            <w:noWrap/>
            <w:vAlign w:val="bottom"/>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11.455 </w:t>
            </w:r>
          </w:p>
        </w:tc>
        <w:tc>
          <w:tcPr>
            <w:tcW w:w="549" w:type="dxa"/>
            <w:tcBorders>
              <w:top w:val="nil"/>
              <w:left w:val="nil"/>
              <w:bottom w:val="single" w:sz="8" w:space="0" w:color="auto"/>
              <w:right w:val="single" w:sz="8" w:space="0" w:color="auto"/>
            </w:tcBorders>
            <w:shd w:val="clear" w:color="000000" w:fill="DCE6F1"/>
            <w:noWrap/>
            <w:vAlign w:val="bottom"/>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11.961 </w:t>
            </w:r>
          </w:p>
        </w:tc>
        <w:tc>
          <w:tcPr>
            <w:tcW w:w="507" w:type="dxa"/>
            <w:tcBorders>
              <w:top w:val="nil"/>
              <w:left w:val="nil"/>
              <w:bottom w:val="single" w:sz="8" w:space="0" w:color="auto"/>
              <w:right w:val="single" w:sz="8" w:space="0" w:color="auto"/>
            </w:tcBorders>
            <w:shd w:val="clear" w:color="000000" w:fill="DCE6F1"/>
            <w:noWrap/>
            <w:vAlign w:val="bottom"/>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   </w:t>
            </w:r>
          </w:p>
        </w:tc>
        <w:tc>
          <w:tcPr>
            <w:tcW w:w="580" w:type="dxa"/>
            <w:tcBorders>
              <w:top w:val="nil"/>
              <w:left w:val="nil"/>
              <w:bottom w:val="single" w:sz="8" w:space="0" w:color="auto"/>
              <w:right w:val="single" w:sz="8" w:space="0" w:color="auto"/>
            </w:tcBorders>
            <w:shd w:val="clear" w:color="000000" w:fill="DCE6F1"/>
            <w:noWrap/>
            <w:vAlign w:val="bottom"/>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xml:space="preserve">                                 -   </w:t>
            </w:r>
          </w:p>
        </w:tc>
      </w:tr>
      <w:tr w:rsidR="00DB1263"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B41AFC" w:rsidRPr="00084B20" w:rsidRDefault="00B41AFC" w:rsidP="00B41AFC">
            <w:pPr>
              <w:jc w:val="left"/>
              <w:rPr>
                <w:rFonts w:ascii="Calibri" w:hAnsi="Calibri"/>
                <w:color w:val="000000"/>
                <w:sz w:val="10"/>
                <w:szCs w:val="12"/>
              </w:rPr>
            </w:pPr>
            <w:r w:rsidRPr="00084B20">
              <w:rPr>
                <w:rFonts w:ascii="Calibri" w:hAnsi="Calibri"/>
                <w:color w:val="000000"/>
                <w:sz w:val="10"/>
                <w:szCs w:val="12"/>
              </w:rPr>
              <w:t xml:space="preserve">Crecimiento </w:t>
            </w:r>
            <w:proofErr w:type="spellStart"/>
            <w:r w:rsidRPr="00084B20">
              <w:rPr>
                <w:rFonts w:ascii="Calibri" w:hAnsi="Calibri"/>
                <w:color w:val="000000"/>
                <w:sz w:val="10"/>
                <w:szCs w:val="12"/>
              </w:rPr>
              <w:t>Win</w:t>
            </w:r>
            <w:proofErr w:type="spellEnd"/>
            <w:r w:rsidRPr="00084B20">
              <w:rPr>
                <w:rFonts w:ascii="Calibri" w:hAnsi="Calibri"/>
                <w:color w:val="000000"/>
                <w:sz w:val="10"/>
                <w:szCs w:val="12"/>
              </w:rPr>
              <w:t xml:space="preserve"> </w:t>
            </w:r>
            <w:r w:rsidRPr="00084B20">
              <w:rPr>
                <w:rFonts w:ascii="Calibri" w:hAnsi="Calibri"/>
                <w:b/>
                <w:bCs/>
                <w:color w:val="000000"/>
                <w:sz w:val="10"/>
                <w:szCs w:val="12"/>
              </w:rPr>
              <w:t>Nominal</w:t>
            </w:r>
          </w:p>
        </w:tc>
        <w:tc>
          <w:tcPr>
            <w:tcW w:w="567"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4,5%</w:t>
            </w:r>
          </w:p>
        </w:tc>
        <w:tc>
          <w:tcPr>
            <w:tcW w:w="586"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19,5%</w:t>
            </w:r>
          </w:p>
        </w:tc>
        <w:tc>
          <w:tcPr>
            <w:tcW w:w="762"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20,4%</w:t>
            </w:r>
          </w:p>
        </w:tc>
        <w:tc>
          <w:tcPr>
            <w:tcW w:w="637"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0,5%</w:t>
            </w:r>
          </w:p>
        </w:tc>
        <w:tc>
          <w:tcPr>
            <w:tcW w:w="708"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-1,9%</w:t>
            </w:r>
          </w:p>
        </w:tc>
        <w:tc>
          <w:tcPr>
            <w:tcW w:w="686"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6,4%</w:t>
            </w:r>
          </w:p>
        </w:tc>
        <w:tc>
          <w:tcPr>
            <w:tcW w:w="538"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10,2%</w:t>
            </w:r>
          </w:p>
        </w:tc>
        <w:tc>
          <w:tcPr>
            <w:tcW w:w="549" w:type="dxa"/>
            <w:tcBorders>
              <w:top w:val="nil"/>
              <w:left w:val="nil"/>
              <w:bottom w:val="single" w:sz="8" w:space="0" w:color="auto"/>
              <w:right w:val="single" w:sz="8" w:space="0" w:color="auto"/>
            </w:tcBorders>
            <w:shd w:val="clear" w:color="000000" w:fill="DCE6F1"/>
            <w:noWrap/>
            <w:vAlign w:val="bottom"/>
            <w:hideMark/>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6,2%</w:t>
            </w:r>
          </w:p>
        </w:tc>
        <w:tc>
          <w:tcPr>
            <w:tcW w:w="549" w:type="dxa"/>
            <w:tcBorders>
              <w:top w:val="nil"/>
              <w:left w:val="nil"/>
              <w:bottom w:val="single" w:sz="8" w:space="0" w:color="auto"/>
              <w:right w:val="single" w:sz="8" w:space="0" w:color="auto"/>
            </w:tcBorders>
            <w:shd w:val="clear" w:color="000000" w:fill="DCE6F1"/>
            <w:noWrap/>
            <w:vAlign w:val="bottom"/>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13,6%</w:t>
            </w:r>
          </w:p>
        </w:tc>
        <w:tc>
          <w:tcPr>
            <w:tcW w:w="549" w:type="dxa"/>
            <w:tcBorders>
              <w:top w:val="nil"/>
              <w:left w:val="nil"/>
              <w:bottom w:val="single" w:sz="8" w:space="0" w:color="auto"/>
              <w:right w:val="single" w:sz="8" w:space="0" w:color="auto"/>
            </w:tcBorders>
            <w:shd w:val="clear" w:color="000000" w:fill="DCE6F1"/>
            <w:noWrap/>
            <w:vAlign w:val="bottom"/>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8,9%</w:t>
            </w:r>
          </w:p>
        </w:tc>
        <w:tc>
          <w:tcPr>
            <w:tcW w:w="507" w:type="dxa"/>
            <w:tcBorders>
              <w:top w:val="nil"/>
              <w:left w:val="nil"/>
              <w:bottom w:val="single" w:sz="8" w:space="0" w:color="auto"/>
              <w:right w:val="single" w:sz="8" w:space="0" w:color="auto"/>
            </w:tcBorders>
            <w:shd w:val="clear" w:color="000000" w:fill="DCE6F1"/>
            <w:noWrap/>
            <w:vAlign w:val="bottom"/>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w:t>
            </w:r>
          </w:p>
        </w:tc>
        <w:tc>
          <w:tcPr>
            <w:tcW w:w="580" w:type="dxa"/>
            <w:tcBorders>
              <w:top w:val="nil"/>
              <w:left w:val="nil"/>
              <w:bottom w:val="single" w:sz="8" w:space="0" w:color="auto"/>
              <w:right w:val="single" w:sz="8" w:space="0" w:color="auto"/>
            </w:tcBorders>
            <w:shd w:val="clear" w:color="000000" w:fill="DCE6F1"/>
            <w:noWrap/>
            <w:vAlign w:val="bottom"/>
          </w:tcPr>
          <w:p w:rsidR="00B41AFC" w:rsidRPr="00084B20" w:rsidRDefault="00B41AFC" w:rsidP="00B41AFC">
            <w:pPr>
              <w:jc w:val="center"/>
              <w:rPr>
                <w:rFonts w:ascii="Calibri" w:hAnsi="Calibri"/>
                <w:color w:val="000000"/>
                <w:sz w:val="10"/>
                <w:szCs w:val="12"/>
              </w:rPr>
            </w:pPr>
            <w:r w:rsidRPr="00084B20">
              <w:rPr>
                <w:rFonts w:ascii="Calibri" w:hAnsi="Calibri"/>
                <w:color w:val="000000"/>
                <w:sz w:val="10"/>
                <w:szCs w:val="12"/>
              </w:rPr>
              <w:t> </w:t>
            </w:r>
          </w:p>
        </w:tc>
      </w:tr>
      <w:tr w:rsidR="00FB3D8B" w:rsidRPr="00CA6263" w:rsidTr="00DB1263">
        <w:trPr>
          <w:trHeight w:val="195"/>
        </w:trPr>
        <w:tc>
          <w:tcPr>
            <w:tcW w:w="7914"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FB3D8B" w:rsidRPr="00084B20" w:rsidRDefault="00FB3D8B" w:rsidP="00DE53E5">
            <w:pPr>
              <w:spacing w:after="0" w:line="240" w:lineRule="auto"/>
              <w:jc w:val="left"/>
              <w:rPr>
                <w:rFonts w:ascii="Calibri" w:eastAsia="Times New Roman" w:hAnsi="Calibri" w:cs="Times New Roman"/>
                <w:b/>
                <w:bCs/>
                <w:color w:val="000000"/>
                <w:sz w:val="10"/>
                <w:szCs w:val="12"/>
                <w:lang w:eastAsia="es-CL"/>
              </w:rPr>
            </w:pPr>
            <w:r w:rsidRPr="00084B20">
              <w:rPr>
                <w:rFonts w:ascii="Calibri" w:eastAsia="Times New Roman" w:hAnsi="Calibri" w:cs="Times New Roman"/>
                <w:b/>
                <w:bCs/>
                <w:color w:val="000000"/>
                <w:sz w:val="10"/>
                <w:szCs w:val="12"/>
                <w:lang w:eastAsia="es-CL"/>
              </w:rPr>
              <w:t xml:space="preserve">Crecimiento </w:t>
            </w:r>
            <w:proofErr w:type="spellStart"/>
            <w:r w:rsidRPr="00084B20">
              <w:rPr>
                <w:rFonts w:ascii="Calibri" w:eastAsia="Times New Roman" w:hAnsi="Calibri" w:cs="Times New Roman"/>
                <w:b/>
                <w:bCs/>
                <w:color w:val="000000"/>
                <w:sz w:val="10"/>
                <w:szCs w:val="12"/>
                <w:lang w:eastAsia="es-CL"/>
              </w:rPr>
              <w:t>Win</w:t>
            </w:r>
            <w:proofErr w:type="spellEnd"/>
            <w:r w:rsidRPr="00084B20">
              <w:rPr>
                <w:rFonts w:ascii="Calibri" w:eastAsia="Times New Roman" w:hAnsi="Calibri" w:cs="Times New Roman"/>
                <w:b/>
                <w:bCs/>
                <w:color w:val="000000"/>
                <w:sz w:val="10"/>
                <w:szCs w:val="12"/>
                <w:lang w:eastAsia="es-CL"/>
              </w:rPr>
              <w:t xml:space="preserve"> Nominal (Anual)</w:t>
            </w:r>
          </w:p>
        </w:tc>
        <w:tc>
          <w:tcPr>
            <w:tcW w:w="580" w:type="dxa"/>
            <w:tcBorders>
              <w:top w:val="nil"/>
              <w:left w:val="nil"/>
              <w:bottom w:val="single" w:sz="8" w:space="0" w:color="auto"/>
              <w:right w:val="single" w:sz="8" w:space="0" w:color="auto"/>
            </w:tcBorders>
            <w:shd w:val="clear" w:color="000000" w:fill="DCE6F1"/>
            <w:noWrap/>
            <w:vAlign w:val="bottom"/>
            <w:hideMark/>
          </w:tcPr>
          <w:p w:rsidR="00FB3D8B" w:rsidRPr="00084B20" w:rsidRDefault="00FB3D8B" w:rsidP="00DE53E5">
            <w:pPr>
              <w:spacing w:after="0" w:line="240" w:lineRule="auto"/>
              <w:jc w:val="center"/>
              <w:rPr>
                <w:rFonts w:ascii="Calibri" w:eastAsia="Times New Roman" w:hAnsi="Calibri" w:cs="Times New Roman"/>
                <w:color w:val="000000"/>
                <w:sz w:val="10"/>
                <w:szCs w:val="12"/>
                <w:lang w:eastAsia="es-CL"/>
              </w:rPr>
            </w:pPr>
            <w:r w:rsidRPr="00084B20">
              <w:rPr>
                <w:rFonts w:ascii="Calibri" w:eastAsia="Times New Roman" w:hAnsi="Calibri" w:cs="Times New Roman"/>
                <w:color w:val="000000"/>
                <w:sz w:val="10"/>
                <w:szCs w:val="12"/>
                <w:lang w:eastAsia="es-CL"/>
              </w:rPr>
              <w:t>8,9%</w:t>
            </w:r>
          </w:p>
        </w:tc>
      </w:tr>
      <w:tr w:rsidR="00FB3D8B" w:rsidRPr="00CA6263" w:rsidTr="00DB1263">
        <w:trPr>
          <w:trHeight w:val="195"/>
        </w:trPr>
        <w:tc>
          <w:tcPr>
            <w:tcW w:w="8494" w:type="dxa"/>
            <w:gridSpan w:val="13"/>
            <w:tcBorders>
              <w:top w:val="single" w:sz="8" w:space="0" w:color="auto"/>
              <w:left w:val="single" w:sz="8" w:space="0" w:color="auto"/>
              <w:bottom w:val="single" w:sz="8" w:space="0" w:color="auto"/>
              <w:right w:val="single" w:sz="8" w:space="0" w:color="000000"/>
            </w:tcBorders>
            <w:shd w:val="clear" w:color="000000" w:fill="36609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 xml:space="preserve">Ingresos brutos del juego o </w:t>
            </w:r>
            <w:proofErr w:type="spellStart"/>
            <w:r w:rsidRPr="00CA6263">
              <w:rPr>
                <w:rFonts w:ascii="Calibri" w:eastAsia="Times New Roman" w:hAnsi="Calibri" w:cs="Times New Roman"/>
                <w:b/>
                <w:bCs/>
                <w:color w:val="FFFFFF"/>
                <w:sz w:val="12"/>
                <w:szCs w:val="12"/>
                <w:lang w:eastAsia="es-CL"/>
              </w:rPr>
              <w:t>win</w:t>
            </w:r>
            <w:proofErr w:type="spellEnd"/>
            <w:r w:rsidRPr="00CA6263">
              <w:rPr>
                <w:rFonts w:ascii="Calibri" w:eastAsia="Times New Roman" w:hAnsi="Calibri" w:cs="Times New Roman"/>
                <w:b/>
                <w:bCs/>
                <w:color w:val="FFFFFF"/>
                <w:sz w:val="12"/>
                <w:szCs w:val="12"/>
                <w:lang w:eastAsia="es-CL"/>
              </w:rPr>
              <w:t xml:space="preserve"> (U.F.)</w:t>
            </w:r>
          </w:p>
        </w:tc>
      </w:tr>
      <w:tr w:rsidR="00FB3D8B" w:rsidRPr="00CA6263" w:rsidTr="00DB1263">
        <w:trPr>
          <w:trHeight w:val="180"/>
        </w:trPr>
        <w:tc>
          <w:tcPr>
            <w:tcW w:w="8494" w:type="dxa"/>
            <w:gridSpan w:val="13"/>
            <w:tcBorders>
              <w:top w:val="single" w:sz="8" w:space="0" w:color="auto"/>
              <w:left w:val="single" w:sz="8" w:space="0" w:color="auto"/>
              <w:bottom w:val="nil"/>
              <w:right w:val="single" w:sz="8" w:space="0" w:color="000000"/>
            </w:tcBorders>
            <w:shd w:val="clear" w:color="000000" w:fill="244062"/>
            <w:noWrap/>
            <w:vAlign w:val="bottom"/>
            <w:hideMark/>
          </w:tcPr>
          <w:p w:rsidR="00FB3D8B" w:rsidRPr="00CA6263" w:rsidRDefault="00FB3D8B" w:rsidP="00DE53E5">
            <w:pPr>
              <w:spacing w:after="0" w:line="240" w:lineRule="auto"/>
              <w:jc w:val="center"/>
              <w:rPr>
                <w:rFonts w:ascii="Calibri" w:eastAsia="Times New Roman" w:hAnsi="Calibri" w:cs="Times New Roman"/>
                <w:b/>
                <w:bCs/>
                <w:color w:val="FFFFFF"/>
                <w:sz w:val="12"/>
                <w:szCs w:val="12"/>
                <w:lang w:eastAsia="es-CL"/>
              </w:rPr>
            </w:pPr>
            <w:r w:rsidRPr="00CA6263">
              <w:rPr>
                <w:rFonts w:ascii="Calibri" w:eastAsia="Times New Roman" w:hAnsi="Calibri" w:cs="Times New Roman"/>
                <w:b/>
                <w:bCs/>
                <w:color w:val="FFFFFF"/>
                <w:sz w:val="12"/>
                <w:szCs w:val="12"/>
                <w:lang w:eastAsia="es-CL"/>
              </w:rPr>
              <w:t>VALORES REALES</w:t>
            </w:r>
          </w:p>
        </w:tc>
      </w:tr>
      <w:tr w:rsidR="00DB1263"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084B20" w:rsidRPr="00084B20" w:rsidRDefault="00084B20" w:rsidP="00084B20">
            <w:pPr>
              <w:spacing w:line="240" w:lineRule="auto"/>
              <w:jc w:val="left"/>
              <w:rPr>
                <w:rFonts w:ascii="Calibri" w:hAnsi="Calibri"/>
                <w:color w:val="000000"/>
                <w:sz w:val="10"/>
                <w:szCs w:val="12"/>
              </w:rPr>
            </w:pPr>
            <w:r w:rsidRPr="00084B20">
              <w:rPr>
                <w:rFonts w:ascii="Calibri" w:hAnsi="Calibri"/>
                <w:color w:val="000000"/>
                <w:sz w:val="10"/>
                <w:szCs w:val="12"/>
              </w:rPr>
              <w:t>WIN Enero 2015-Octubre 2015 (UF)</w:t>
            </w:r>
          </w:p>
        </w:tc>
        <w:tc>
          <w:tcPr>
            <w:tcW w:w="567"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573.750 </w:t>
            </w:r>
          </w:p>
        </w:tc>
        <w:tc>
          <w:tcPr>
            <w:tcW w:w="586"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568.573 </w:t>
            </w:r>
          </w:p>
        </w:tc>
        <w:tc>
          <w:tcPr>
            <w:tcW w:w="762"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424.455 </w:t>
            </w:r>
          </w:p>
        </w:tc>
        <w:tc>
          <w:tcPr>
            <w:tcW w:w="637"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448.395 </w:t>
            </w:r>
          </w:p>
        </w:tc>
        <w:tc>
          <w:tcPr>
            <w:tcW w:w="708"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460.288 </w:t>
            </w:r>
          </w:p>
        </w:tc>
        <w:tc>
          <w:tcPr>
            <w:tcW w:w="686"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407.487 </w:t>
            </w:r>
          </w:p>
        </w:tc>
        <w:tc>
          <w:tcPr>
            <w:tcW w:w="538"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463.665 </w:t>
            </w:r>
          </w:p>
        </w:tc>
        <w:tc>
          <w:tcPr>
            <w:tcW w:w="549"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417.600 </w:t>
            </w:r>
          </w:p>
        </w:tc>
        <w:tc>
          <w:tcPr>
            <w:tcW w:w="549"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403.625 </w:t>
            </w:r>
          </w:p>
        </w:tc>
        <w:tc>
          <w:tcPr>
            <w:tcW w:w="549" w:type="dxa"/>
            <w:tcBorders>
              <w:top w:val="nil"/>
              <w:left w:val="nil"/>
              <w:bottom w:val="single" w:sz="8" w:space="0" w:color="auto"/>
              <w:right w:val="single" w:sz="8" w:space="0" w:color="auto"/>
            </w:tcBorders>
            <w:shd w:val="clear" w:color="000000" w:fill="DCE6F1"/>
            <w:noWrap/>
            <w:vAlign w:val="bottom"/>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437.971 </w:t>
            </w:r>
          </w:p>
        </w:tc>
        <w:tc>
          <w:tcPr>
            <w:tcW w:w="507" w:type="dxa"/>
            <w:tcBorders>
              <w:top w:val="nil"/>
              <w:left w:val="nil"/>
              <w:bottom w:val="single" w:sz="8" w:space="0" w:color="auto"/>
              <w:right w:val="single" w:sz="8" w:space="0" w:color="auto"/>
            </w:tcBorders>
            <w:shd w:val="clear" w:color="000000" w:fill="DCE6F1"/>
            <w:noWrap/>
            <w:vAlign w:val="bottom"/>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   </w:t>
            </w:r>
          </w:p>
        </w:tc>
        <w:tc>
          <w:tcPr>
            <w:tcW w:w="580" w:type="dxa"/>
            <w:tcBorders>
              <w:top w:val="nil"/>
              <w:left w:val="nil"/>
              <w:bottom w:val="single" w:sz="8" w:space="0" w:color="auto"/>
              <w:right w:val="single" w:sz="8" w:space="0" w:color="auto"/>
            </w:tcBorders>
            <w:shd w:val="clear" w:color="000000" w:fill="DCE6F1"/>
            <w:noWrap/>
            <w:vAlign w:val="bottom"/>
          </w:tcPr>
          <w:p w:rsidR="00084B20" w:rsidRDefault="00084B20" w:rsidP="00084B20">
            <w:pPr>
              <w:jc w:val="center"/>
              <w:rPr>
                <w:rFonts w:ascii="Calibri" w:hAnsi="Calibri"/>
                <w:color w:val="000000"/>
                <w:sz w:val="12"/>
                <w:szCs w:val="12"/>
              </w:rPr>
            </w:pPr>
            <w:r>
              <w:rPr>
                <w:rFonts w:ascii="Calibri" w:hAnsi="Calibri"/>
                <w:color w:val="000000"/>
                <w:sz w:val="12"/>
                <w:szCs w:val="12"/>
              </w:rPr>
              <w:t xml:space="preserve">                                 -   </w:t>
            </w:r>
          </w:p>
        </w:tc>
      </w:tr>
      <w:tr w:rsidR="00DB1263"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084B20" w:rsidRPr="00084B20" w:rsidRDefault="00084B20" w:rsidP="00084B20">
            <w:pPr>
              <w:jc w:val="left"/>
              <w:rPr>
                <w:rFonts w:ascii="Calibri" w:hAnsi="Calibri"/>
                <w:color w:val="000000"/>
                <w:sz w:val="10"/>
                <w:szCs w:val="12"/>
              </w:rPr>
            </w:pPr>
            <w:r w:rsidRPr="00084B20">
              <w:rPr>
                <w:rFonts w:ascii="Calibri" w:hAnsi="Calibri"/>
                <w:color w:val="000000"/>
                <w:sz w:val="10"/>
                <w:szCs w:val="12"/>
              </w:rPr>
              <w:t>WIN Enero 2016-Octubre 2016 (UF)</w:t>
            </w:r>
          </w:p>
        </w:tc>
        <w:tc>
          <w:tcPr>
            <w:tcW w:w="567"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574.370 </w:t>
            </w:r>
          </w:p>
        </w:tc>
        <w:tc>
          <w:tcPr>
            <w:tcW w:w="586"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648.215 </w:t>
            </w:r>
          </w:p>
        </w:tc>
        <w:tc>
          <w:tcPr>
            <w:tcW w:w="762"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487.540 </w:t>
            </w:r>
          </w:p>
        </w:tc>
        <w:tc>
          <w:tcPr>
            <w:tcW w:w="637"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427.191 </w:t>
            </w:r>
          </w:p>
        </w:tc>
        <w:tc>
          <w:tcPr>
            <w:tcW w:w="708"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426.369 </w:t>
            </w:r>
          </w:p>
        </w:tc>
        <w:tc>
          <w:tcPr>
            <w:tcW w:w="686"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409.746 </w:t>
            </w:r>
          </w:p>
        </w:tc>
        <w:tc>
          <w:tcPr>
            <w:tcW w:w="538"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483.818 </w:t>
            </w:r>
          </w:p>
        </w:tc>
        <w:tc>
          <w:tcPr>
            <w:tcW w:w="549"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421.255 </w:t>
            </w:r>
          </w:p>
        </w:tc>
        <w:tc>
          <w:tcPr>
            <w:tcW w:w="549" w:type="dxa"/>
            <w:tcBorders>
              <w:top w:val="nil"/>
              <w:left w:val="nil"/>
              <w:bottom w:val="single" w:sz="8" w:space="0" w:color="auto"/>
              <w:right w:val="single" w:sz="8" w:space="0" w:color="auto"/>
            </w:tcBorders>
            <w:shd w:val="clear" w:color="000000" w:fill="DCE6F1"/>
            <w:noWrap/>
            <w:vAlign w:val="bottom"/>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436.796 </w:t>
            </w:r>
          </w:p>
        </w:tc>
        <w:tc>
          <w:tcPr>
            <w:tcW w:w="549" w:type="dxa"/>
            <w:tcBorders>
              <w:top w:val="nil"/>
              <w:left w:val="nil"/>
              <w:bottom w:val="single" w:sz="8" w:space="0" w:color="auto"/>
              <w:right w:val="single" w:sz="8" w:space="0" w:color="auto"/>
            </w:tcBorders>
            <w:shd w:val="clear" w:color="000000" w:fill="DCE6F1"/>
            <w:noWrap/>
            <w:vAlign w:val="bottom"/>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455.442 </w:t>
            </w:r>
          </w:p>
        </w:tc>
        <w:tc>
          <w:tcPr>
            <w:tcW w:w="507" w:type="dxa"/>
            <w:tcBorders>
              <w:top w:val="nil"/>
              <w:left w:val="nil"/>
              <w:bottom w:val="single" w:sz="8" w:space="0" w:color="auto"/>
              <w:right w:val="single" w:sz="8" w:space="0" w:color="auto"/>
            </w:tcBorders>
            <w:shd w:val="clear" w:color="000000" w:fill="DCE6F1"/>
            <w:noWrap/>
            <w:vAlign w:val="bottom"/>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xml:space="preserve">                                 -   </w:t>
            </w:r>
          </w:p>
        </w:tc>
        <w:tc>
          <w:tcPr>
            <w:tcW w:w="580" w:type="dxa"/>
            <w:tcBorders>
              <w:top w:val="nil"/>
              <w:left w:val="nil"/>
              <w:bottom w:val="single" w:sz="8" w:space="0" w:color="auto"/>
              <w:right w:val="single" w:sz="8" w:space="0" w:color="auto"/>
            </w:tcBorders>
            <w:shd w:val="clear" w:color="000000" w:fill="DCE6F1"/>
            <w:noWrap/>
            <w:vAlign w:val="bottom"/>
          </w:tcPr>
          <w:p w:rsidR="00084B20" w:rsidRDefault="00084B20" w:rsidP="00084B20">
            <w:pPr>
              <w:jc w:val="center"/>
              <w:rPr>
                <w:rFonts w:ascii="Calibri" w:hAnsi="Calibri"/>
                <w:color w:val="000000"/>
                <w:sz w:val="12"/>
                <w:szCs w:val="12"/>
              </w:rPr>
            </w:pPr>
            <w:r>
              <w:rPr>
                <w:rFonts w:ascii="Calibri" w:hAnsi="Calibri"/>
                <w:color w:val="000000"/>
                <w:sz w:val="12"/>
                <w:szCs w:val="12"/>
              </w:rPr>
              <w:t xml:space="preserve">                                 -   </w:t>
            </w:r>
          </w:p>
        </w:tc>
      </w:tr>
      <w:tr w:rsidR="00DB1263" w:rsidRPr="00CA6263" w:rsidTr="00DB1263">
        <w:trPr>
          <w:trHeight w:val="195"/>
        </w:trPr>
        <w:tc>
          <w:tcPr>
            <w:tcW w:w="1276" w:type="dxa"/>
            <w:tcBorders>
              <w:top w:val="nil"/>
              <w:left w:val="single" w:sz="8" w:space="0" w:color="auto"/>
              <w:bottom w:val="single" w:sz="8" w:space="0" w:color="auto"/>
              <w:right w:val="single" w:sz="8" w:space="0" w:color="auto"/>
            </w:tcBorders>
            <w:shd w:val="clear" w:color="000000" w:fill="DCE6F1"/>
            <w:noWrap/>
            <w:vAlign w:val="bottom"/>
            <w:hideMark/>
          </w:tcPr>
          <w:p w:rsidR="00084B20" w:rsidRPr="00084B20" w:rsidRDefault="00084B20" w:rsidP="00084B20">
            <w:pPr>
              <w:jc w:val="left"/>
              <w:rPr>
                <w:rFonts w:ascii="Calibri" w:hAnsi="Calibri"/>
                <w:color w:val="000000"/>
                <w:sz w:val="10"/>
                <w:szCs w:val="12"/>
              </w:rPr>
            </w:pPr>
            <w:r w:rsidRPr="00084B20">
              <w:rPr>
                <w:rFonts w:ascii="Calibri" w:hAnsi="Calibri"/>
                <w:color w:val="000000"/>
                <w:sz w:val="10"/>
                <w:szCs w:val="12"/>
              </w:rPr>
              <w:t xml:space="preserve">Crecimiento </w:t>
            </w:r>
            <w:proofErr w:type="spellStart"/>
            <w:r w:rsidRPr="00084B20">
              <w:rPr>
                <w:rFonts w:ascii="Calibri" w:hAnsi="Calibri"/>
                <w:color w:val="000000"/>
                <w:sz w:val="10"/>
                <w:szCs w:val="12"/>
              </w:rPr>
              <w:t>Win</w:t>
            </w:r>
            <w:proofErr w:type="spellEnd"/>
            <w:r w:rsidRPr="00084B20">
              <w:rPr>
                <w:rFonts w:ascii="Calibri" w:hAnsi="Calibri"/>
                <w:color w:val="000000"/>
                <w:sz w:val="10"/>
                <w:szCs w:val="12"/>
              </w:rPr>
              <w:t xml:space="preserve"> </w:t>
            </w:r>
            <w:r w:rsidRPr="00084B20">
              <w:rPr>
                <w:rFonts w:ascii="Calibri" w:hAnsi="Calibri"/>
                <w:b/>
                <w:bCs/>
                <w:color w:val="000000"/>
                <w:sz w:val="10"/>
                <w:szCs w:val="12"/>
              </w:rPr>
              <w:t>Real</w:t>
            </w:r>
          </w:p>
        </w:tc>
        <w:tc>
          <w:tcPr>
            <w:tcW w:w="567"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0,1%</w:t>
            </w:r>
          </w:p>
        </w:tc>
        <w:tc>
          <w:tcPr>
            <w:tcW w:w="586"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14,0%</w:t>
            </w:r>
          </w:p>
        </w:tc>
        <w:tc>
          <w:tcPr>
            <w:tcW w:w="762"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14,9%</w:t>
            </w:r>
          </w:p>
        </w:tc>
        <w:tc>
          <w:tcPr>
            <w:tcW w:w="637"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-4,7%</w:t>
            </w:r>
          </w:p>
        </w:tc>
        <w:tc>
          <w:tcPr>
            <w:tcW w:w="708"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-7,4%</w:t>
            </w:r>
          </w:p>
        </w:tc>
        <w:tc>
          <w:tcPr>
            <w:tcW w:w="686"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0,6%</w:t>
            </w:r>
          </w:p>
        </w:tc>
        <w:tc>
          <w:tcPr>
            <w:tcW w:w="538"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4,3%</w:t>
            </w:r>
          </w:p>
        </w:tc>
        <w:tc>
          <w:tcPr>
            <w:tcW w:w="549" w:type="dxa"/>
            <w:tcBorders>
              <w:top w:val="nil"/>
              <w:left w:val="nil"/>
              <w:bottom w:val="single" w:sz="8" w:space="0" w:color="auto"/>
              <w:right w:val="single" w:sz="8" w:space="0" w:color="auto"/>
            </w:tcBorders>
            <w:shd w:val="clear" w:color="000000" w:fill="DCE6F1"/>
            <w:noWrap/>
            <w:vAlign w:val="bottom"/>
            <w:hideMark/>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0,9%</w:t>
            </w:r>
          </w:p>
        </w:tc>
        <w:tc>
          <w:tcPr>
            <w:tcW w:w="549" w:type="dxa"/>
            <w:tcBorders>
              <w:top w:val="nil"/>
              <w:left w:val="nil"/>
              <w:bottom w:val="single" w:sz="8" w:space="0" w:color="auto"/>
              <w:right w:val="single" w:sz="8" w:space="0" w:color="auto"/>
            </w:tcBorders>
            <w:shd w:val="clear" w:color="000000" w:fill="DCE6F1"/>
            <w:noWrap/>
            <w:vAlign w:val="bottom"/>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8,2%</w:t>
            </w:r>
          </w:p>
        </w:tc>
        <w:tc>
          <w:tcPr>
            <w:tcW w:w="549" w:type="dxa"/>
            <w:tcBorders>
              <w:top w:val="nil"/>
              <w:left w:val="nil"/>
              <w:bottom w:val="single" w:sz="8" w:space="0" w:color="auto"/>
              <w:right w:val="single" w:sz="8" w:space="0" w:color="auto"/>
            </w:tcBorders>
            <w:shd w:val="clear" w:color="000000" w:fill="DCE6F1"/>
            <w:noWrap/>
            <w:vAlign w:val="bottom"/>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4,0%</w:t>
            </w:r>
          </w:p>
        </w:tc>
        <w:tc>
          <w:tcPr>
            <w:tcW w:w="507" w:type="dxa"/>
            <w:tcBorders>
              <w:top w:val="nil"/>
              <w:left w:val="nil"/>
              <w:bottom w:val="single" w:sz="8" w:space="0" w:color="auto"/>
              <w:right w:val="single" w:sz="8" w:space="0" w:color="auto"/>
            </w:tcBorders>
            <w:shd w:val="clear" w:color="000000" w:fill="DCE6F1"/>
            <w:noWrap/>
            <w:vAlign w:val="bottom"/>
          </w:tcPr>
          <w:p w:rsidR="00084B20" w:rsidRPr="00084B20" w:rsidRDefault="00084B20" w:rsidP="00084B20">
            <w:pPr>
              <w:jc w:val="center"/>
              <w:rPr>
                <w:rFonts w:ascii="Calibri" w:hAnsi="Calibri"/>
                <w:color w:val="000000"/>
                <w:sz w:val="10"/>
                <w:szCs w:val="12"/>
              </w:rPr>
            </w:pPr>
            <w:r w:rsidRPr="00084B20">
              <w:rPr>
                <w:rFonts w:ascii="Calibri" w:hAnsi="Calibri"/>
                <w:color w:val="000000"/>
                <w:sz w:val="10"/>
                <w:szCs w:val="12"/>
              </w:rPr>
              <w:t> </w:t>
            </w:r>
          </w:p>
        </w:tc>
        <w:tc>
          <w:tcPr>
            <w:tcW w:w="580" w:type="dxa"/>
            <w:tcBorders>
              <w:top w:val="nil"/>
              <w:left w:val="nil"/>
              <w:bottom w:val="single" w:sz="8" w:space="0" w:color="auto"/>
              <w:right w:val="single" w:sz="8" w:space="0" w:color="auto"/>
            </w:tcBorders>
            <w:shd w:val="clear" w:color="000000" w:fill="DCE6F1"/>
            <w:noWrap/>
            <w:vAlign w:val="bottom"/>
          </w:tcPr>
          <w:p w:rsidR="00084B20" w:rsidRDefault="00084B20" w:rsidP="00084B20">
            <w:pPr>
              <w:jc w:val="center"/>
              <w:rPr>
                <w:rFonts w:ascii="Calibri" w:hAnsi="Calibri"/>
                <w:color w:val="000000"/>
                <w:sz w:val="12"/>
                <w:szCs w:val="12"/>
              </w:rPr>
            </w:pPr>
            <w:r>
              <w:rPr>
                <w:rFonts w:ascii="Calibri" w:hAnsi="Calibri"/>
                <w:color w:val="000000"/>
                <w:sz w:val="12"/>
                <w:szCs w:val="12"/>
              </w:rPr>
              <w:t> </w:t>
            </w:r>
          </w:p>
        </w:tc>
      </w:tr>
      <w:tr w:rsidR="00FB3D8B" w:rsidRPr="00CA6263" w:rsidTr="00DB1263">
        <w:trPr>
          <w:trHeight w:val="195"/>
        </w:trPr>
        <w:tc>
          <w:tcPr>
            <w:tcW w:w="7914" w:type="dxa"/>
            <w:gridSpan w:val="12"/>
            <w:tcBorders>
              <w:top w:val="single" w:sz="8" w:space="0" w:color="auto"/>
              <w:left w:val="single" w:sz="8" w:space="0" w:color="auto"/>
              <w:bottom w:val="single" w:sz="8" w:space="0" w:color="auto"/>
              <w:right w:val="single" w:sz="8" w:space="0" w:color="000000"/>
            </w:tcBorders>
            <w:shd w:val="clear" w:color="000000" w:fill="DCE6F1"/>
            <w:noWrap/>
            <w:vAlign w:val="bottom"/>
            <w:hideMark/>
          </w:tcPr>
          <w:p w:rsidR="00FB3D8B" w:rsidRPr="00084B20" w:rsidRDefault="00FB3D8B" w:rsidP="00DE53E5">
            <w:pPr>
              <w:spacing w:after="0" w:line="240" w:lineRule="auto"/>
              <w:jc w:val="left"/>
              <w:rPr>
                <w:rFonts w:ascii="Calibri" w:eastAsia="Times New Roman" w:hAnsi="Calibri" w:cs="Times New Roman"/>
                <w:b/>
                <w:bCs/>
                <w:color w:val="000000"/>
                <w:sz w:val="10"/>
                <w:szCs w:val="12"/>
                <w:lang w:eastAsia="es-CL"/>
              </w:rPr>
            </w:pPr>
            <w:r w:rsidRPr="00084B20">
              <w:rPr>
                <w:rFonts w:ascii="Calibri" w:eastAsia="Times New Roman" w:hAnsi="Calibri" w:cs="Times New Roman"/>
                <w:b/>
                <w:bCs/>
                <w:color w:val="000000"/>
                <w:sz w:val="10"/>
                <w:szCs w:val="12"/>
                <w:lang w:eastAsia="es-CL"/>
              </w:rPr>
              <w:t xml:space="preserve">Crecimiento </w:t>
            </w:r>
            <w:proofErr w:type="spellStart"/>
            <w:r w:rsidRPr="00084B20">
              <w:rPr>
                <w:rFonts w:ascii="Calibri" w:eastAsia="Times New Roman" w:hAnsi="Calibri" w:cs="Times New Roman"/>
                <w:b/>
                <w:bCs/>
                <w:color w:val="000000"/>
                <w:sz w:val="10"/>
                <w:szCs w:val="12"/>
                <w:lang w:eastAsia="es-CL"/>
              </w:rPr>
              <w:t>Win</w:t>
            </w:r>
            <w:proofErr w:type="spellEnd"/>
            <w:r w:rsidRPr="00084B20">
              <w:rPr>
                <w:rFonts w:ascii="Calibri" w:eastAsia="Times New Roman" w:hAnsi="Calibri" w:cs="Times New Roman"/>
                <w:b/>
                <w:bCs/>
                <w:color w:val="000000"/>
                <w:sz w:val="10"/>
                <w:szCs w:val="12"/>
                <w:lang w:eastAsia="es-CL"/>
              </w:rPr>
              <w:t xml:space="preserve"> Real (Anual)</w:t>
            </w:r>
          </w:p>
        </w:tc>
        <w:tc>
          <w:tcPr>
            <w:tcW w:w="580" w:type="dxa"/>
            <w:tcBorders>
              <w:top w:val="nil"/>
              <w:left w:val="nil"/>
              <w:bottom w:val="single" w:sz="8" w:space="0" w:color="auto"/>
              <w:right w:val="single" w:sz="8" w:space="0" w:color="auto"/>
            </w:tcBorders>
            <w:shd w:val="clear" w:color="000000" w:fill="DCE6F1"/>
            <w:noWrap/>
            <w:vAlign w:val="bottom"/>
            <w:hideMark/>
          </w:tcPr>
          <w:p w:rsidR="00FB3D8B" w:rsidRPr="00CA6263" w:rsidRDefault="00FB3D8B" w:rsidP="00084B20">
            <w:pPr>
              <w:spacing w:after="0" w:line="240" w:lineRule="auto"/>
              <w:jc w:val="center"/>
              <w:rPr>
                <w:rFonts w:ascii="Calibri" w:eastAsia="Times New Roman" w:hAnsi="Calibri" w:cs="Times New Roman"/>
                <w:color w:val="000000"/>
                <w:sz w:val="12"/>
                <w:szCs w:val="12"/>
                <w:lang w:eastAsia="es-CL"/>
              </w:rPr>
            </w:pPr>
            <w:r w:rsidRPr="00CA6263">
              <w:rPr>
                <w:rFonts w:ascii="Calibri" w:eastAsia="Times New Roman" w:hAnsi="Calibri" w:cs="Times New Roman"/>
                <w:color w:val="000000"/>
                <w:sz w:val="12"/>
                <w:szCs w:val="12"/>
                <w:lang w:eastAsia="es-CL"/>
              </w:rPr>
              <w:t>3,</w:t>
            </w:r>
            <w:r w:rsidR="00084B20">
              <w:rPr>
                <w:rFonts w:ascii="Calibri" w:eastAsia="Times New Roman" w:hAnsi="Calibri" w:cs="Times New Roman"/>
                <w:color w:val="000000"/>
                <w:sz w:val="12"/>
                <w:szCs w:val="12"/>
                <w:lang w:eastAsia="es-CL"/>
              </w:rPr>
              <w:t>6</w:t>
            </w:r>
            <w:r w:rsidRPr="00CA6263">
              <w:rPr>
                <w:rFonts w:ascii="Calibri" w:eastAsia="Times New Roman" w:hAnsi="Calibri" w:cs="Times New Roman"/>
                <w:color w:val="000000"/>
                <w:sz w:val="12"/>
                <w:szCs w:val="12"/>
                <w:lang w:eastAsia="es-CL"/>
              </w:rPr>
              <w:t>%</w:t>
            </w:r>
          </w:p>
        </w:tc>
      </w:tr>
    </w:tbl>
    <w:p w:rsidR="00FB3D8B" w:rsidRDefault="00FB3D8B" w:rsidP="00FB3D8B">
      <w:pPr>
        <w:pStyle w:val="Prrafodelista"/>
        <w:tabs>
          <w:tab w:val="left" w:pos="0"/>
          <w:tab w:val="left" w:pos="6285"/>
        </w:tabs>
        <w:ind w:left="0"/>
      </w:pPr>
      <w:r w:rsidRPr="00BA4198">
        <w:t xml:space="preserve">Nota: Los ingresos brutos </w:t>
      </w:r>
      <w:r>
        <w:t>del año 2015 fueron comparados con los e</w:t>
      </w:r>
      <w:r w:rsidRPr="00BA4198">
        <w:t xml:space="preserve">stados </w:t>
      </w:r>
      <w:r>
        <w:t>f</w:t>
      </w:r>
      <w:r w:rsidRPr="00BA4198">
        <w:t>inancieros entregados por las sociedades operadoras</w:t>
      </w:r>
      <w:r>
        <w:t xml:space="preserve"> en dicho periodo</w:t>
      </w:r>
      <w:r w:rsidRPr="00BA4198">
        <w:t>.</w:t>
      </w:r>
    </w:p>
    <w:p w:rsidR="00FB3D8B" w:rsidRDefault="00FB3D8B"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EC15C7" w:rsidRDefault="00EC15C7" w:rsidP="00FB3D8B">
      <w:pPr>
        <w:pStyle w:val="Prrafodelista"/>
        <w:tabs>
          <w:tab w:val="left" w:pos="0"/>
          <w:tab w:val="left" w:pos="6285"/>
        </w:tabs>
        <w:ind w:left="0"/>
        <w:jc w:val="left"/>
      </w:pPr>
    </w:p>
    <w:p w:rsidR="00EC15C7" w:rsidRDefault="00EC15C7" w:rsidP="00FB3D8B">
      <w:pPr>
        <w:pStyle w:val="Prrafodelista"/>
        <w:tabs>
          <w:tab w:val="left" w:pos="0"/>
          <w:tab w:val="left" w:pos="6285"/>
        </w:tabs>
        <w:ind w:left="0"/>
        <w:jc w:val="left"/>
      </w:pPr>
    </w:p>
    <w:p w:rsidR="00DB1263" w:rsidRDefault="00DB1263" w:rsidP="00FB3D8B">
      <w:pPr>
        <w:pStyle w:val="Prrafodelista"/>
        <w:tabs>
          <w:tab w:val="left" w:pos="0"/>
          <w:tab w:val="left" w:pos="6285"/>
        </w:tabs>
        <w:ind w:left="0"/>
        <w:jc w:val="left"/>
      </w:pPr>
    </w:p>
    <w:p w:rsidR="00FB3D8B" w:rsidRPr="00E80F2B" w:rsidRDefault="00FB3D8B" w:rsidP="00FB3D8B">
      <w:pPr>
        <w:pStyle w:val="Prrafodelista"/>
        <w:numPr>
          <w:ilvl w:val="0"/>
          <w:numId w:val="1"/>
        </w:numPr>
        <w:tabs>
          <w:tab w:val="left" w:pos="0"/>
          <w:tab w:val="left" w:pos="6285"/>
        </w:tabs>
        <w:ind w:left="0" w:hanging="426"/>
        <w:jc w:val="left"/>
        <w:rPr>
          <w:b/>
        </w:rPr>
      </w:pPr>
      <w:r w:rsidRPr="00E80F2B">
        <w:rPr>
          <w:b/>
        </w:rPr>
        <w:t xml:space="preserve">Ingresos brutos del juego o </w:t>
      </w:r>
      <w:proofErr w:type="spellStart"/>
      <w:r w:rsidRPr="00E80F2B">
        <w:rPr>
          <w:b/>
        </w:rPr>
        <w:t>win</w:t>
      </w:r>
      <w:proofErr w:type="spellEnd"/>
      <w:r w:rsidRPr="00E80F2B">
        <w:rPr>
          <w:b/>
        </w:rPr>
        <w:t xml:space="preserve"> por casino de juego</w:t>
      </w:r>
      <w:r>
        <w:rPr>
          <w:b/>
        </w:rPr>
        <w:t xml:space="preserve"> : </w:t>
      </w:r>
      <w:r w:rsidR="00084B20">
        <w:rPr>
          <w:b/>
        </w:rPr>
        <w:t>Septiembre</w:t>
      </w:r>
      <w:r w:rsidRPr="00E80F2B">
        <w:rPr>
          <w:b/>
        </w:rPr>
        <w:t xml:space="preserve"> -</w:t>
      </w:r>
      <w:r>
        <w:rPr>
          <w:b/>
        </w:rPr>
        <w:t xml:space="preserve"> </w:t>
      </w:r>
      <w:r w:rsidR="00084B20">
        <w:rPr>
          <w:b/>
        </w:rPr>
        <w:t>Octubre</w:t>
      </w:r>
      <w:r w:rsidRPr="00E80F2B">
        <w:rPr>
          <w:b/>
        </w:rPr>
        <w:t xml:space="preserve"> 2016</w:t>
      </w:r>
    </w:p>
    <w:p w:rsidR="00FB3D8B" w:rsidRDefault="00EC15C7" w:rsidP="00DB1263">
      <w:pPr>
        <w:pStyle w:val="Prrafodelista"/>
        <w:tabs>
          <w:tab w:val="left" w:pos="0"/>
          <w:tab w:val="left" w:pos="360"/>
          <w:tab w:val="left" w:pos="6285"/>
        </w:tabs>
        <w:ind w:left="0" w:hanging="142"/>
        <w:jc w:val="center"/>
        <w:rPr>
          <w:b/>
        </w:rPr>
      </w:pPr>
      <w:r>
        <w:rPr>
          <w:b/>
          <w:noProof/>
          <w:lang w:val="es-ES" w:eastAsia="es-ES"/>
        </w:rPr>
        <w:drawing>
          <wp:inline distT="0" distB="0" distL="0" distR="0" wp14:anchorId="7A692B62" wp14:editId="28E145E9">
            <wp:extent cx="5484284" cy="2607868"/>
            <wp:effectExtent l="0" t="0" r="2540" b="254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20318" cy="2625003"/>
                    </a:xfrm>
                    <a:prstGeom prst="rect">
                      <a:avLst/>
                    </a:prstGeom>
                    <a:noFill/>
                  </pic:spPr>
                </pic:pic>
              </a:graphicData>
            </a:graphic>
          </wp:inline>
        </w:drawing>
      </w:r>
    </w:p>
    <w:p w:rsidR="00196290" w:rsidRDefault="00196290" w:rsidP="00E0320F">
      <w:pPr>
        <w:tabs>
          <w:tab w:val="left" w:pos="0"/>
        </w:tabs>
        <w:spacing w:after="0" w:line="240" w:lineRule="auto"/>
        <w:rPr>
          <w:rFonts w:ascii="Calibri" w:hAnsi="Calibri" w:cs="Arial"/>
          <w:b/>
          <w:sz w:val="20"/>
          <w:szCs w:val="20"/>
        </w:rPr>
      </w:pPr>
    </w:p>
    <w:p w:rsidR="00196290" w:rsidRDefault="00196290" w:rsidP="00E0320F">
      <w:pPr>
        <w:tabs>
          <w:tab w:val="left" w:pos="0"/>
        </w:tabs>
        <w:spacing w:after="0" w:line="240" w:lineRule="auto"/>
        <w:rPr>
          <w:rFonts w:ascii="Calibri" w:hAnsi="Calibri" w:cs="Arial"/>
          <w:b/>
          <w:sz w:val="20"/>
          <w:szCs w:val="20"/>
        </w:rPr>
      </w:pPr>
    </w:p>
    <w:p w:rsidR="009858E3" w:rsidRDefault="00FB3D8B" w:rsidP="00E0320F">
      <w:pPr>
        <w:tabs>
          <w:tab w:val="left" w:pos="0"/>
        </w:tabs>
        <w:spacing w:after="0" w:line="240" w:lineRule="auto"/>
        <w:rPr>
          <w:rFonts w:ascii="Calibri" w:hAnsi="Calibri" w:cs="Arial"/>
          <w:b/>
          <w:sz w:val="20"/>
          <w:szCs w:val="20"/>
        </w:rPr>
      </w:pPr>
      <w:r>
        <w:rPr>
          <w:rFonts w:ascii="Calibri" w:hAnsi="Calibri" w:cs="Arial"/>
          <w:b/>
          <w:sz w:val="20"/>
          <w:szCs w:val="20"/>
        </w:rPr>
        <w:t>U</w:t>
      </w:r>
      <w:r w:rsidRPr="008349C4">
        <w:rPr>
          <w:rFonts w:ascii="Calibri" w:hAnsi="Calibri" w:cs="Arial"/>
          <w:b/>
          <w:sz w:val="20"/>
          <w:szCs w:val="20"/>
        </w:rPr>
        <w:t xml:space="preserve">nidad de </w:t>
      </w:r>
      <w:r>
        <w:rPr>
          <w:rFonts w:ascii="Calibri" w:hAnsi="Calibri" w:cs="Arial"/>
          <w:b/>
          <w:sz w:val="20"/>
          <w:szCs w:val="20"/>
        </w:rPr>
        <w:t>Atención Ciudadana y C</w:t>
      </w:r>
      <w:r w:rsidRPr="008349C4">
        <w:rPr>
          <w:rFonts w:ascii="Calibri" w:hAnsi="Calibri" w:cs="Arial"/>
          <w:b/>
          <w:sz w:val="20"/>
          <w:szCs w:val="20"/>
        </w:rPr>
        <w:t>omunicaciones</w:t>
      </w:r>
    </w:p>
    <w:p w:rsidR="00196290" w:rsidRDefault="00196290" w:rsidP="00FB3D8B">
      <w:pPr>
        <w:spacing w:after="0" w:line="240" w:lineRule="auto"/>
        <w:ind w:right="-136"/>
        <w:rPr>
          <w:rFonts w:ascii="Calibri" w:hAnsi="Calibri" w:cs="Arial"/>
          <w:b/>
          <w:sz w:val="18"/>
          <w:szCs w:val="18"/>
        </w:rPr>
      </w:pPr>
      <w:r>
        <w:rPr>
          <w:rFonts w:ascii="Calibri" w:hAnsi="Calibri" w:cs="Arial"/>
          <w:b/>
          <w:sz w:val="18"/>
          <w:szCs w:val="18"/>
        </w:rPr>
        <w:t xml:space="preserve">Tel. 2589 3004 -3024 </w:t>
      </w:r>
    </w:p>
    <w:p w:rsidR="00FB3D8B" w:rsidRPr="00FB3D8B" w:rsidRDefault="00FB3D8B" w:rsidP="00FB3D8B">
      <w:pPr>
        <w:spacing w:after="0" w:line="240" w:lineRule="auto"/>
        <w:ind w:right="-136"/>
        <w:rPr>
          <w:rFonts w:ascii="Calibri" w:hAnsi="Calibri" w:cs="Arial"/>
          <w:b/>
          <w:sz w:val="18"/>
          <w:szCs w:val="18"/>
        </w:rPr>
      </w:pPr>
      <w:r>
        <w:rPr>
          <w:rFonts w:ascii="Calibri" w:hAnsi="Calibri" w:cs="Arial"/>
          <w:b/>
          <w:sz w:val="18"/>
          <w:szCs w:val="18"/>
        </w:rPr>
        <w:t xml:space="preserve">Contacto: Claudia Valladares </w:t>
      </w:r>
      <w:hyperlink r:id="rId21" w:history="1">
        <w:r w:rsidRPr="004E4269">
          <w:rPr>
            <w:rStyle w:val="Hipervnculo"/>
            <w:rFonts w:ascii="Calibri" w:hAnsi="Calibri" w:cs="Arial"/>
            <w:b/>
            <w:sz w:val="18"/>
            <w:szCs w:val="18"/>
          </w:rPr>
          <w:t>cvalladares@scj.gob.cl</w:t>
        </w:r>
      </w:hyperlink>
      <w:r w:rsidR="003B0C64">
        <w:rPr>
          <w:rFonts w:ascii="Calibri" w:hAnsi="Calibri" w:cs="Arial"/>
          <w:b/>
          <w:sz w:val="18"/>
          <w:szCs w:val="18"/>
        </w:rPr>
        <w:t xml:space="preserve"> - </w:t>
      </w:r>
      <w:r w:rsidR="00196290">
        <w:rPr>
          <w:rFonts w:ascii="Calibri" w:hAnsi="Calibri" w:cs="Arial"/>
          <w:b/>
          <w:sz w:val="18"/>
          <w:szCs w:val="18"/>
        </w:rPr>
        <w:t xml:space="preserve"> </w:t>
      </w:r>
      <w:r w:rsidR="00EC15C7">
        <w:rPr>
          <w:rFonts w:ascii="Calibri" w:hAnsi="Calibri" w:cs="Arial"/>
          <w:b/>
          <w:sz w:val="18"/>
          <w:szCs w:val="18"/>
        </w:rPr>
        <w:t>Des</w:t>
      </w:r>
      <w:r>
        <w:rPr>
          <w:rFonts w:ascii="Calibri" w:hAnsi="Calibri" w:cs="Arial"/>
          <w:b/>
          <w:sz w:val="18"/>
          <w:szCs w:val="18"/>
        </w:rPr>
        <w:t>i</w:t>
      </w:r>
      <w:r w:rsidR="00EC15C7">
        <w:rPr>
          <w:rFonts w:ascii="Calibri" w:hAnsi="Calibri" w:cs="Arial"/>
          <w:b/>
          <w:sz w:val="18"/>
          <w:szCs w:val="18"/>
        </w:rPr>
        <w:t>r</w:t>
      </w:r>
      <w:r>
        <w:rPr>
          <w:rFonts w:ascii="Calibri" w:hAnsi="Calibri" w:cs="Arial"/>
          <w:b/>
          <w:sz w:val="18"/>
          <w:szCs w:val="18"/>
        </w:rPr>
        <w:t xml:space="preserve">ee Navia </w:t>
      </w:r>
      <w:hyperlink r:id="rId22" w:history="1">
        <w:r>
          <w:rPr>
            <w:rStyle w:val="Hipervnculo"/>
            <w:rFonts w:ascii="Calibri" w:hAnsi="Calibri" w:cs="Arial"/>
            <w:b/>
            <w:sz w:val="18"/>
            <w:szCs w:val="18"/>
          </w:rPr>
          <w:t>dnavia@scj.gob.cl</w:t>
        </w:r>
      </w:hyperlink>
      <w:r>
        <w:rPr>
          <w:rFonts w:ascii="Calibri" w:hAnsi="Calibri" w:cs="Arial"/>
          <w:b/>
          <w:sz w:val="18"/>
          <w:szCs w:val="18"/>
        </w:rPr>
        <w:t xml:space="preserve"> </w:t>
      </w:r>
    </w:p>
    <w:p w:rsidR="00FB3D8B" w:rsidRPr="008349C4" w:rsidRDefault="00FB3D8B" w:rsidP="00E0320F">
      <w:pPr>
        <w:tabs>
          <w:tab w:val="left" w:pos="0"/>
        </w:tabs>
        <w:spacing w:after="0" w:line="240" w:lineRule="auto"/>
        <w:rPr>
          <w:rFonts w:ascii="Calibri" w:hAnsi="Calibri" w:cs="Arial"/>
          <w:b/>
          <w:sz w:val="20"/>
          <w:szCs w:val="20"/>
        </w:rPr>
      </w:pPr>
    </w:p>
    <w:sectPr w:rsidR="00FB3D8B" w:rsidRPr="008349C4" w:rsidSect="003B0C64">
      <w:headerReference w:type="default" r:id="rId23"/>
      <w:footerReference w:type="default" r:id="rId24"/>
      <w:pgSz w:w="11906" w:h="16838"/>
      <w:pgMar w:top="284"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773" w:rsidRDefault="000E3773" w:rsidP="00FD382C">
      <w:r>
        <w:separator/>
      </w:r>
    </w:p>
  </w:endnote>
  <w:endnote w:type="continuationSeparator" w:id="0">
    <w:p w:rsidR="000E3773" w:rsidRDefault="000E3773" w:rsidP="00FD3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773" w:rsidRDefault="000E3773">
    <w:pPr>
      <w:pStyle w:val="Piedepgina"/>
    </w:pPr>
  </w:p>
  <w:p w:rsidR="000E3773" w:rsidRDefault="000E377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773" w:rsidRDefault="000E3773" w:rsidP="00FD382C">
      <w:r>
        <w:separator/>
      </w:r>
    </w:p>
  </w:footnote>
  <w:footnote w:type="continuationSeparator" w:id="0">
    <w:p w:rsidR="000E3773" w:rsidRDefault="000E3773" w:rsidP="00FD382C">
      <w:r>
        <w:continuationSeparator/>
      </w:r>
    </w:p>
  </w:footnote>
  <w:footnote w:id="1">
    <w:p w:rsidR="000E3773" w:rsidRPr="00FD382C" w:rsidRDefault="000E3773" w:rsidP="002406D6">
      <w:pPr>
        <w:pStyle w:val="Textonotapie"/>
        <w:rPr>
          <w:lang w:val="es-ES"/>
        </w:rPr>
      </w:pPr>
      <w:r>
        <w:rPr>
          <w:rStyle w:val="Refdenotaalpie"/>
        </w:rPr>
        <w:footnoteRef/>
      </w:r>
      <w:r>
        <w:t xml:space="preserve"> </w:t>
      </w:r>
      <w:r>
        <w:rPr>
          <w:lang w:val="es-ES"/>
        </w:rPr>
        <w:t xml:space="preserve">A los 24 casinos de juego que actualmente se encuentran en funcionamiento en el país, se suman el casino de Arica, que se encuentra en etapa de construcción; y uno autorizado en agosto en la comuna de Chillán; ambos al amparo de la Ley N° 19.995. </w:t>
      </w:r>
    </w:p>
  </w:footnote>
  <w:footnote w:id="2">
    <w:p w:rsidR="00394BEF" w:rsidRDefault="00394BEF" w:rsidP="00394BEF">
      <w:pPr>
        <w:pStyle w:val="Textonotapie"/>
      </w:pPr>
      <w:r>
        <w:rPr>
          <w:rStyle w:val="Refdenotaalpie"/>
        </w:rPr>
        <w:footnoteRef/>
      </w:r>
      <w:r>
        <w:t xml:space="preserve"> </w:t>
      </w:r>
      <w:r>
        <w:rPr>
          <w:lang w:val="es-ES"/>
        </w:rPr>
        <w:t>Corresponde al crecimiento de los ingresos brutos acumulados, considerando el periodo enero-octubre de 2016, y se comparan con los ingresos acumulados del periodo enero-octubre de 2015, corregido por la UF del último día del mes.</w:t>
      </w:r>
    </w:p>
  </w:footnote>
  <w:footnote w:id="3">
    <w:p w:rsidR="00394BEF" w:rsidRDefault="00394BEF" w:rsidP="00394BEF">
      <w:pPr>
        <w:pStyle w:val="Textonotapie"/>
      </w:pPr>
      <w:r>
        <w:rPr>
          <w:rStyle w:val="Refdenotaalpie"/>
        </w:rPr>
        <w:footnoteRef/>
      </w:r>
      <w:r>
        <w:t xml:space="preserve"> </w:t>
      </w:r>
      <w:r>
        <w:rPr>
          <w:lang w:val="es-ES"/>
        </w:rPr>
        <w:t>El crecimiento real acumulado considera el periodo enero-octubre, debido a que no se cuenta con la información de los últimos 24 meses móviles, datos que se tendrán a partir del reporte de los resultados correspondientes al mes de diciembre.</w:t>
      </w:r>
    </w:p>
  </w:footnote>
  <w:footnote w:id="4">
    <w:p w:rsidR="000E3773" w:rsidRDefault="000E3773" w:rsidP="000E3773">
      <w:pPr>
        <w:pStyle w:val="Textonotapie"/>
      </w:pPr>
      <w:r>
        <w:rPr>
          <w:rStyle w:val="Refdenotaalpie"/>
        </w:rPr>
        <w:footnoteRef/>
      </w:r>
      <w:r>
        <w:t xml:space="preserve"> </w:t>
      </w:r>
      <w:r>
        <w:rPr>
          <w:lang w:val="es-ES"/>
        </w:rPr>
        <w:t>La variación mensual resulta de la comparación de los ingresos brutos de los casinos municipales y autorizados por la Ley N° 19.995 –en UF del último día del mes- del mes de octubre en los años 2015 y 2016.</w:t>
      </w:r>
    </w:p>
  </w:footnote>
  <w:footnote w:id="5">
    <w:p w:rsidR="000E3773" w:rsidRPr="00D42C6C" w:rsidRDefault="000E3773" w:rsidP="00AA4471">
      <w:pPr>
        <w:pStyle w:val="Textonotapie"/>
        <w:rPr>
          <w:lang w:val="es-ES"/>
        </w:rPr>
      </w:pPr>
      <w:r w:rsidRPr="00D42C6C">
        <w:rPr>
          <w:rStyle w:val="Refdenotaalpie"/>
        </w:rPr>
        <w:footnoteRef/>
      </w:r>
      <w:r w:rsidRPr="00D42C6C">
        <w:t xml:space="preserve"> </w:t>
      </w:r>
      <w:r>
        <w:t xml:space="preserve">Desde mayo de 2016 los </w:t>
      </w:r>
      <w:r w:rsidRPr="00D42C6C">
        <w:rPr>
          <w:lang w:val="es-ES"/>
        </w:rPr>
        <w:t>comunicado</w:t>
      </w:r>
      <w:r>
        <w:rPr>
          <w:lang w:val="es-ES"/>
        </w:rPr>
        <w:t>s de resultados operacionales</w:t>
      </w:r>
      <w:r w:rsidRPr="00D42C6C">
        <w:rPr>
          <w:lang w:val="es-ES"/>
        </w:rPr>
        <w:t xml:space="preserve"> presenta</w:t>
      </w:r>
      <w:r>
        <w:rPr>
          <w:lang w:val="es-ES"/>
        </w:rPr>
        <w:t>n</w:t>
      </w:r>
      <w:r w:rsidRPr="00D42C6C">
        <w:rPr>
          <w:lang w:val="es-ES"/>
        </w:rPr>
        <w:t xml:space="preserve"> un cambio de metodología respecto de los anteriores em</w:t>
      </w:r>
      <w:r>
        <w:rPr>
          <w:lang w:val="es-ES"/>
        </w:rPr>
        <w:t xml:space="preserve">itidos por la Superintendencia, </w:t>
      </w:r>
      <w:r w:rsidRPr="00D42C6C">
        <w:rPr>
          <w:lang w:val="es-ES"/>
        </w:rPr>
        <w:t>inform</w:t>
      </w:r>
      <w:r>
        <w:rPr>
          <w:lang w:val="es-ES"/>
        </w:rPr>
        <w:t xml:space="preserve">ándose </w:t>
      </w:r>
      <w:r w:rsidRPr="00D42C6C">
        <w:rPr>
          <w:lang w:val="es-ES"/>
        </w:rPr>
        <w:t xml:space="preserve"> las variaciones reales, es decir corregidas al valor de la UF del último día del mes. En todo caso, se adjunta una tabla en el documento que mantiene la serie histórica para ambas mediciones.</w:t>
      </w:r>
    </w:p>
  </w:footnote>
  <w:footnote w:id="6">
    <w:p w:rsidR="000E3773" w:rsidRPr="0004531A" w:rsidRDefault="000E3773" w:rsidP="00265A30">
      <w:pPr>
        <w:pStyle w:val="Textonotapie"/>
        <w:rPr>
          <w:lang w:val="es-ES"/>
        </w:rPr>
      </w:pPr>
      <w:r>
        <w:rPr>
          <w:rStyle w:val="Refdenotaalpie"/>
        </w:rPr>
        <w:footnoteRef/>
      </w:r>
      <w:r>
        <w:t xml:space="preserve"> </w:t>
      </w:r>
      <w:r w:rsidRPr="0004531A">
        <w:t>El impuesto específico se aplica sobre los ingresos brutos obtenidos en la explotación de los juegos autorizados, previa deducción del monto por impuesto al valor agregado (IVA) y el monto para los pagos provisionales mensuales obligatorios (PPM).</w:t>
      </w:r>
    </w:p>
  </w:footnote>
  <w:footnote w:id="7">
    <w:p w:rsidR="000E3773" w:rsidRPr="0004531A" w:rsidRDefault="000E3773" w:rsidP="00070FBD">
      <w:pPr>
        <w:pStyle w:val="Textonotapie"/>
        <w:rPr>
          <w:lang w:val="es-ES"/>
        </w:rPr>
      </w:pPr>
      <w:r>
        <w:rPr>
          <w:rStyle w:val="Refdenotaalpie"/>
        </w:rPr>
        <w:footnoteRef/>
      </w:r>
      <w:r>
        <w:t xml:space="preserve"> </w:t>
      </w:r>
      <w:r>
        <w:rPr>
          <w:lang w:val="es-ES"/>
        </w:rPr>
        <w:t xml:space="preserve">Concepto de </w:t>
      </w:r>
      <w:r w:rsidRPr="009858E3">
        <w:rPr>
          <w:i/>
          <w:lang w:val="es-ES"/>
        </w:rPr>
        <w:t>monto jugado</w:t>
      </w:r>
      <w:r>
        <w:rPr>
          <w:lang w:val="es-ES"/>
        </w:rPr>
        <w:t xml:space="preserve"> es distinto –y significativamente mayor- del gasto promedio, ya que incluye todas las “re-apuestas” de los premios ganados en las máquinas.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773" w:rsidRDefault="000E3773" w:rsidP="00FD382C">
    <w:pPr>
      <w:pStyle w:val="Encabezado"/>
    </w:pPr>
    <w:r w:rsidRPr="008E4618">
      <w:rPr>
        <w:noProof/>
        <w:lang w:val="es-ES" w:eastAsia="es-ES"/>
      </w:rPr>
      <w:drawing>
        <wp:anchor distT="0" distB="0" distL="114300" distR="114300" simplePos="0" relativeHeight="251658240" behindDoc="1" locked="0" layoutInCell="1" allowOverlap="1" wp14:anchorId="1613CA16" wp14:editId="103C776D">
          <wp:simplePos x="0" y="0"/>
          <wp:positionH relativeFrom="column">
            <wp:posOffset>-3809</wp:posOffset>
          </wp:positionH>
          <wp:positionV relativeFrom="paragraph">
            <wp:posOffset>-33002</wp:posOffset>
          </wp:positionV>
          <wp:extent cx="2247900" cy="497821"/>
          <wp:effectExtent l="0" t="0" r="0" b="0"/>
          <wp:wrapNone/>
          <wp:docPr id="22" name="Imagen 22"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b="18605"/>
                  <a:stretch/>
                </pic:blipFill>
                <pic:spPr bwMode="auto">
                  <a:xfrm>
                    <a:off x="0" y="0"/>
                    <a:ext cx="2252435" cy="4988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E3773" w:rsidRPr="00FD382C" w:rsidRDefault="000E3773" w:rsidP="009858E3">
    <w:pPr>
      <w:pStyle w:val="Encabezado"/>
      <w:pBdr>
        <w:bottom w:val="single" w:sz="4" w:space="1" w:color="auto"/>
      </w:pBdr>
      <w:jc w:val="right"/>
      <w:rPr>
        <w:b/>
      </w:rPr>
    </w:pPr>
    <w:r w:rsidRPr="00FD382C">
      <w:rPr>
        <w:b/>
      </w:rPr>
      <w:t>COMUNICADO DE PRENSA</w:t>
    </w:r>
  </w:p>
  <w:p w:rsidR="000E3773" w:rsidRDefault="000E3773" w:rsidP="009858E3">
    <w:pPr>
      <w:pStyle w:val="Encabezado"/>
      <w:pBdr>
        <w:bottom w:val="single" w:sz="4" w:space="1" w:color="auto"/>
      </w:pBdr>
      <w:rPr>
        <w:b/>
      </w:rPr>
    </w:pPr>
    <w:r w:rsidRPr="00FD382C">
      <w:rPr>
        <w:b/>
      </w:rPr>
      <w:tab/>
    </w:r>
    <w:r w:rsidRPr="00FD382C">
      <w:rPr>
        <w:b/>
      </w:rPr>
      <w:tab/>
    </w:r>
    <w:r w:rsidR="002A0A55">
      <w:rPr>
        <w:b/>
      </w:rPr>
      <w:t>Viernes 25</w:t>
    </w:r>
    <w:r>
      <w:rPr>
        <w:b/>
      </w:rPr>
      <w:t xml:space="preserve"> de noviembre de 201</w:t>
    </w:r>
    <w:r w:rsidRPr="00FD382C">
      <w:rPr>
        <w:b/>
      </w:rPr>
      <w:t>6</w:t>
    </w:r>
  </w:p>
  <w:p w:rsidR="000E3773" w:rsidRPr="00FD382C" w:rsidRDefault="000E3773" w:rsidP="009858E3">
    <w:pPr>
      <w:pStyle w:val="Encabez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94568"/>
    <w:multiLevelType w:val="hybridMultilevel"/>
    <w:tmpl w:val="E8324EC0"/>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1">
    <w:nsid w:val="2E7A2B2F"/>
    <w:multiLevelType w:val="hybridMultilevel"/>
    <w:tmpl w:val="50C2B6F6"/>
    <w:lvl w:ilvl="0" w:tplc="AE0C9D06">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8CE4973"/>
    <w:multiLevelType w:val="hybridMultilevel"/>
    <w:tmpl w:val="2A2059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39F6E6D"/>
    <w:multiLevelType w:val="hybridMultilevel"/>
    <w:tmpl w:val="1D1AC86C"/>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abstractNum w:abstractNumId="4">
    <w:nsid w:val="7C8B3B38"/>
    <w:multiLevelType w:val="hybridMultilevel"/>
    <w:tmpl w:val="04907038"/>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A"/>
    <w:rsid w:val="0004531A"/>
    <w:rsid w:val="00070FBD"/>
    <w:rsid w:val="00072032"/>
    <w:rsid w:val="00083908"/>
    <w:rsid w:val="00084B20"/>
    <w:rsid w:val="000C3DDF"/>
    <w:rsid w:val="000E3773"/>
    <w:rsid w:val="000F3304"/>
    <w:rsid w:val="000F3DC9"/>
    <w:rsid w:val="001152D3"/>
    <w:rsid w:val="00161F8D"/>
    <w:rsid w:val="0017349B"/>
    <w:rsid w:val="00196290"/>
    <w:rsid w:val="001D7E9E"/>
    <w:rsid w:val="001E2D5F"/>
    <w:rsid w:val="002406D6"/>
    <w:rsid w:val="00252772"/>
    <w:rsid w:val="00265A30"/>
    <w:rsid w:val="002A0A55"/>
    <w:rsid w:val="002B5C3A"/>
    <w:rsid w:val="002D141C"/>
    <w:rsid w:val="002E1BFC"/>
    <w:rsid w:val="00303081"/>
    <w:rsid w:val="00325132"/>
    <w:rsid w:val="00332EC7"/>
    <w:rsid w:val="0035639B"/>
    <w:rsid w:val="00364B35"/>
    <w:rsid w:val="0036723F"/>
    <w:rsid w:val="00385B98"/>
    <w:rsid w:val="00394BEF"/>
    <w:rsid w:val="003A4D71"/>
    <w:rsid w:val="003B0C64"/>
    <w:rsid w:val="003D02FA"/>
    <w:rsid w:val="003D15B6"/>
    <w:rsid w:val="003E7430"/>
    <w:rsid w:val="00404CEA"/>
    <w:rsid w:val="00427615"/>
    <w:rsid w:val="00457BCD"/>
    <w:rsid w:val="004830B6"/>
    <w:rsid w:val="004843DA"/>
    <w:rsid w:val="004942E1"/>
    <w:rsid w:val="004D4205"/>
    <w:rsid w:val="004E6E42"/>
    <w:rsid w:val="00563030"/>
    <w:rsid w:val="005B01F2"/>
    <w:rsid w:val="005B1CCB"/>
    <w:rsid w:val="005B279E"/>
    <w:rsid w:val="005F17F7"/>
    <w:rsid w:val="006022DC"/>
    <w:rsid w:val="00650542"/>
    <w:rsid w:val="006717A5"/>
    <w:rsid w:val="00696BDD"/>
    <w:rsid w:val="006A4494"/>
    <w:rsid w:val="006A7C49"/>
    <w:rsid w:val="006F36F7"/>
    <w:rsid w:val="006F6C40"/>
    <w:rsid w:val="0073400A"/>
    <w:rsid w:val="00750625"/>
    <w:rsid w:val="00774921"/>
    <w:rsid w:val="008161A3"/>
    <w:rsid w:val="00826557"/>
    <w:rsid w:val="00842993"/>
    <w:rsid w:val="0089072C"/>
    <w:rsid w:val="008B14B4"/>
    <w:rsid w:val="008B72D9"/>
    <w:rsid w:val="008E3E87"/>
    <w:rsid w:val="00901177"/>
    <w:rsid w:val="009265AF"/>
    <w:rsid w:val="00982E0D"/>
    <w:rsid w:val="009858E3"/>
    <w:rsid w:val="009C4049"/>
    <w:rsid w:val="009C6BC2"/>
    <w:rsid w:val="009E3CDD"/>
    <w:rsid w:val="00A12283"/>
    <w:rsid w:val="00A71A63"/>
    <w:rsid w:val="00A729EA"/>
    <w:rsid w:val="00A83B60"/>
    <w:rsid w:val="00A86A9B"/>
    <w:rsid w:val="00AA4471"/>
    <w:rsid w:val="00AB7EAD"/>
    <w:rsid w:val="00AC41DA"/>
    <w:rsid w:val="00AC7932"/>
    <w:rsid w:val="00AD51A3"/>
    <w:rsid w:val="00AE152A"/>
    <w:rsid w:val="00AE5679"/>
    <w:rsid w:val="00B0351E"/>
    <w:rsid w:val="00B3402A"/>
    <w:rsid w:val="00B41AFC"/>
    <w:rsid w:val="00B55181"/>
    <w:rsid w:val="00BA7A93"/>
    <w:rsid w:val="00C005EA"/>
    <w:rsid w:val="00C2062A"/>
    <w:rsid w:val="00C5279C"/>
    <w:rsid w:val="00C8471D"/>
    <w:rsid w:val="00CA4C34"/>
    <w:rsid w:val="00CF66DC"/>
    <w:rsid w:val="00D02BB0"/>
    <w:rsid w:val="00D347ED"/>
    <w:rsid w:val="00D36F50"/>
    <w:rsid w:val="00D42C6C"/>
    <w:rsid w:val="00D759F1"/>
    <w:rsid w:val="00DB1263"/>
    <w:rsid w:val="00DD47CC"/>
    <w:rsid w:val="00DE53E5"/>
    <w:rsid w:val="00E0320F"/>
    <w:rsid w:val="00E305E8"/>
    <w:rsid w:val="00E57CA1"/>
    <w:rsid w:val="00E8098C"/>
    <w:rsid w:val="00E80F2B"/>
    <w:rsid w:val="00EC0FC2"/>
    <w:rsid w:val="00EC15C7"/>
    <w:rsid w:val="00EE51F5"/>
    <w:rsid w:val="00EE656D"/>
    <w:rsid w:val="00EF38DA"/>
    <w:rsid w:val="00EF4E2F"/>
    <w:rsid w:val="00F033B3"/>
    <w:rsid w:val="00F7324B"/>
    <w:rsid w:val="00F86774"/>
    <w:rsid w:val="00F9221C"/>
    <w:rsid w:val="00FB3D8B"/>
    <w:rsid w:val="00FD382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D20FEAA-9EB6-4E5F-B423-84E1D26E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82C"/>
    <w:pPr>
      <w:spacing w:line="276" w:lineRule="auto"/>
      <w:jc w:val="both"/>
    </w:pPr>
  </w:style>
  <w:style w:type="paragraph" w:styleId="Ttulo5">
    <w:name w:val="heading 5"/>
    <w:basedOn w:val="Normal"/>
    <w:link w:val="Ttulo5Car"/>
    <w:uiPriority w:val="9"/>
    <w:qFormat/>
    <w:rsid w:val="005B01F2"/>
    <w:pPr>
      <w:spacing w:before="100" w:beforeAutospacing="1" w:after="100" w:afterAutospacing="1" w:line="240" w:lineRule="auto"/>
      <w:jc w:val="left"/>
      <w:outlineLvl w:val="4"/>
    </w:pPr>
    <w:rPr>
      <w:rFonts w:ascii="Times New Roman" w:eastAsia="Times New Roman" w:hAnsi="Times New Roman"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729E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729EA"/>
  </w:style>
  <w:style w:type="paragraph" w:styleId="Piedepgina">
    <w:name w:val="footer"/>
    <w:basedOn w:val="Normal"/>
    <w:link w:val="PiedepginaCar"/>
    <w:uiPriority w:val="99"/>
    <w:unhideWhenUsed/>
    <w:rsid w:val="00A729E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729EA"/>
  </w:style>
  <w:style w:type="paragraph" w:customStyle="1" w:styleId="Ttulo">
    <w:name w:val="Título"/>
    <w:basedOn w:val="Normal"/>
    <w:qFormat/>
    <w:rsid w:val="00A729EA"/>
    <w:rPr>
      <w:b/>
      <w:sz w:val="32"/>
    </w:rPr>
  </w:style>
  <w:style w:type="paragraph" w:styleId="Textonotapie">
    <w:name w:val="footnote text"/>
    <w:basedOn w:val="Normal"/>
    <w:link w:val="TextonotapieCar"/>
    <w:uiPriority w:val="99"/>
    <w:semiHidden/>
    <w:unhideWhenUsed/>
    <w:rsid w:val="00FD382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382C"/>
    <w:rPr>
      <w:sz w:val="20"/>
      <w:szCs w:val="20"/>
    </w:rPr>
  </w:style>
  <w:style w:type="character" w:styleId="Refdenotaalpie">
    <w:name w:val="footnote reference"/>
    <w:basedOn w:val="Fuentedeprrafopredeter"/>
    <w:uiPriority w:val="99"/>
    <w:semiHidden/>
    <w:unhideWhenUsed/>
    <w:rsid w:val="00FD382C"/>
    <w:rPr>
      <w:vertAlign w:val="superscript"/>
    </w:rPr>
  </w:style>
  <w:style w:type="character" w:styleId="Refdecomentario">
    <w:name w:val="annotation reference"/>
    <w:basedOn w:val="Fuentedeprrafopredeter"/>
    <w:uiPriority w:val="99"/>
    <w:semiHidden/>
    <w:unhideWhenUsed/>
    <w:rsid w:val="009858E3"/>
    <w:rPr>
      <w:sz w:val="16"/>
      <w:szCs w:val="16"/>
    </w:rPr>
  </w:style>
  <w:style w:type="paragraph" w:styleId="Textocomentario">
    <w:name w:val="annotation text"/>
    <w:basedOn w:val="Normal"/>
    <w:link w:val="TextocomentarioCar"/>
    <w:uiPriority w:val="99"/>
    <w:semiHidden/>
    <w:unhideWhenUsed/>
    <w:rsid w:val="009858E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858E3"/>
    <w:rPr>
      <w:sz w:val="20"/>
      <w:szCs w:val="20"/>
    </w:rPr>
  </w:style>
  <w:style w:type="paragraph" w:styleId="Asuntodelcomentario">
    <w:name w:val="annotation subject"/>
    <w:basedOn w:val="Textocomentario"/>
    <w:next w:val="Textocomentario"/>
    <w:link w:val="AsuntodelcomentarioCar"/>
    <w:uiPriority w:val="99"/>
    <w:semiHidden/>
    <w:unhideWhenUsed/>
    <w:rsid w:val="009858E3"/>
    <w:rPr>
      <w:b/>
      <w:bCs/>
    </w:rPr>
  </w:style>
  <w:style w:type="character" w:customStyle="1" w:styleId="AsuntodelcomentarioCar">
    <w:name w:val="Asunto del comentario Car"/>
    <w:basedOn w:val="TextocomentarioCar"/>
    <w:link w:val="Asuntodelcomentario"/>
    <w:uiPriority w:val="99"/>
    <w:semiHidden/>
    <w:rsid w:val="009858E3"/>
    <w:rPr>
      <w:b/>
      <w:bCs/>
      <w:sz w:val="20"/>
      <w:szCs w:val="20"/>
    </w:rPr>
  </w:style>
  <w:style w:type="paragraph" w:styleId="Textodeglobo">
    <w:name w:val="Balloon Text"/>
    <w:basedOn w:val="Normal"/>
    <w:link w:val="TextodegloboCar"/>
    <w:uiPriority w:val="99"/>
    <w:semiHidden/>
    <w:unhideWhenUsed/>
    <w:rsid w:val="009858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58E3"/>
    <w:rPr>
      <w:rFonts w:ascii="Segoe UI" w:hAnsi="Segoe UI" w:cs="Segoe UI"/>
      <w:sz w:val="18"/>
      <w:szCs w:val="18"/>
    </w:rPr>
  </w:style>
  <w:style w:type="paragraph" w:styleId="Prrafodelista">
    <w:name w:val="List Paragraph"/>
    <w:basedOn w:val="Normal"/>
    <w:uiPriority w:val="34"/>
    <w:qFormat/>
    <w:rsid w:val="00D42C6C"/>
    <w:pPr>
      <w:ind w:left="720"/>
      <w:contextualSpacing/>
    </w:pPr>
  </w:style>
  <w:style w:type="character" w:customStyle="1" w:styleId="Ttulo5Car">
    <w:name w:val="Título 5 Car"/>
    <w:basedOn w:val="Fuentedeprrafopredeter"/>
    <w:link w:val="Ttulo5"/>
    <w:uiPriority w:val="9"/>
    <w:rsid w:val="005B01F2"/>
    <w:rPr>
      <w:rFonts w:ascii="Times New Roman" w:eastAsia="Times New Roman" w:hAnsi="Times New Roman" w:cs="Times New Roman"/>
      <w:b/>
      <w:bCs/>
      <w:sz w:val="20"/>
      <w:szCs w:val="20"/>
      <w:lang w:val="es-ES" w:eastAsia="es-ES"/>
    </w:rPr>
  </w:style>
  <w:style w:type="paragraph" w:styleId="Textosinformato">
    <w:name w:val="Plain Text"/>
    <w:basedOn w:val="Normal"/>
    <w:link w:val="TextosinformatoCar"/>
    <w:uiPriority w:val="99"/>
    <w:unhideWhenUsed/>
    <w:rsid w:val="00083908"/>
    <w:pPr>
      <w:spacing w:after="0" w:line="240" w:lineRule="auto"/>
      <w:jc w:val="left"/>
    </w:pPr>
    <w:rPr>
      <w:rFonts w:ascii="Calibri" w:eastAsia="Calibri" w:hAnsi="Calibri" w:cs="Times New Roman"/>
      <w:szCs w:val="21"/>
      <w:lang w:val="es-ES"/>
    </w:rPr>
  </w:style>
  <w:style w:type="character" w:customStyle="1" w:styleId="TextosinformatoCar">
    <w:name w:val="Texto sin formato Car"/>
    <w:basedOn w:val="Fuentedeprrafopredeter"/>
    <w:link w:val="Textosinformato"/>
    <w:uiPriority w:val="99"/>
    <w:rsid w:val="00083908"/>
    <w:rPr>
      <w:rFonts w:ascii="Calibri" w:eastAsia="Calibri" w:hAnsi="Calibri" w:cs="Times New Roman"/>
      <w:szCs w:val="21"/>
      <w:lang w:val="es-ES"/>
    </w:rPr>
  </w:style>
  <w:style w:type="character" w:styleId="Hipervnculo">
    <w:name w:val="Hyperlink"/>
    <w:basedOn w:val="Fuentedeprrafopredeter"/>
    <w:uiPriority w:val="99"/>
    <w:unhideWhenUsed/>
    <w:rsid w:val="00FB3D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0748">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228154537">
      <w:bodyDiv w:val="1"/>
      <w:marLeft w:val="0"/>
      <w:marRight w:val="0"/>
      <w:marTop w:val="0"/>
      <w:marBottom w:val="0"/>
      <w:divBdr>
        <w:top w:val="none" w:sz="0" w:space="0" w:color="auto"/>
        <w:left w:val="none" w:sz="0" w:space="0" w:color="auto"/>
        <w:bottom w:val="none" w:sz="0" w:space="0" w:color="auto"/>
        <w:right w:val="none" w:sz="0" w:space="0" w:color="auto"/>
      </w:divBdr>
    </w:div>
    <w:div w:id="332415293">
      <w:bodyDiv w:val="1"/>
      <w:marLeft w:val="0"/>
      <w:marRight w:val="0"/>
      <w:marTop w:val="0"/>
      <w:marBottom w:val="0"/>
      <w:divBdr>
        <w:top w:val="none" w:sz="0" w:space="0" w:color="auto"/>
        <w:left w:val="none" w:sz="0" w:space="0" w:color="auto"/>
        <w:bottom w:val="none" w:sz="0" w:space="0" w:color="auto"/>
        <w:right w:val="none" w:sz="0" w:space="0" w:color="auto"/>
      </w:divBdr>
    </w:div>
    <w:div w:id="356084229">
      <w:bodyDiv w:val="1"/>
      <w:marLeft w:val="0"/>
      <w:marRight w:val="0"/>
      <w:marTop w:val="0"/>
      <w:marBottom w:val="0"/>
      <w:divBdr>
        <w:top w:val="none" w:sz="0" w:space="0" w:color="auto"/>
        <w:left w:val="none" w:sz="0" w:space="0" w:color="auto"/>
        <w:bottom w:val="none" w:sz="0" w:space="0" w:color="auto"/>
        <w:right w:val="none" w:sz="0" w:space="0" w:color="auto"/>
      </w:divBdr>
    </w:div>
    <w:div w:id="431048176">
      <w:bodyDiv w:val="1"/>
      <w:marLeft w:val="0"/>
      <w:marRight w:val="0"/>
      <w:marTop w:val="0"/>
      <w:marBottom w:val="0"/>
      <w:divBdr>
        <w:top w:val="none" w:sz="0" w:space="0" w:color="auto"/>
        <w:left w:val="none" w:sz="0" w:space="0" w:color="auto"/>
        <w:bottom w:val="none" w:sz="0" w:space="0" w:color="auto"/>
        <w:right w:val="none" w:sz="0" w:space="0" w:color="auto"/>
      </w:divBdr>
    </w:div>
    <w:div w:id="431973897">
      <w:bodyDiv w:val="1"/>
      <w:marLeft w:val="0"/>
      <w:marRight w:val="0"/>
      <w:marTop w:val="0"/>
      <w:marBottom w:val="0"/>
      <w:divBdr>
        <w:top w:val="none" w:sz="0" w:space="0" w:color="auto"/>
        <w:left w:val="none" w:sz="0" w:space="0" w:color="auto"/>
        <w:bottom w:val="none" w:sz="0" w:space="0" w:color="auto"/>
        <w:right w:val="none" w:sz="0" w:space="0" w:color="auto"/>
      </w:divBdr>
    </w:div>
    <w:div w:id="455292790">
      <w:bodyDiv w:val="1"/>
      <w:marLeft w:val="0"/>
      <w:marRight w:val="0"/>
      <w:marTop w:val="0"/>
      <w:marBottom w:val="0"/>
      <w:divBdr>
        <w:top w:val="none" w:sz="0" w:space="0" w:color="auto"/>
        <w:left w:val="none" w:sz="0" w:space="0" w:color="auto"/>
        <w:bottom w:val="none" w:sz="0" w:space="0" w:color="auto"/>
        <w:right w:val="none" w:sz="0" w:space="0" w:color="auto"/>
      </w:divBdr>
    </w:div>
    <w:div w:id="486479833">
      <w:bodyDiv w:val="1"/>
      <w:marLeft w:val="0"/>
      <w:marRight w:val="0"/>
      <w:marTop w:val="0"/>
      <w:marBottom w:val="0"/>
      <w:divBdr>
        <w:top w:val="none" w:sz="0" w:space="0" w:color="auto"/>
        <w:left w:val="none" w:sz="0" w:space="0" w:color="auto"/>
        <w:bottom w:val="none" w:sz="0" w:space="0" w:color="auto"/>
        <w:right w:val="none" w:sz="0" w:space="0" w:color="auto"/>
      </w:divBdr>
    </w:div>
    <w:div w:id="624821433">
      <w:bodyDiv w:val="1"/>
      <w:marLeft w:val="0"/>
      <w:marRight w:val="0"/>
      <w:marTop w:val="0"/>
      <w:marBottom w:val="0"/>
      <w:divBdr>
        <w:top w:val="none" w:sz="0" w:space="0" w:color="auto"/>
        <w:left w:val="none" w:sz="0" w:space="0" w:color="auto"/>
        <w:bottom w:val="none" w:sz="0" w:space="0" w:color="auto"/>
        <w:right w:val="none" w:sz="0" w:space="0" w:color="auto"/>
      </w:divBdr>
    </w:div>
    <w:div w:id="1084495780">
      <w:bodyDiv w:val="1"/>
      <w:marLeft w:val="0"/>
      <w:marRight w:val="0"/>
      <w:marTop w:val="0"/>
      <w:marBottom w:val="0"/>
      <w:divBdr>
        <w:top w:val="none" w:sz="0" w:space="0" w:color="auto"/>
        <w:left w:val="none" w:sz="0" w:space="0" w:color="auto"/>
        <w:bottom w:val="none" w:sz="0" w:space="0" w:color="auto"/>
        <w:right w:val="none" w:sz="0" w:space="0" w:color="auto"/>
      </w:divBdr>
    </w:div>
    <w:div w:id="1094285039">
      <w:bodyDiv w:val="1"/>
      <w:marLeft w:val="0"/>
      <w:marRight w:val="0"/>
      <w:marTop w:val="0"/>
      <w:marBottom w:val="0"/>
      <w:divBdr>
        <w:top w:val="none" w:sz="0" w:space="0" w:color="auto"/>
        <w:left w:val="none" w:sz="0" w:space="0" w:color="auto"/>
        <w:bottom w:val="none" w:sz="0" w:space="0" w:color="auto"/>
        <w:right w:val="none" w:sz="0" w:space="0" w:color="auto"/>
      </w:divBdr>
    </w:div>
    <w:div w:id="1274485058">
      <w:bodyDiv w:val="1"/>
      <w:marLeft w:val="0"/>
      <w:marRight w:val="0"/>
      <w:marTop w:val="0"/>
      <w:marBottom w:val="0"/>
      <w:divBdr>
        <w:top w:val="none" w:sz="0" w:space="0" w:color="auto"/>
        <w:left w:val="none" w:sz="0" w:space="0" w:color="auto"/>
        <w:bottom w:val="none" w:sz="0" w:space="0" w:color="auto"/>
        <w:right w:val="none" w:sz="0" w:space="0" w:color="auto"/>
      </w:divBdr>
    </w:div>
    <w:div w:id="1368606445">
      <w:bodyDiv w:val="1"/>
      <w:marLeft w:val="0"/>
      <w:marRight w:val="0"/>
      <w:marTop w:val="0"/>
      <w:marBottom w:val="0"/>
      <w:divBdr>
        <w:top w:val="none" w:sz="0" w:space="0" w:color="auto"/>
        <w:left w:val="none" w:sz="0" w:space="0" w:color="auto"/>
        <w:bottom w:val="none" w:sz="0" w:space="0" w:color="auto"/>
        <w:right w:val="none" w:sz="0" w:space="0" w:color="auto"/>
      </w:divBdr>
    </w:div>
    <w:div w:id="1484589720">
      <w:bodyDiv w:val="1"/>
      <w:marLeft w:val="0"/>
      <w:marRight w:val="0"/>
      <w:marTop w:val="0"/>
      <w:marBottom w:val="0"/>
      <w:divBdr>
        <w:top w:val="none" w:sz="0" w:space="0" w:color="auto"/>
        <w:left w:val="none" w:sz="0" w:space="0" w:color="auto"/>
        <w:bottom w:val="none" w:sz="0" w:space="0" w:color="auto"/>
        <w:right w:val="none" w:sz="0" w:space="0" w:color="auto"/>
      </w:divBdr>
    </w:div>
    <w:div w:id="1569266064">
      <w:bodyDiv w:val="1"/>
      <w:marLeft w:val="0"/>
      <w:marRight w:val="0"/>
      <w:marTop w:val="0"/>
      <w:marBottom w:val="0"/>
      <w:divBdr>
        <w:top w:val="none" w:sz="0" w:space="0" w:color="auto"/>
        <w:left w:val="none" w:sz="0" w:space="0" w:color="auto"/>
        <w:bottom w:val="none" w:sz="0" w:space="0" w:color="auto"/>
        <w:right w:val="none" w:sz="0" w:space="0" w:color="auto"/>
      </w:divBdr>
    </w:div>
    <w:div w:id="1584535477">
      <w:bodyDiv w:val="1"/>
      <w:marLeft w:val="0"/>
      <w:marRight w:val="0"/>
      <w:marTop w:val="0"/>
      <w:marBottom w:val="0"/>
      <w:divBdr>
        <w:top w:val="none" w:sz="0" w:space="0" w:color="auto"/>
        <w:left w:val="none" w:sz="0" w:space="0" w:color="auto"/>
        <w:bottom w:val="none" w:sz="0" w:space="0" w:color="auto"/>
        <w:right w:val="none" w:sz="0" w:space="0" w:color="auto"/>
      </w:divBdr>
    </w:div>
    <w:div w:id="1877156784">
      <w:bodyDiv w:val="1"/>
      <w:marLeft w:val="0"/>
      <w:marRight w:val="0"/>
      <w:marTop w:val="0"/>
      <w:marBottom w:val="0"/>
      <w:divBdr>
        <w:top w:val="none" w:sz="0" w:space="0" w:color="auto"/>
        <w:left w:val="none" w:sz="0" w:space="0" w:color="auto"/>
        <w:bottom w:val="none" w:sz="0" w:space="0" w:color="auto"/>
        <w:right w:val="none" w:sz="0" w:space="0" w:color="auto"/>
      </w:divBdr>
    </w:div>
    <w:div w:id="2062514356">
      <w:bodyDiv w:val="1"/>
      <w:marLeft w:val="0"/>
      <w:marRight w:val="0"/>
      <w:marTop w:val="0"/>
      <w:marBottom w:val="0"/>
      <w:divBdr>
        <w:top w:val="none" w:sz="0" w:space="0" w:color="auto"/>
        <w:left w:val="none" w:sz="0" w:space="0" w:color="auto"/>
        <w:bottom w:val="none" w:sz="0" w:space="0" w:color="auto"/>
        <w:right w:val="none" w:sz="0" w:space="0" w:color="auto"/>
      </w:divBdr>
    </w:div>
    <w:div w:id="212221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valladares@scj.gob.c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hyperlink" Target="mailto:dnavia@scj.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55F09-5764-4147-A7C8-BE64D7B4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2494</Words>
  <Characters>13723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García Fernandez</dc:creator>
  <cp:keywords/>
  <dc:description/>
  <cp:lastModifiedBy>Claudia Valladares Acosta</cp:lastModifiedBy>
  <cp:revision>4</cp:revision>
  <cp:lastPrinted>2016-11-25T12:03:00Z</cp:lastPrinted>
  <dcterms:created xsi:type="dcterms:W3CDTF">2016-11-25T11:58:00Z</dcterms:created>
  <dcterms:modified xsi:type="dcterms:W3CDTF">2016-11-25T17:32:00Z</dcterms:modified>
</cp:coreProperties>
</file>