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871A54">
        <w:rPr>
          <w:sz w:val="28"/>
          <w:szCs w:val="28"/>
        </w:rPr>
        <w:t>10</w:t>
      </w:r>
      <w:r w:rsidR="00990053">
        <w:rPr>
          <w:sz w:val="28"/>
          <w:szCs w:val="28"/>
        </w:rPr>
        <w:t>.</w:t>
      </w:r>
      <w:r w:rsidR="00871A54">
        <w:rPr>
          <w:sz w:val="28"/>
          <w:szCs w:val="28"/>
        </w:rPr>
        <w:t>810</w:t>
      </w:r>
      <w:r w:rsidR="00536AD9">
        <w:rPr>
          <w:sz w:val="28"/>
          <w:szCs w:val="28"/>
        </w:rPr>
        <w:t xml:space="preserve"> millones</w:t>
      </w:r>
      <w:r w:rsidR="00231FE9">
        <w:rPr>
          <w:sz w:val="28"/>
          <w:szCs w:val="28"/>
        </w:rPr>
        <w:t xml:space="preserve"> en </w:t>
      </w:r>
      <w:r w:rsidR="00871A54">
        <w:rPr>
          <w:sz w:val="28"/>
          <w:szCs w:val="28"/>
        </w:rPr>
        <w:t>diciem</w:t>
      </w:r>
      <w:r w:rsidR="00491666">
        <w:rPr>
          <w:sz w:val="28"/>
          <w:szCs w:val="28"/>
        </w:rPr>
        <w:t>b</w:t>
      </w:r>
      <w:r w:rsidR="00414497">
        <w:rPr>
          <w:sz w:val="28"/>
          <w:szCs w:val="28"/>
        </w:rPr>
        <w:t>re</w:t>
      </w:r>
      <w:r w:rsidR="00231FE9">
        <w:rPr>
          <w:sz w:val="28"/>
          <w:szCs w:val="28"/>
        </w:rPr>
        <w:t xml:space="preserve"> de 201</w:t>
      </w:r>
      <w:r w:rsidR="002B2B3F">
        <w:rPr>
          <w:sz w:val="28"/>
          <w:szCs w:val="28"/>
        </w:rPr>
        <w:t>9</w:t>
      </w:r>
    </w:p>
    <w:p w:rsidR="00E71238" w:rsidRDefault="00D25673" w:rsidP="00D17B24">
      <w:pPr>
        <w:pStyle w:val="Ttulo1"/>
        <w:numPr>
          <w:ilvl w:val="0"/>
          <w:numId w:val="6"/>
        </w:numPr>
        <w:tabs>
          <w:tab w:val="left" w:pos="0"/>
        </w:tabs>
        <w:ind w:left="284" w:hanging="284"/>
        <w:rPr>
          <w:i/>
          <w:sz w:val="22"/>
        </w:rPr>
      </w:pPr>
      <w:r>
        <w:rPr>
          <w:i/>
          <w:sz w:val="22"/>
        </w:rPr>
        <w:t>Del total de impuestos generados por los 1</w:t>
      </w:r>
      <w:r w:rsidR="006343C2">
        <w:rPr>
          <w:i/>
          <w:sz w:val="22"/>
        </w:rPr>
        <w:t>9</w:t>
      </w:r>
      <w:r>
        <w:rPr>
          <w:i/>
          <w:sz w:val="22"/>
        </w:rPr>
        <w:t xml:space="preserve">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6343C2">
        <w:rPr>
          <w:i/>
          <w:sz w:val="22"/>
        </w:rPr>
        <w:t>3</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6343C2">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rsidR="00975153" w:rsidRDefault="00536AD9" w:rsidP="00B07563">
      <w:pPr>
        <w:tabs>
          <w:tab w:val="left" w:pos="0"/>
        </w:tabs>
        <w:spacing w:after="0" w:line="240" w:lineRule="auto"/>
        <w:rPr>
          <w:rFonts w:cstheme="minorHAnsi"/>
        </w:rPr>
      </w:pPr>
      <w:r w:rsidRPr="000249BB">
        <w:rPr>
          <w:rFonts w:cstheme="minorHAnsi"/>
        </w:rPr>
        <w:t xml:space="preserve">Durante </w:t>
      </w:r>
      <w:r w:rsidR="00871A54">
        <w:rPr>
          <w:rFonts w:cstheme="minorHAnsi"/>
        </w:rPr>
        <w:t>dicie</w:t>
      </w:r>
      <w:r w:rsidR="00491666">
        <w:rPr>
          <w:rFonts w:cstheme="minorHAnsi"/>
        </w:rPr>
        <w:t>mbre</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w:t>
      </w:r>
      <w:r w:rsidR="006343C2">
        <w:rPr>
          <w:rFonts w:cstheme="minorHAnsi"/>
        </w:rPr>
        <w:t>9</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871A54">
        <w:rPr>
          <w:rFonts w:cstheme="minorHAnsi"/>
        </w:rPr>
        <w:t>10</w:t>
      </w:r>
      <w:r w:rsidRPr="000249BB">
        <w:rPr>
          <w:rFonts w:cstheme="minorHAnsi"/>
        </w:rPr>
        <w:t>.</w:t>
      </w:r>
      <w:r w:rsidR="00871A54">
        <w:rPr>
          <w:rFonts w:cstheme="minorHAnsi"/>
        </w:rPr>
        <w:t>810</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491666">
        <w:rPr>
          <w:rFonts w:cstheme="minorHAnsi"/>
        </w:rPr>
        <w:t>4</w:t>
      </w:r>
      <w:r w:rsidR="00010D78">
        <w:rPr>
          <w:rFonts w:cstheme="minorHAnsi"/>
        </w:rPr>
        <w:t>.</w:t>
      </w:r>
      <w:r w:rsidR="00871A54">
        <w:rPr>
          <w:rFonts w:cstheme="minorHAnsi"/>
        </w:rPr>
        <w:t>668</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491666">
        <w:rPr>
          <w:rFonts w:cstheme="minorHAnsi"/>
        </w:rPr>
        <w:t>4</w:t>
      </w:r>
      <w:r w:rsidR="00010D78">
        <w:rPr>
          <w:rFonts w:cstheme="minorHAnsi"/>
        </w:rPr>
        <w:t>.</w:t>
      </w:r>
      <w:r w:rsidR="00871A54">
        <w:rPr>
          <w:rFonts w:cstheme="minorHAnsi"/>
        </w:rPr>
        <w:t>585</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871A54">
        <w:rPr>
          <w:rFonts w:cstheme="minorHAnsi"/>
        </w:rPr>
        <w:t>557</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rsidR="00975153" w:rsidRDefault="00975153" w:rsidP="00B07563">
      <w:pPr>
        <w:tabs>
          <w:tab w:val="left" w:pos="0"/>
        </w:tabs>
        <w:spacing w:after="0" w:line="240" w:lineRule="auto"/>
        <w:rPr>
          <w:rFonts w:cstheme="minorHAnsi"/>
        </w:rPr>
      </w:pPr>
    </w:p>
    <w:p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w:t>
      </w:r>
      <w:r w:rsidR="006343C2">
        <w:rPr>
          <w:rFonts w:cstheme="minorHAnsi"/>
        </w:rPr>
        <w:t>4</w:t>
      </w:r>
      <w:r w:rsidRPr="000249BB">
        <w:rPr>
          <w:rFonts w:cstheme="minorHAnsi"/>
        </w:rPr>
        <w:t xml:space="preserve"> gobiernos regionales y las 1</w:t>
      </w:r>
      <w:r w:rsidR="006343C2">
        <w:rPr>
          <w:rFonts w:cstheme="minorHAnsi"/>
        </w:rPr>
        <w:t>9</w:t>
      </w:r>
      <w:r w:rsidRPr="000249BB">
        <w:rPr>
          <w:rFonts w:cstheme="minorHAnsi"/>
        </w:rPr>
        <w:t xml:space="preserve"> municipalidades</w:t>
      </w:r>
      <w:r w:rsidR="00AD2786" w:rsidRPr="000249BB">
        <w:rPr>
          <w:rFonts w:cstheme="minorHAnsi"/>
        </w:rPr>
        <w:t xml:space="preserve"> reciben los fondos provenientes del impuesto específico al juego, </w:t>
      </w:r>
      <w:r w:rsidR="002F4B23">
        <w:rPr>
          <w:rFonts w:cstheme="minorHAnsi"/>
        </w:rPr>
        <w:t>a</w:t>
      </w:r>
      <w:r w:rsidRPr="000249BB">
        <w:rPr>
          <w:rFonts w:cstheme="minorHAnsi"/>
        </w:rPr>
        <w:t>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871A54">
        <w:rPr>
          <w:rFonts w:cstheme="minorHAnsi"/>
        </w:rPr>
        <w:t>marzo</w:t>
      </w:r>
      <w:r w:rsidR="00BA3504">
        <w:rPr>
          <w:rFonts w:cstheme="minorHAnsi"/>
        </w:rPr>
        <w:t xml:space="preserve"> de 20</w:t>
      </w:r>
      <w:r w:rsidR="00414497">
        <w:rPr>
          <w:rFonts w:cstheme="minorHAnsi"/>
        </w:rPr>
        <w:t>20.</w:t>
      </w:r>
    </w:p>
    <w:p w:rsidR="00EA48A8" w:rsidRPr="000249BB" w:rsidRDefault="00EA48A8" w:rsidP="00B07563">
      <w:pPr>
        <w:tabs>
          <w:tab w:val="left" w:pos="0"/>
        </w:tabs>
        <w:spacing w:after="0" w:line="240" w:lineRule="auto"/>
        <w:rPr>
          <w:rFonts w:cstheme="minorHAnsi"/>
        </w:rPr>
      </w:pPr>
    </w:p>
    <w:p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871A54">
        <w:rPr>
          <w:rFonts w:cstheme="minorHAnsi"/>
        </w:rPr>
        <w:t>81</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491666">
        <w:rPr>
          <w:rFonts w:cstheme="minorHAnsi"/>
        </w:rPr>
        <w:t>5</w:t>
      </w:r>
      <w:r w:rsidR="00871A54">
        <w:rPr>
          <w:rFonts w:cstheme="minorHAnsi"/>
        </w:rPr>
        <w:t>3</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491666">
        <w:rPr>
          <w:rFonts w:cstheme="minorHAnsi"/>
        </w:rPr>
        <w:t>5</w:t>
      </w:r>
      <w:r w:rsidR="00871A54">
        <w:rPr>
          <w:rFonts w:cstheme="minorHAnsi"/>
        </w:rPr>
        <w:t>3</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871A54">
        <w:rPr>
          <w:rFonts w:cstheme="minorHAnsi"/>
        </w:rPr>
        <w:t>101</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491666">
        <w:rPr>
          <w:rFonts w:cstheme="minorHAnsi"/>
        </w:rPr>
        <w:t>7</w:t>
      </w:r>
      <w:r w:rsidR="00871A54">
        <w:rPr>
          <w:rFonts w:cstheme="minorHAnsi"/>
        </w:rPr>
        <w:t>5</w:t>
      </w:r>
      <w:r w:rsidRPr="000249BB">
        <w:rPr>
          <w:rFonts w:cstheme="minorHAnsi"/>
        </w:rPr>
        <w:t xml:space="preserve"> millones por concepto de entrada.</w:t>
      </w:r>
    </w:p>
    <w:bookmarkEnd w:id="0"/>
    <w:p w:rsidR="000249BB" w:rsidRPr="000249BB" w:rsidRDefault="000249BB" w:rsidP="00B07563">
      <w:pPr>
        <w:tabs>
          <w:tab w:val="left" w:pos="0"/>
        </w:tabs>
        <w:spacing w:after="0" w:line="240" w:lineRule="auto"/>
        <w:rPr>
          <w:rFonts w:cstheme="minorHAnsi"/>
        </w:rPr>
      </w:pPr>
    </w:p>
    <w:p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00491666">
        <w:rPr>
          <w:rFonts w:cstheme="minorHAnsi"/>
        </w:rPr>
        <w:t>1.1</w:t>
      </w:r>
      <w:r w:rsidR="00871A54">
        <w:rPr>
          <w:rFonts w:cstheme="minorHAnsi"/>
        </w:rPr>
        <w:t>96</w:t>
      </w:r>
      <w:r w:rsidRPr="000249BB">
        <w:rPr>
          <w:rFonts w:cstheme="minorHAnsi"/>
        </w:rPr>
        <w:t xml:space="preserve"> millones, de los cuales $</w:t>
      </w:r>
      <w:r w:rsidR="007D18AC">
        <w:rPr>
          <w:rFonts w:cstheme="minorHAnsi"/>
        </w:rPr>
        <w:t xml:space="preserve"> </w:t>
      </w:r>
      <w:r w:rsidR="00491666">
        <w:rPr>
          <w:rFonts w:cstheme="minorHAnsi"/>
        </w:rPr>
        <w:t>2</w:t>
      </w:r>
      <w:r w:rsidR="00871A54">
        <w:rPr>
          <w:rFonts w:cstheme="minorHAnsi"/>
        </w:rPr>
        <w:t>57</w:t>
      </w:r>
      <w:r w:rsidRPr="000249BB">
        <w:rPr>
          <w:rFonts w:cstheme="minorHAnsi"/>
        </w:rPr>
        <w:t xml:space="preserve"> millones se destinan al Gobierno Regional, en tanto que $</w:t>
      </w:r>
      <w:r w:rsidR="00C60FC7">
        <w:rPr>
          <w:rFonts w:cstheme="minorHAnsi"/>
        </w:rPr>
        <w:t xml:space="preserve"> </w:t>
      </w:r>
      <w:r w:rsidR="00491666">
        <w:rPr>
          <w:rFonts w:cstheme="minorHAnsi"/>
        </w:rPr>
        <w:t>8</w:t>
      </w:r>
      <w:r w:rsidR="00871A54">
        <w:rPr>
          <w:rFonts w:cstheme="minorHAnsi"/>
        </w:rPr>
        <w:t>5</w:t>
      </w:r>
      <w:r w:rsidRPr="000249BB">
        <w:rPr>
          <w:rFonts w:cstheme="minorHAnsi"/>
        </w:rPr>
        <w:t xml:space="preserve"> millones y $</w:t>
      </w:r>
      <w:r w:rsidR="00C60FC7">
        <w:rPr>
          <w:rFonts w:cstheme="minorHAnsi"/>
        </w:rPr>
        <w:t xml:space="preserve"> 1</w:t>
      </w:r>
      <w:r w:rsidR="00491666">
        <w:rPr>
          <w:rFonts w:cstheme="minorHAnsi"/>
        </w:rPr>
        <w:t>7</w:t>
      </w:r>
      <w:r w:rsidR="00871A54">
        <w:rPr>
          <w:rFonts w:cstheme="minorHAnsi"/>
        </w:rPr>
        <w:t>2</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w:t>
      </w:r>
      <w:r w:rsidR="00C60FC7">
        <w:rPr>
          <w:rFonts w:cstheme="minorHAnsi"/>
        </w:rPr>
        <w:t xml:space="preserve"> </w:t>
      </w:r>
      <w:r w:rsidR="007F3AA1">
        <w:rPr>
          <w:rFonts w:cstheme="minorHAnsi"/>
        </w:rPr>
        <w:t>1</w:t>
      </w:r>
      <w:r w:rsidR="00871A54">
        <w:rPr>
          <w:rFonts w:cstheme="minorHAnsi"/>
        </w:rPr>
        <w:t>66</w:t>
      </w:r>
      <w:r w:rsidRPr="000249BB">
        <w:rPr>
          <w:rFonts w:cstheme="minorHAnsi"/>
        </w:rPr>
        <w:t xml:space="preserve"> millones por concepto de IVA y $</w:t>
      </w:r>
      <w:r w:rsidR="00C60FC7">
        <w:rPr>
          <w:rFonts w:cstheme="minorHAnsi"/>
        </w:rPr>
        <w:t xml:space="preserve"> </w:t>
      </w:r>
      <w:r w:rsidR="00871A54">
        <w:rPr>
          <w:rFonts w:cstheme="minorHAnsi"/>
        </w:rPr>
        <w:t>60</w:t>
      </w:r>
      <w:r w:rsidRPr="000249BB">
        <w:rPr>
          <w:rFonts w:cstheme="minorHAnsi"/>
        </w:rPr>
        <w:t xml:space="preserve"> millones por concepto de entrada. A su vez, Enjoy Antofagasta aport</w:t>
      </w:r>
      <w:r w:rsidR="002F4B23">
        <w:rPr>
          <w:rFonts w:cstheme="minorHAnsi"/>
        </w:rPr>
        <w:t xml:space="preserve">ó </w:t>
      </w:r>
      <w:r w:rsidRPr="000249BB">
        <w:rPr>
          <w:rFonts w:cstheme="minorHAnsi"/>
        </w:rPr>
        <w:t>$</w:t>
      </w:r>
      <w:r w:rsidR="00C60FC7">
        <w:rPr>
          <w:rFonts w:cstheme="minorHAnsi"/>
        </w:rPr>
        <w:t xml:space="preserve"> </w:t>
      </w:r>
      <w:r w:rsidR="00491666">
        <w:rPr>
          <w:rFonts w:cstheme="minorHAnsi"/>
        </w:rPr>
        <w:t>3</w:t>
      </w:r>
      <w:r w:rsidR="00871A54">
        <w:rPr>
          <w:rFonts w:cstheme="minorHAnsi"/>
        </w:rPr>
        <w:t>3</w:t>
      </w:r>
      <w:r w:rsidR="00491666">
        <w:rPr>
          <w:rFonts w:cstheme="minorHAnsi"/>
        </w:rPr>
        <w:t>3</w:t>
      </w:r>
      <w:r w:rsidRPr="000249BB">
        <w:rPr>
          <w:rFonts w:cstheme="minorHAnsi"/>
        </w:rPr>
        <w:t xml:space="preserve"> millones por concepto de IVA y $</w:t>
      </w:r>
      <w:r w:rsidR="00C60FC7">
        <w:rPr>
          <w:rFonts w:cstheme="minorHAnsi"/>
        </w:rPr>
        <w:t xml:space="preserve"> </w:t>
      </w:r>
      <w:r w:rsidR="00491666">
        <w:rPr>
          <w:rFonts w:cstheme="minorHAnsi"/>
        </w:rPr>
        <w:t>1</w:t>
      </w:r>
      <w:r w:rsidR="00871A54">
        <w:rPr>
          <w:rFonts w:cstheme="minorHAnsi"/>
        </w:rPr>
        <w:t>2</w:t>
      </w:r>
      <w:r w:rsidR="00491666">
        <w:rPr>
          <w:rFonts w:cstheme="minorHAnsi"/>
        </w:rPr>
        <w:t>3</w:t>
      </w:r>
      <w:r w:rsidRPr="000249BB">
        <w:rPr>
          <w:rFonts w:cstheme="minorHAnsi"/>
        </w:rPr>
        <w:t xml:space="preserve"> millones por concepto de entrada.</w:t>
      </w:r>
    </w:p>
    <w:p w:rsidR="00B07563" w:rsidRPr="000249BB" w:rsidRDefault="00B07563" w:rsidP="00B07563">
      <w:pPr>
        <w:tabs>
          <w:tab w:val="left" w:pos="0"/>
          <w:tab w:val="left" w:pos="6285"/>
        </w:tabs>
        <w:spacing w:after="0" w:line="240" w:lineRule="auto"/>
        <w:rPr>
          <w:rFonts w:cstheme="minorHAnsi"/>
        </w:rPr>
      </w:pPr>
    </w:p>
    <w:p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871A54">
        <w:rPr>
          <w:rFonts w:cstheme="minorHAnsi"/>
        </w:rPr>
        <w:t>405</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491666">
        <w:rPr>
          <w:rFonts w:cstheme="minorHAnsi"/>
        </w:rPr>
        <w:t>7</w:t>
      </w:r>
      <w:r w:rsidR="00871A54">
        <w:rPr>
          <w:rFonts w:cstheme="minorHAnsi"/>
        </w:rPr>
        <w:t>9</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491666">
        <w:rPr>
          <w:rFonts w:cstheme="minorHAnsi"/>
        </w:rPr>
        <w:t>7</w:t>
      </w:r>
      <w:r w:rsidR="00871A54">
        <w:rPr>
          <w:rFonts w:cstheme="minorHAnsi"/>
        </w:rPr>
        <w:t>9</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871A54">
        <w:rPr>
          <w:rFonts w:cstheme="minorHAnsi"/>
        </w:rPr>
        <w:t>65</w:t>
      </w:r>
      <w:r w:rsidRPr="000249BB">
        <w:rPr>
          <w:rFonts w:cstheme="minorHAnsi"/>
        </w:rPr>
        <w:t xml:space="preserve"> millones por concepto de IVA y $</w:t>
      </w:r>
      <w:r w:rsidR="00C60FC7">
        <w:rPr>
          <w:rFonts w:cstheme="minorHAnsi"/>
        </w:rPr>
        <w:t xml:space="preserve"> </w:t>
      </w:r>
      <w:r w:rsidR="00871A54">
        <w:rPr>
          <w:rFonts w:cstheme="minorHAnsi"/>
        </w:rPr>
        <w:t>82</w:t>
      </w:r>
      <w:r w:rsidRPr="000249BB">
        <w:rPr>
          <w:rFonts w:cstheme="minorHAnsi"/>
        </w:rPr>
        <w:t xml:space="preserve"> millones por concepto de entrada.</w:t>
      </w:r>
    </w:p>
    <w:p w:rsidR="000249BB" w:rsidRPr="000249BB" w:rsidRDefault="000249BB" w:rsidP="00B07563">
      <w:pPr>
        <w:tabs>
          <w:tab w:val="left" w:pos="0"/>
          <w:tab w:val="left" w:pos="6285"/>
        </w:tabs>
        <w:spacing w:after="0" w:line="240" w:lineRule="auto"/>
        <w:rPr>
          <w:rFonts w:cstheme="minorHAnsi"/>
        </w:rPr>
      </w:pPr>
    </w:p>
    <w:p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00A74B36">
        <w:rPr>
          <w:rFonts w:ascii="Calibri" w:hAnsi="Calibri" w:cs="Calibri"/>
        </w:rPr>
        <w:t>1</w:t>
      </w:r>
      <w:r w:rsidR="00491666">
        <w:rPr>
          <w:rFonts w:ascii="Calibri" w:hAnsi="Calibri" w:cs="Calibri"/>
        </w:rPr>
        <w:t>7</w:t>
      </w:r>
      <w:r w:rsidR="00871A54">
        <w:rPr>
          <w:rFonts w:ascii="Calibri" w:hAnsi="Calibri" w:cs="Calibri"/>
        </w:rPr>
        <w:t>2</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491666">
        <w:rPr>
          <w:rFonts w:ascii="Calibri" w:hAnsi="Calibri" w:cs="Calibri"/>
        </w:rPr>
        <w:t>3</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A74B36">
        <w:rPr>
          <w:rFonts w:ascii="Calibri" w:hAnsi="Calibri" w:cs="Calibri"/>
        </w:rPr>
        <w:t>3</w:t>
      </w:r>
      <w:r w:rsidR="00491666">
        <w:rPr>
          <w:rFonts w:ascii="Calibri" w:hAnsi="Calibri" w:cs="Calibri"/>
        </w:rPr>
        <w:t>3</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871A54">
        <w:rPr>
          <w:rFonts w:ascii="Calibri" w:hAnsi="Calibri" w:cs="Calibri"/>
        </w:rPr>
        <w:t>3</w:t>
      </w:r>
      <w:r w:rsidRPr="00EA48A8">
        <w:rPr>
          <w:rFonts w:ascii="Calibri" w:hAnsi="Calibri" w:cs="Calibri"/>
        </w:rPr>
        <w:t xml:space="preserve"> millones por concepto de IVA y $</w:t>
      </w:r>
      <w:r w:rsidR="00C60FC7">
        <w:rPr>
          <w:rFonts w:ascii="Calibri" w:hAnsi="Calibri" w:cs="Calibri"/>
        </w:rPr>
        <w:t xml:space="preserve"> </w:t>
      </w:r>
      <w:r w:rsidR="00491666">
        <w:rPr>
          <w:rFonts w:ascii="Calibri" w:hAnsi="Calibri" w:cs="Calibri"/>
        </w:rPr>
        <w:t>4</w:t>
      </w:r>
      <w:r w:rsidR="00871A54">
        <w:rPr>
          <w:rFonts w:ascii="Calibri" w:hAnsi="Calibri" w:cs="Calibri"/>
        </w:rPr>
        <w:t>2</w:t>
      </w:r>
      <w:r w:rsidRPr="00EA48A8">
        <w:rPr>
          <w:rFonts w:ascii="Calibri" w:hAnsi="Calibri" w:cs="Calibri"/>
        </w:rPr>
        <w:t xml:space="preserve"> millones por concepto de entrada.</w:t>
      </w:r>
    </w:p>
    <w:p w:rsidR="00B07563" w:rsidRPr="00EA48A8" w:rsidRDefault="00B07563"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491666">
        <w:rPr>
          <w:rFonts w:ascii="Calibri" w:hAnsi="Calibri" w:cs="Calibri"/>
        </w:rPr>
        <w:t>3</w:t>
      </w:r>
      <w:r w:rsidR="00871A54">
        <w:rPr>
          <w:rFonts w:ascii="Calibri" w:hAnsi="Calibri" w:cs="Calibri"/>
        </w:rPr>
        <w:t>73</w:t>
      </w:r>
      <w:r w:rsidRPr="00EA48A8">
        <w:rPr>
          <w:rFonts w:ascii="Calibri" w:hAnsi="Calibri" w:cs="Calibri"/>
        </w:rPr>
        <w:t xml:space="preserve"> millones, de los cuales $</w:t>
      </w:r>
      <w:r w:rsidR="002C3586">
        <w:rPr>
          <w:rFonts w:ascii="Calibri" w:hAnsi="Calibri" w:cs="Calibri"/>
        </w:rPr>
        <w:t xml:space="preserve"> </w:t>
      </w:r>
      <w:r w:rsidR="00871A54">
        <w:rPr>
          <w:rFonts w:ascii="Calibri" w:hAnsi="Calibri" w:cs="Calibri"/>
        </w:rPr>
        <w:t>313</w:t>
      </w:r>
      <w:r w:rsidRPr="00EA48A8">
        <w:rPr>
          <w:rFonts w:ascii="Calibri" w:hAnsi="Calibri" w:cs="Calibri"/>
        </w:rPr>
        <w:t xml:space="preserve"> millones se destinan al Gobierno Regional, en tanto que $</w:t>
      </w:r>
      <w:r w:rsidR="00C60FC7">
        <w:rPr>
          <w:rFonts w:ascii="Calibri" w:hAnsi="Calibri" w:cs="Calibri"/>
        </w:rPr>
        <w:t xml:space="preserve"> </w:t>
      </w:r>
      <w:r w:rsidR="00871A54">
        <w:rPr>
          <w:rFonts w:ascii="Calibri" w:hAnsi="Calibri" w:cs="Calibri"/>
        </w:rPr>
        <w:t>51</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2</w:t>
      </w:r>
      <w:r w:rsidR="00871A54">
        <w:rPr>
          <w:rFonts w:ascii="Calibri" w:hAnsi="Calibri" w:cs="Calibri"/>
        </w:rPr>
        <w:t>63</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00491666">
        <w:rPr>
          <w:rFonts w:ascii="Calibri" w:hAnsi="Calibri" w:cs="Calibri"/>
        </w:rPr>
        <w:t>9</w:t>
      </w:r>
      <w:r w:rsidR="00871A54">
        <w:rPr>
          <w:rFonts w:ascii="Calibri" w:hAnsi="Calibri" w:cs="Calibri"/>
        </w:rPr>
        <w:t>6</w:t>
      </w:r>
      <w:r w:rsidRPr="00EA48A8">
        <w:rPr>
          <w:rFonts w:ascii="Calibri" w:hAnsi="Calibri" w:cs="Calibri"/>
        </w:rPr>
        <w:t xml:space="preserve"> millones por concepto de IVA y $</w:t>
      </w:r>
      <w:r w:rsidR="00C60FC7">
        <w:rPr>
          <w:rFonts w:ascii="Calibri" w:hAnsi="Calibri" w:cs="Calibri"/>
        </w:rPr>
        <w:t xml:space="preserve"> </w:t>
      </w:r>
      <w:r w:rsidR="00871A54">
        <w:rPr>
          <w:rFonts w:ascii="Calibri" w:hAnsi="Calibri" w:cs="Calibri"/>
        </w:rPr>
        <w:t>5</w:t>
      </w:r>
      <w:r w:rsidR="00491666">
        <w:rPr>
          <w:rFonts w:ascii="Calibri" w:hAnsi="Calibri" w:cs="Calibri"/>
        </w:rPr>
        <w:t>3</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414497">
        <w:rPr>
          <w:rFonts w:ascii="Calibri" w:hAnsi="Calibri" w:cs="Calibri"/>
        </w:rPr>
        <w:t>4</w:t>
      </w:r>
      <w:r w:rsidR="00871A54">
        <w:rPr>
          <w:rFonts w:ascii="Calibri" w:hAnsi="Calibri" w:cs="Calibri"/>
        </w:rPr>
        <w:t>99</w:t>
      </w:r>
      <w:r w:rsidRPr="00EA48A8">
        <w:rPr>
          <w:rFonts w:ascii="Calibri" w:hAnsi="Calibri" w:cs="Calibri"/>
        </w:rPr>
        <w:t xml:space="preserve"> millones por concepto de IVA y $</w:t>
      </w:r>
      <w:r w:rsidR="007F3AA1">
        <w:rPr>
          <w:rFonts w:ascii="Calibri" w:hAnsi="Calibri" w:cs="Calibri"/>
        </w:rPr>
        <w:t xml:space="preserve"> </w:t>
      </w:r>
      <w:r w:rsidR="00491666">
        <w:rPr>
          <w:rFonts w:ascii="Calibri" w:hAnsi="Calibri" w:cs="Calibri"/>
        </w:rPr>
        <w:t>9</w:t>
      </w:r>
      <w:r w:rsidR="00871A54">
        <w:rPr>
          <w:rFonts w:ascii="Calibri" w:hAnsi="Calibri" w:cs="Calibri"/>
        </w:rPr>
        <w:t>8</w:t>
      </w:r>
      <w:r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871A54">
        <w:rPr>
          <w:rFonts w:ascii="Calibri" w:hAnsi="Calibri" w:cs="Calibri"/>
        </w:rPr>
        <w:t>3.068</w:t>
      </w:r>
      <w:r w:rsidRPr="00EA48A8">
        <w:rPr>
          <w:rFonts w:ascii="Calibri" w:hAnsi="Calibri" w:cs="Calibri"/>
        </w:rPr>
        <w:t xml:space="preserve"> millones, de los cuales $</w:t>
      </w:r>
      <w:r w:rsidR="00C60FC7">
        <w:rPr>
          <w:rFonts w:ascii="Calibri" w:hAnsi="Calibri" w:cs="Calibri"/>
        </w:rPr>
        <w:t xml:space="preserve"> </w:t>
      </w:r>
      <w:r w:rsidR="00A74B36">
        <w:rPr>
          <w:rFonts w:ascii="Calibri" w:hAnsi="Calibri" w:cs="Calibri"/>
        </w:rPr>
        <w:t>7</w:t>
      </w:r>
      <w:r w:rsidR="00871A54">
        <w:rPr>
          <w:rFonts w:ascii="Calibri" w:hAnsi="Calibri" w:cs="Calibri"/>
        </w:rPr>
        <w:t>09</w:t>
      </w:r>
      <w:r w:rsidRPr="00EA48A8">
        <w:rPr>
          <w:rFonts w:ascii="Calibri" w:hAnsi="Calibri" w:cs="Calibri"/>
        </w:rPr>
        <w:t xml:space="preserve"> millones se destinan al Gobierno Regional, en tanto que $</w:t>
      </w:r>
      <w:r w:rsidR="00C60FC7">
        <w:rPr>
          <w:rFonts w:ascii="Calibri" w:hAnsi="Calibri" w:cs="Calibri"/>
        </w:rPr>
        <w:t xml:space="preserve"> </w:t>
      </w:r>
      <w:r w:rsidR="00491666">
        <w:rPr>
          <w:rFonts w:ascii="Calibri" w:hAnsi="Calibri" w:cs="Calibri"/>
        </w:rPr>
        <w:t>6</w:t>
      </w:r>
      <w:r w:rsidR="00871A54">
        <w:rPr>
          <w:rFonts w:ascii="Calibri" w:hAnsi="Calibri" w:cs="Calibri"/>
        </w:rPr>
        <w:t>69</w:t>
      </w:r>
      <w:r w:rsidRPr="00EA48A8">
        <w:rPr>
          <w:rFonts w:ascii="Calibri" w:hAnsi="Calibri" w:cs="Calibri"/>
        </w:rPr>
        <w:t xml:space="preserve"> millones y $</w:t>
      </w:r>
      <w:r w:rsidR="00C60FC7">
        <w:rPr>
          <w:rFonts w:ascii="Calibri" w:hAnsi="Calibri" w:cs="Calibri"/>
        </w:rPr>
        <w:t xml:space="preserve"> </w:t>
      </w:r>
      <w:r w:rsidR="00871A54">
        <w:rPr>
          <w:rFonts w:ascii="Calibri" w:hAnsi="Calibri" w:cs="Calibri"/>
        </w:rPr>
        <w:t>39</w:t>
      </w:r>
      <w:r w:rsidRPr="00EA48A8">
        <w:rPr>
          <w:rFonts w:ascii="Calibri" w:hAnsi="Calibri" w:cs="Calibri"/>
        </w:rPr>
        <w:t xml:space="preserve"> millones se destinan a los municipios de Mostazal y Santa Cruz</w:t>
      </w:r>
      <w:r w:rsidR="002F4B23">
        <w:rPr>
          <w:rFonts w:ascii="Calibri" w:hAnsi="Calibri" w:cs="Calibri"/>
        </w:rPr>
        <w:t xml:space="preserve"> </w:t>
      </w:r>
      <w:r w:rsidRPr="00EA48A8">
        <w:rPr>
          <w:rFonts w:ascii="Calibri" w:hAnsi="Calibri" w:cs="Calibri"/>
        </w:rPr>
        <w:t>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491666">
        <w:rPr>
          <w:rFonts w:ascii="Calibri" w:hAnsi="Calibri" w:cs="Calibri"/>
        </w:rPr>
        <w:t>1.</w:t>
      </w:r>
      <w:r w:rsidR="00F73810">
        <w:rPr>
          <w:rFonts w:ascii="Calibri" w:hAnsi="Calibri" w:cs="Calibri"/>
        </w:rPr>
        <w:t>308</w:t>
      </w:r>
      <w:r w:rsidRPr="00EA48A8">
        <w:rPr>
          <w:rFonts w:ascii="Calibri" w:hAnsi="Calibri" w:cs="Calibri"/>
        </w:rPr>
        <w:t xml:space="preserve"> millones por concepto de IVA y $</w:t>
      </w:r>
      <w:r w:rsidR="00C60FC7">
        <w:rPr>
          <w:rFonts w:ascii="Calibri" w:hAnsi="Calibri" w:cs="Calibri"/>
        </w:rPr>
        <w:t xml:space="preserve"> </w:t>
      </w:r>
      <w:r w:rsidR="00491666">
        <w:rPr>
          <w:rFonts w:ascii="Calibri" w:hAnsi="Calibri" w:cs="Calibri"/>
        </w:rPr>
        <w:t>2</w:t>
      </w:r>
      <w:r w:rsidR="00F73810">
        <w:rPr>
          <w:rFonts w:ascii="Calibri" w:hAnsi="Calibri" w:cs="Calibri"/>
        </w:rPr>
        <w:t>4</w:t>
      </w:r>
      <w:r w:rsidR="00491666">
        <w:rPr>
          <w:rFonts w:ascii="Calibri" w:hAnsi="Calibri" w:cs="Calibri"/>
        </w:rPr>
        <w:t>2</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414497">
        <w:rPr>
          <w:rFonts w:ascii="Calibri" w:hAnsi="Calibri" w:cs="Calibri"/>
        </w:rPr>
        <w:t>7</w:t>
      </w:r>
      <w:r w:rsidR="00F73810">
        <w:rPr>
          <w:rFonts w:ascii="Calibri" w:hAnsi="Calibri" w:cs="Calibri"/>
        </w:rPr>
        <w:t>8</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491666">
        <w:rPr>
          <w:rFonts w:ascii="Calibri" w:hAnsi="Calibri" w:cs="Calibri"/>
        </w:rPr>
        <w:t>3</w:t>
      </w:r>
      <w:r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F73810">
        <w:rPr>
          <w:rFonts w:ascii="Calibri" w:hAnsi="Calibri" w:cs="Calibri"/>
        </w:rPr>
        <w:t>339</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F73810">
        <w:rPr>
          <w:rFonts w:ascii="Calibri" w:hAnsi="Calibri" w:cs="Calibri"/>
        </w:rPr>
        <w:t>71</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F73810">
        <w:rPr>
          <w:rFonts w:ascii="Calibri" w:hAnsi="Calibri" w:cs="Calibri"/>
        </w:rPr>
        <w:t>71</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 xml:space="preserve">a los que </w:t>
      </w:r>
      <w:r w:rsidR="002F4B23">
        <w:rPr>
          <w:rFonts w:ascii="Calibri" w:hAnsi="Calibri" w:cs="Calibri"/>
        </w:rPr>
        <w:t xml:space="preserve">se </w:t>
      </w:r>
      <w:r w:rsidRPr="00EA48A8">
        <w:rPr>
          <w:rFonts w:ascii="Calibri" w:hAnsi="Calibri" w:cs="Calibri"/>
        </w:rPr>
        <w:t>suma una recaudación fiscal de $</w:t>
      </w:r>
      <w:r w:rsidR="00C60FC7">
        <w:rPr>
          <w:rFonts w:ascii="Calibri" w:hAnsi="Calibri" w:cs="Calibri"/>
        </w:rPr>
        <w:t xml:space="preserve"> </w:t>
      </w:r>
      <w:r w:rsidRPr="00EA48A8">
        <w:rPr>
          <w:rFonts w:ascii="Calibri" w:hAnsi="Calibri" w:cs="Calibri"/>
        </w:rPr>
        <w:t>1</w:t>
      </w:r>
      <w:r w:rsidR="00F73810">
        <w:rPr>
          <w:rFonts w:ascii="Calibri" w:hAnsi="Calibri" w:cs="Calibri"/>
        </w:rPr>
        <w:t>45</w:t>
      </w:r>
      <w:r w:rsidRPr="00EA48A8">
        <w:rPr>
          <w:rFonts w:ascii="Calibri" w:hAnsi="Calibri" w:cs="Calibri"/>
        </w:rPr>
        <w:t xml:space="preserve"> millones por concepto de IVA y $</w:t>
      </w:r>
      <w:r w:rsidR="00C60FC7">
        <w:rPr>
          <w:rFonts w:ascii="Calibri" w:hAnsi="Calibri" w:cs="Calibri"/>
        </w:rPr>
        <w:t xml:space="preserve"> </w:t>
      </w:r>
      <w:r w:rsidR="00F73810">
        <w:rPr>
          <w:rFonts w:ascii="Calibri" w:hAnsi="Calibri" w:cs="Calibri"/>
        </w:rPr>
        <w:t>52</w:t>
      </w:r>
      <w:r w:rsidRPr="00EA48A8">
        <w:rPr>
          <w:rFonts w:ascii="Calibri" w:hAnsi="Calibri" w:cs="Calibri"/>
        </w:rPr>
        <w:t xml:space="preserve"> millones por concepto de entrada.</w:t>
      </w:r>
    </w:p>
    <w:p w:rsidR="00936EAE" w:rsidRDefault="00936EAE" w:rsidP="00B07563">
      <w:pPr>
        <w:tabs>
          <w:tab w:val="left" w:pos="0"/>
          <w:tab w:val="left" w:pos="6285"/>
        </w:tabs>
        <w:spacing w:after="0" w:line="240" w:lineRule="auto"/>
        <w:rPr>
          <w:rFonts w:ascii="Calibri" w:hAnsi="Calibri" w:cs="Calibri"/>
        </w:rPr>
      </w:pPr>
    </w:p>
    <w:p w:rsidR="00936EAE" w:rsidRPr="00EA48A8" w:rsidRDefault="00936EAE" w:rsidP="00B07563">
      <w:pPr>
        <w:tabs>
          <w:tab w:val="left" w:pos="0"/>
          <w:tab w:val="left" w:pos="6285"/>
        </w:tabs>
        <w:spacing w:after="0" w:line="240" w:lineRule="auto"/>
        <w:rPr>
          <w:rFonts w:ascii="Calibri" w:hAnsi="Calibri" w:cs="Calibri"/>
        </w:rPr>
      </w:pPr>
      <w:r>
        <w:rPr>
          <w:rFonts w:ascii="Calibri" w:hAnsi="Calibri" w:cs="Calibri"/>
        </w:rPr>
        <w:t>En la Región del Ñuble, Marina del Sol Chillán</w:t>
      </w:r>
      <w:r w:rsidR="009B7B79">
        <w:rPr>
          <w:rFonts w:ascii="Calibri" w:hAnsi="Calibri" w:cs="Calibri"/>
        </w:rPr>
        <w:t xml:space="preserve"> </w:t>
      </w:r>
      <w:r w:rsidR="009B7B79" w:rsidRPr="00EA48A8">
        <w:rPr>
          <w:rFonts w:ascii="Calibri" w:hAnsi="Calibri" w:cs="Calibri"/>
        </w:rPr>
        <w:t>registró ingresos tributarios por un total de $</w:t>
      </w:r>
      <w:r w:rsidR="009B7B79">
        <w:rPr>
          <w:rFonts w:ascii="Calibri" w:hAnsi="Calibri" w:cs="Calibri"/>
        </w:rPr>
        <w:t xml:space="preserve"> 2</w:t>
      </w:r>
      <w:r w:rsidR="00F73810">
        <w:rPr>
          <w:rFonts w:ascii="Calibri" w:hAnsi="Calibri" w:cs="Calibri"/>
        </w:rPr>
        <w:t>5</w:t>
      </w:r>
      <w:r w:rsidR="00491666">
        <w:rPr>
          <w:rFonts w:ascii="Calibri" w:hAnsi="Calibri" w:cs="Calibri"/>
        </w:rPr>
        <w:t>6</w:t>
      </w:r>
      <w:r w:rsidR="009B7B79" w:rsidRPr="00EA48A8">
        <w:rPr>
          <w:rFonts w:ascii="Calibri" w:hAnsi="Calibri" w:cs="Calibri"/>
        </w:rPr>
        <w:t xml:space="preserve"> millones, </w:t>
      </w:r>
      <w:r w:rsidR="009B7B79">
        <w:rPr>
          <w:rFonts w:ascii="Calibri" w:hAnsi="Calibri" w:cs="Calibri"/>
        </w:rPr>
        <w:t xml:space="preserve">de los cuales </w:t>
      </w:r>
      <w:r w:rsidR="009B7B79" w:rsidRPr="00EA48A8">
        <w:rPr>
          <w:rFonts w:ascii="Calibri" w:hAnsi="Calibri" w:cs="Calibri"/>
        </w:rPr>
        <w:t>$</w:t>
      </w:r>
      <w:r w:rsidR="009B7B79">
        <w:rPr>
          <w:rFonts w:ascii="Calibri" w:hAnsi="Calibri" w:cs="Calibri"/>
        </w:rPr>
        <w:t xml:space="preserve"> </w:t>
      </w:r>
      <w:r w:rsidR="00491666">
        <w:rPr>
          <w:rFonts w:ascii="Calibri" w:hAnsi="Calibri" w:cs="Calibri"/>
        </w:rPr>
        <w:t>5</w:t>
      </w:r>
      <w:r w:rsidR="00F73810">
        <w:rPr>
          <w:rFonts w:ascii="Calibri" w:hAnsi="Calibri" w:cs="Calibri"/>
        </w:rPr>
        <w:t>2</w:t>
      </w:r>
      <w:r w:rsidR="009B7B79" w:rsidRPr="00EA48A8">
        <w:rPr>
          <w:rFonts w:ascii="Calibri" w:hAnsi="Calibri" w:cs="Calibri"/>
        </w:rPr>
        <w:t xml:space="preserve"> millones </w:t>
      </w:r>
      <w:r w:rsidR="009B7B79">
        <w:rPr>
          <w:rFonts w:ascii="Calibri" w:hAnsi="Calibri" w:cs="Calibri"/>
        </w:rPr>
        <w:t xml:space="preserve">se destinan </w:t>
      </w:r>
      <w:r w:rsidR="009B7B79" w:rsidRPr="00EA48A8">
        <w:rPr>
          <w:rFonts w:ascii="Calibri" w:hAnsi="Calibri" w:cs="Calibri"/>
        </w:rPr>
        <w:t>al Gobierno Regional y $</w:t>
      </w:r>
      <w:r w:rsidR="009B7B79">
        <w:rPr>
          <w:rFonts w:ascii="Calibri" w:hAnsi="Calibri" w:cs="Calibri"/>
        </w:rPr>
        <w:t xml:space="preserve"> </w:t>
      </w:r>
      <w:r w:rsidR="00491666">
        <w:rPr>
          <w:rFonts w:ascii="Calibri" w:hAnsi="Calibri" w:cs="Calibri"/>
        </w:rPr>
        <w:t>5</w:t>
      </w:r>
      <w:r w:rsidR="00F73810">
        <w:rPr>
          <w:rFonts w:ascii="Calibri" w:hAnsi="Calibri" w:cs="Calibri"/>
        </w:rPr>
        <w:t>2</w:t>
      </w:r>
      <w:r w:rsidR="009B7B79" w:rsidRPr="00EA48A8">
        <w:rPr>
          <w:rFonts w:ascii="Calibri" w:hAnsi="Calibri" w:cs="Calibri"/>
        </w:rPr>
        <w:t xml:space="preserve"> millones </w:t>
      </w:r>
      <w:r w:rsidR="009B7B79">
        <w:rPr>
          <w:rFonts w:ascii="Calibri" w:hAnsi="Calibri" w:cs="Calibri"/>
        </w:rPr>
        <w:t>a la Municipalidad de Chillán por concepto de</w:t>
      </w:r>
      <w:r w:rsidR="009B7B79" w:rsidRPr="00EA48A8">
        <w:rPr>
          <w:rFonts w:ascii="Calibri" w:hAnsi="Calibri" w:cs="Calibri"/>
        </w:rPr>
        <w:t xml:space="preserve"> impuesto específico </w:t>
      </w:r>
      <w:r w:rsidR="009B7B79">
        <w:rPr>
          <w:rFonts w:ascii="Calibri" w:hAnsi="Calibri" w:cs="Calibri"/>
        </w:rPr>
        <w:t xml:space="preserve">al juego, </w:t>
      </w:r>
      <w:r w:rsidR="009B7B79" w:rsidRPr="00EA48A8">
        <w:rPr>
          <w:rFonts w:ascii="Calibri" w:hAnsi="Calibri" w:cs="Calibri"/>
        </w:rPr>
        <w:t>a los que suma una recaudación fiscal de $</w:t>
      </w:r>
      <w:r w:rsidR="009B7B79">
        <w:rPr>
          <w:rFonts w:ascii="Calibri" w:hAnsi="Calibri" w:cs="Calibri"/>
        </w:rPr>
        <w:t xml:space="preserve"> </w:t>
      </w:r>
      <w:r w:rsidR="00F73810">
        <w:rPr>
          <w:rFonts w:ascii="Calibri" w:hAnsi="Calibri" w:cs="Calibri"/>
        </w:rPr>
        <w:t>98</w:t>
      </w:r>
      <w:r w:rsidR="009B7B79" w:rsidRPr="00EA48A8">
        <w:rPr>
          <w:rFonts w:ascii="Calibri" w:hAnsi="Calibri" w:cs="Calibri"/>
        </w:rPr>
        <w:t xml:space="preserve"> millones por concepto de IVA y $</w:t>
      </w:r>
      <w:r w:rsidR="009B7B79">
        <w:rPr>
          <w:rFonts w:ascii="Calibri" w:hAnsi="Calibri" w:cs="Calibri"/>
        </w:rPr>
        <w:t xml:space="preserve"> </w:t>
      </w:r>
      <w:r w:rsidR="00F73810">
        <w:rPr>
          <w:rFonts w:ascii="Calibri" w:hAnsi="Calibri" w:cs="Calibri"/>
        </w:rPr>
        <w:t>55</w:t>
      </w:r>
      <w:r w:rsidR="009B7B79"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w:t>
      </w:r>
      <w:proofErr w:type="spellStart"/>
      <w:r w:rsidRPr="00EA48A8">
        <w:rPr>
          <w:rFonts w:ascii="Calibri" w:hAnsi="Calibri" w:cs="Calibri"/>
        </w:rPr>
        <w:t>Bío</w:t>
      </w:r>
      <w:proofErr w:type="spellEnd"/>
      <w:r w:rsidRPr="00EA48A8">
        <w:rPr>
          <w:rFonts w:ascii="Calibri" w:hAnsi="Calibri" w:cs="Calibri"/>
        </w:rPr>
        <w:t xml:space="preserve">,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414497">
        <w:rPr>
          <w:rFonts w:ascii="Calibri" w:hAnsi="Calibri" w:cs="Calibri"/>
        </w:rPr>
        <w:t>.</w:t>
      </w:r>
      <w:r w:rsidR="00F73810">
        <w:rPr>
          <w:rFonts w:ascii="Calibri" w:hAnsi="Calibri" w:cs="Calibri"/>
        </w:rPr>
        <w:t>365</w:t>
      </w:r>
      <w:r w:rsidRPr="00EA48A8">
        <w:rPr>
          <w:rFonts w:ascii="Calibri" w:hAnsi="Calibri" w:cs="Calibri"/>
        </w:rPr>
        <w:t xml:space="preserve"> millones, de los cuales $</w:t>
      </w:r>
      <w:r w:rsidR="00C60FC7">
        <w:rPr>
          <w:rFonts w:ascii="Calibri" w:hAnsi="Calibri" w:cs="Calibri"/>
        </w:rPr>
        <w:t xml:space="preserve"> </w:t>
      </w:r>
      <w:r w:rsidR="00801D21">
        <w:rPr>
          <w:rFonts w:ascii="Calibri" w:hAnsi="Calibri" w:cs="Calibri"/>
        </w:rPr>
        <w:t>2</w:t>
      </w:r>
      <w:r w:rsidR="00F73810">
        <w:rPr>
          <w:rFonts w:ascii="Calibri" w:hAnsi="Calibri" w:cs="Calibri"/>
        </w:rPr>
        <w:t>78</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F73810">
        <w:rPr>
          <w:rFonts w:ascii="Calibri" w:hAnsi="Calibri" w:cs="Calibri"/>
        </w:rPr>
        <w:t>48</w:t>
      </w:r>
      <w:r w:rsidRPr="00EA48A8">
        <w:rPr>
          <w:rFonts w:ascii="Calibri" w:hAnsi="Calibri" w:cs="Calibri"/>
        </w:rPr>
        <w:t xml:space="preserve"> millones y $</w:t>
      </w:r>
      <w:r w:rsidR="00C60FC7">
        <w:rPr>
          <w:rFonts w:ascii="Calibri" w:hAnsi="Calibri" w:cs="Calibri"/>
        </w:rPr>
        <w:t xml:space="preserve"> </w:t>
      </w:r>
      <w:r w:rsidR="00414497">
        <w:rPr>
          <w:rFonts w:ascii="Calibri" w:hAnsi="Calibri" w:cs="Calibri"/>
        </w:rPr>
        <w:t>3</w:t>
      </w:r>
      <w:r w:rsidR="00F73810">
        <w:rPr>
          <w:rFonts w:ascii="Calibri" w:hAnsi="Calibri" w:cs="Calibri"/>
        </w:rPr>
        <w:t>0</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F73810">
        <w:rPr>
          <w:rFonts w:ascii="Calibri" w:hAnsi="Calibri" w:cs="Calibri"/>
        </w:rPr>
        <w:t>505</w:t>
      </w:r>
      <w:r w:rsidRPr="00EA48A8">
        <w:rPr>
          <w:rFonts w:ascii="Calibri" w:hAnsi="Calibri" w:cs="Calibri"/>
        </w:rPr>
        <w:t xml:space="preserve"> millones por concepto de IVA y $</w:t>
      </w:r>
      <w:r w:rsidR="00C60FC7">
        <w:rPr>
          <w:rFonts w:ascii="Calibri" w:hAnsi="Calibri" w:cs="Calibri"/>
        </w:rPr>
        <w:t xml:space="preserve"> </w:t>
      </w:r>
      <w:r w:rsidR="00F73810">
        <w:rPr>
          <w:rFonts w:ascii="Calibri" w:hAnsi="Calibri" w:cs="Calibri"/>
        </w:rPr>
        <w:t>210</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F73810">
        <w:rPr>
          <w:rFonts w:ascii="Calibri" w:hAnsi="Calibri" w:cs="Calibri"/>
        </w:rPr>
        <w:t>59</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F73810">
        <w:rPr>
          <w:rFonts w:ascii="Calibri" w:hAnsi="Calibri" w:cs="Calibri"/>
        </w:rPr>
        <w:t>6</w:t>
      </w:r>
      <w:r w:rsidR="00720BD2">
        <w:rPr>
          <w:rFonts w:ascii="Calibri" w:hAnsi="Calibri" w:cs="Calibri"/>
        </w:rPr>
        <w:t xml:space="preserve"> </w:t>
      </w:r>
      <w:r w:rsidRPr="00EA48A8">
        <w:rPr>
          <w:rFonts w:ascii="Calibri" w:hAnsi="Calibri" w:cs="Calibri"/>
        </w:rPr>
        <w:t>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A74B36">
        <w:rPr>
          <w:rFonts w:ascii="Calibri" w:hAnsi="Calibri" w:cs="Calibri"/>
        </w:rPr>
        <w:t>6</w:t>
      </w:r>
      <w:r w:rsidR="00491666">
        <w:rPr>
          <w:rFonts w:ascii="Calibri" w:hAnsi="Calibri" w:cs="Calibri"/>
        </w:rPr>
        <w:t>7</w:t>
      </w:r>
      <w:r w:rsidR="00F73810">
        <w:rPr>
          <w:rFonts w:ascii="Calibri" w:hAnsi="Calibri" w:cs="Calibri"/>
        </w:rPr>
        <w:t>1</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491666">
        <w:rPr>
          <w:rFonts w:ascii="Calibri" w:hAnsi="Calibri" w:cs="Calibri"/>
        </w:rPr>
        <w:t>4</w:t>
      </w:r>
      <w:r w:rsidR="00F73810">
        <w:rPr>
          <w:rFonts w:ascii="Calibri" w:hAnsi="Calibri" w:cs="Calibri"/>
        </w:rPr>
        <w:t>0</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491666">
        <w:rPr>
          <w:rFonts w:ascii="Calibri" w:hAnsi="Calibri" w:cs="Calibri"/>
        </w:rPr>
        <w:t>4</w:t>
      </w:r>
      <w:r w:rsidR="00F73810">
        <w:rPr>
          <w:rFonts w:ascii="Calibri" w:hAnsi="Calibri" w:cs="Calibri"/>
        </w:rPr>
        <w:t>0</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74B36">
        <w:rPr>
          <w:rFonts w:ascii="Calibri" w:hAnsi="Calibri" w:cs="Calibri"/>
        </w:rPr>
        <w:t>2</w:t>
      </w:r>
      <w:r w:rsidR="00F73810">
        <w:rPr>
          <w:rFonts w:ascii="Calibri" w:hAnsi="Calibri" w:cs="Calibri"/>
        </w:rPr>
        <w:t>77</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F73810">
        <w:rPr>
          <w:rFonts w:ascii="Calibri" w:hAnsi="Calibri" w:cs="Calibri"/>
        </w:rPr>
        <w:t>15</w:t>
      </w:r>
      <w:r w:rsidRPr="00EA48A8">
        <w:rPr>
          <w:rFonts w:ascii="Calibri" w:hAnsi="Calibri" w:cs="Calibri"/>
        </w:rPr>
        <w:t xml:space="preserve"> millones por concepto de entrada.</w:t>
      </w:r>
    </w:p>
    <w:p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F73810">
        <w:rPr>
          <w:rFonts w:ascii="Calibri" w:hAnsi="Calibri" w:cs="Calibri"/>
        </w:rPr>
        <w:t>385</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491666">
        <w:rPr>
          <w:rFonts w:ascii="Calibri" w:hAnsi="Calibri" w:cs="Calibri"/>
        </w:rPr>
        <w:t>8</w:t>
      </w:r>
      <w:r w:rsidR="00F73810">
        <w:rPr>
          <w:rFonts w:ascii="Calibri" w:hAnsi="Calibri" w:cs="Calibri"/>
        </w:rPr>
        <w:t>4</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491666">
        <w:rPr>
          <w:rFonts w:ascii="Calibri" w:hAnsi="Calibri" w:cs="Calibri"/>
        </w:rPr>
        <w:t>8</w:t>
      </w:r>
      <w:r w:rsidR="00F73810">
        <w:rPr>
          <w:rFonts w:ascii="Calibri" w:hAnsi="Calibri" w:cs="Calibri"/>
        </w:rPr>
        <w:t>4</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F73810">
        <w:rPr>
          <w:rFonts w:ascii="Calibri" w:hAnsi="Calibri" w:cs="Calibri"/>
        </w:rPr>
        <w:t>164</w:t>
      </w:r>
      <w:r w:rsidRPr="00EA48A8">
        <w:rPr>
          <w:rFonts w:ascii="Calibri" w:hAnsi="Calibri" w:cs="Calibri"/>
        </w:rPr>
        <w:t xml:space="preserve"> millones por concepto de IVA y $</w:t>
      </w:r>
      <w:r w:rsidR="00DD3AA0">
        <w:rPr>
          <w:rFonts w:ascii="Calibri" w:hAnsi="Calibri" w:cs="Calibri"/>
        </w:rPr>
        <w:t xml:space="preserve"> </w:t>
      </w:r>
      <w:r w:rsidR="00F73810">
        <w:rPr>
          <w:rFonts w:ascii="Calibri" w:hAnsi="Calibri" w:cs="Calibri"/>
        </w:rPr>
        <w:t>54</w:t>
      </w:r>
      <w:r w:rsidR="00974918">
        <w:rPr>
          <w:rFonts w:ascii="Calibri" w:hAnsi="Calibri" w:cs="Calibri"/>
        </w:rPr>
        <w:t xml:space="preserve"> </w:t>
      </w:r>
      <w:r w:rsidRPr="00EA48A8">
        <w:rPr>
          <w:rFonts w:ascii="Calibri" w:hAnsi="Calibri" w:cs="Calibri"/>
        </w:rPr>
        <w:t>millones por concepto de entrada.</w:t>
      </w:r>
    </w:p>
    <w:p w:rsidR="00426C10" w:rsidRDefault="00426C10"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A74B36">
        <w:rPr>
          <w:rFonts w:ascii="Calibri" w:hAnsi="Calibri" w:cs="Calibri"/>
        </w:rPr>
        <w:t>4</w:t>
      </w:r>
      <w:r w:rsidR="00491666">
        <w:rPr>
          <w:rFonts w:ascii="Calibri" w:hAnsi="Calibri" w:cs="Calibri"/>
        </w:rPr>
        <w:t>4</w:t>
      </w:r>
      <w:r w:rsidR="00F73810">
        <w:rPr>
          <w:rFonts w:ascii="Calibri" w:hAnsi="Calibri" w:cs="Calibri"/>
        </w:rPr>
        <w:t>1</w:t>
      </w:r>
      <w:r w:rsidR="00801D21">
        <w:rPr>
          <w:rFonts w:ascii="Calibri" w:hAnsi="Calibri" w:cs="Calibri"/>
        </w:rPr>
        <w:t xml:space="preserve"> </w:t>
      </w:r>
      <w:r w:rsidRPr="00EA48A8">
        <w:rPr>
          <w:rFonts w:ascii="Calibri" w:hAnsi="Calibri" w:cs="Calibri"/>
        </w:rPr>
        <w:t>millones, de los cuales $</w:t>
      </w:r>
      <w:r w:rsidR="00BE1CDC">
        <w:rPr>
          <w:rFonts w:ascii="Calibri" w:hAnsi="Calibri" w:cs="Calibri"/>
        </w:rPr>
        <w:t xml:space="preserve"> </w:t>
      </w:r>
      <w:r w:rsidR="006F449E">
        <w:rPr>
          <w:rFonts w:ascii="Calibri" w:hAnsi="Calibri" w:cs="Calibri"/>
        </w:rPr>
        <w:t>9</w:t>
      </w:r>
      <w:r w:rsidR="00F73810">
        <w:rPr>
          <w:rFonts w:ascii="Calibri" w:hAnsi="Calibri" w:cs="Calibri"/>
        </w:rPr>
        <w:t>2</w:t>
      </w:r>
      <w:r w:rsidRPr="00EA48A8">
        <w:rPr>
          <w:rFonts w:ascii="Calibri" w:hAnsi="Calibri" w:cs="Calibri"/>
        </w:rPr>
        <w:t xml:space="preserve"> millones se destinan al Gobierno Regional, en tanto que $</w:t>
      </w:r>
      <w:r w:rsidR="00DD3AA0">
        <w:rPr>
          <w:rFonts w:ascii="Calibri" w:hAnsi="Calibri" w:cs="Calibri"/>
        </w:rPr>
        <w:t xml:space="preserve"> </w:t>
      </w:r>
      <w:r w:rsidR="006F449E">
        <w:rPr>
          <w:rFonts w:ascii="Calibri" w:hAnsi="Calibri" w:cs="Calibri"/>
        </w:rPr>
        <w:t>6</w:t>
      </w:r>
      <w:r w:rsidR="00F73810">
        <w:rPr>
          <w:rFonts w:ascii="Calibri" w:hAnsi="Calibri" w:cs="Calibri"/>
        </w:rPr>
        <w:t>3</w:t>
      </w:r>
      <w:r w:rsidRPr="00EA48A8">
        <w:rPr>
          <w:rFonts w:ascii="Calibri" w:hAnsi="Calibri" w:cs="Calibri"/>
        </w:rPr>
        <w:t xml:space="preserve"> millones y $</w:t>
      </w:r>
      <w:r w:rsidR="00BE1CDC">
        <w:rPr>
          <w:rFonts w:ascii="Calibri" w:hAnsi="Calibri" w:cs="Calibri"/>
        </w:rPr>
        <w:t xml:space="preserve"> </w:t>
      </w:r>
      <w:r w:rsidR="006F449E">
        <w:rPr>
          <w:rFonts w:ascii="Calibri" w:hAnsi="Calibri" w:cs="Calibri"/>
        </w:rPr>
        <w:t>2</w:t>
      </w:r>
      <w:r w:rsidR="00F73810">
        <w:rPr>
          <w:rFonts w:ascii="Calibri" w:hAnsi="Calibri" w:cs="Calibri"/>
        </w:rPr>
        <w:t>9</w:t>
      </w:r>
      <w:r w:rsidR="00BE1CDC">
        <w:rPr>
          <w:rFonts w:ascii="Calibri" w:hAnsi="Calibri" w:cs="Calibri"/>
        </w:rPr>
        <w:t xml:space="preserve"> </w:t>
      </w:r>
      <w:r w:rsidRPr="00EA48A8">
        <w:rPr>
          <w:rFonts w:ascii="Calibri" w:hAnsi="Calibri" w:cs="Calibri"/>
        </w:rPr>
        <w:t xml:space="preserve">millones se destinan a los municipios de Osorno y Castro, </w:t>
      </w:r>
      <w:r w:rsidRPr="00EA48A8">
        <w:rPr>
          <w:rFonts w:ascii="Calibri" w:hAnsi="Calibri" w:cs="Calibri"/>
        </w:rPr>
        <w:lastRenderedPageBreak/>
        <w:t>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F73810">
        <w:rPr>
          <w:rFonts w:ascii="Calibri" w:hAnsi="Calibri" w:cs="Calibri"/>
        </w:rPr>
        <w:t>27</w:t>
      </w:r>
      <w:r w:rsidRPr="00EA48A8">
        <w:rPr>
          <w:rFonts w:ascii="Calibri" w:hAnsi="Calibri" w:cs="Calibri"/>
        </w:rPr>
        <w:t xml:space="preserve"> millones por concepto de IVA y $</w:t>
      </w:r>
      <w:r w:rsidR="00DD3AA0">
        <w:rPr>
          <w:rFonts w:ascii="Calibri" w:hAnsi="Calibri" w:cs="Calibri"/>
        </w:rPr>
        <w:t xml:space="preserve"> </w:t>
      </w:r>
      <w:r w:rsidR="00F73810">
        <w:rPr>
          <w:rFonts w:ascii="Calibri" w:hAnsi="Calibri" w:cs="Calibri"/>
        </w:rPr>
        <w:t>52</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414497">
        <w:rPr>
          <w:rFonts w:ascii="Calibri" w:hAnsi="Calibri" w:cs="Calibri"/>
        </w:rPr>
        <w:t>5</w:t>
      </w:r>
      <w:r w:rsidR="00F73810">
        <w:rPr>
          <w:rFonts w:ascii="Calibri" w:hAnsi="Calibri" w:cs="Calibri"/>
        </w:rPr>
        <w:t>5</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F73810">
        <w:rPr>
          <w:rFonts w:ascii="Calibri" w:hAnsi="Calibri" w:cs="Calibri"/>
        </w:rPr>
        <w:t>3</w:t>
      </w:r>
      <w:r w:rsidRPr="00EA48A8">
        <w:rPr>
          <w:rFonts w:ascii="Calibri" w:hAnsi="Calibri" w:cs="Calibri"/>
        </w:rPr>
        <w:t xml:space="preserve"> millones por concepto de entrada.</w:t>
      </w:r>
    </w:p>
    <w:p w:rsidR="00426C10" w:rsidRDefault="00426C10" w:rsidP="00B07563">
      <w:pPr>
        <w:tabs>
          <w:tab w:val="left" w:pos="0"/>
          <w:tab w:val="left" w:pos="6285"/>
        </w:tabs>
        <w:spacing w:after="0" w:line="240" w:lineRule="auto"/>
        <w:rPr>
          <w:rFonts w:ascii="Calibri" w:hAnsi="Calibri" w:cs="Calibri"/>
        </w:rPr>
      </w:pPr>
    </w:p>
    <w:p w:rsidR="00D40D1B" w:rsidRDefault="00D40D1B" w:rsidP="00B07563">
      <w:pPr>
        <w:tabs>
          <w:tab w:val="left" w:pos="0"/>
          <w:tab w:val="left" w:pos="6285"/>
        </w:tabs>
        <w:spacing w:after="0" w:line="240" w:lineRule="auto"/>
        <w:rPr>
          <w:rFonts w:ascii="Calibri" w:hAnsi="Calibri" w:cs="Calibri"/>
        </w:rPr>
      </w:pPr>
    </w:p>
    <w:p w:rsidR="00D40D1B" w:rsidRDefault="00D40D1B" w:rsidP="00B07563">
      <w:pPr>
        <w:tabs>
          <w:tab w:val="left" w:pos="0"/>
          <w:tab w:val="left" w:pos="6285"/>
        </w:tabs>
        <w:spacing w:after="0" w:line="240" w:lineRule="auto"/>
        <w:rPr>
          <w:rFonts w:ascii="Calibri" w:hAnsi="Calibri" w:cs="Calibri"/>
        </w:rPr>
      </w:pPr>
    </w:p>
    <w:p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Aysén, Dreams Coyhaique registró ingresos tributarios por un total de $</w:t>
      </w:r>
      <w:r w:rsidR="00DD3AA0">
        <w:rPr>
          <w:rFonts w:ascii="Calibri" w:hAnsi="Calibri" w:cs="Calibri"/>
        </w:rPr>
        <w:t xml:space="preserve"> </w:t>
      </w:r>
      <w:r w:rsidR="00E2370C">
        <w:rPr>
          <w:rFonts w:ascii="Calibri" w:hAnsi="Calibri" w:cs="Calibri"/>
        </w:rPr>
        <w:t>1</w:t>
      </w:r>
      <w:r w:rsidR="00F73810">
        <w:rPr>
          <w:rFonts w:ascii="Calibri" w:hAnsi="Calibri" w:cs="Calibri"/>
        </w:rPr>
        <w:t>61</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801D21">
        <w:rPr>
          <w:rFonts w:ascii="Calibri" w:hAnsi="Calibri" w:cs="Calibri"/>
        </w:rPr>
        <w:t>3</w:t>
      </w:r>
      <w:r w:rsidR="00F73810">
        <w:rPr>
          <w:rFonts w:ascii="Calibri" w:hAnsi="Calibri" w:cs="Calibri"/>
        </w:rPr>
        <w:t>4</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801D21">
        <w:rPr>
          <w:rFonts w:ascii="Calibri" w:hAnsi="Calibri" w:cs="Calibri"/>
        </w:rPr>
        <w:t>3</w:t>
      </w:r>
      <w:r w:rsidR="00F73810">
        <w:rPr>
          <w:rFonts w:ascii="Calibri" w:hAnsi="Calibri" w:cs="Calibri"/>
        </w:rPr>
        <w:t>4</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a los que</w:t>
      </w:r>
      <w:r w:rsidR="00C36124">
        <w:rPr>
          <w:rFonts w:ascii="Calibri" w:hAnsi="Calibri" w:cs="Calibri"/>
        </w:rPr>
        <w:t xml:space="preserve"> se</w:t>
      </w:r>
      <w:r w:rsidRPr="00EA48A8">
        <w:rPr>
          <w:rFonts w:ascii="Calibri" w:hAnsi="Calibri" w:cs="Calibri"/>
        </w:rPr>
        <w:t xml:space="preserve"> suma una recaudación fiscal </w:t>
      </w:r>
      <w:r w:rsidR="00DD3AA0" w:rsidRPr="00EA48A8">
        <w:rPr>
          <w:rFonts w:ascii="Calibri" w:hAnsi="Calibri" w:cs="Calibri"/>
        </w:rPr>
        <w:t xml:space="preserve">de </w:t>
      </w:r>
      <w:r w:rsidR="00DD3AA0">
        <w:rPr>
          <w:rFonts w:ascii="Calibri" w:hAnsi="Calibri" w:cs="Calibri"/>
        </w:rPr>
        <w:t xml:space="preserve">$ </w:t>
      </w:r>
      <w:r w:rsidR="00A74B36">
        <w:rPr>
          <w:rFonts w:ascii="Calibri" w:hAnsi="Calibri" w:cs="Calibri"/>
        </w:rPr>
        <w:t>6</w:t>
      </w:r>
      <w:r w:rsidR="00F73810">
        <w:rPr>
          <w:rFonts w:ascii="Calibri" w:hAnsi="Calibri" w:cs="Calibri"/>
        </w:rPr>
        <w:t>4</w:t>
      </w:r>
      <w:r w:rsidR="00A74B36">
        <w:rPr>
          <w:rFonts w:ascii="Calibri" w:hAnsi="Calibri" w:cs="Calibri"/>
        </w:rPr>
        <w:t xml:space="preserve"> </w:t>
      </w:r>
      <w:r w:rsidRPr="00EA48A8">
        <w:rPr>
          <w:rFonts w:ascii="Calibri" w:hAnsi="Calibri" w:cs="Calibri"/>
        </w:rPr>
        <w:t>millones por concepto de IVA y $</w:t>
      </w:r>
      <w:r w:rsidR="00DD3AA0">
        <w:rPr>
          <w:rFonts w:ascii="Calibri" w:hAnsi="Calibri" w:cs="Calibri"/>
        </w:rPr>
        <w:t xml:space="preserve"> </w:t>
      </w:r>
      <w:r w:rsidR="00A74B36">
        <w:rPr>
          <w:rFonts w:ascii="Calibri" w:hAnsi="Calibri" w:cs="Calibri"/>
        </w:rPr>
        <w:t>2</w:t>
      </w:r>
      <w:r w:rsidR="00F73810">
        <w:rPr>
          <w:rFonts w:ascii="Calibri" w:hAnsi="Calibri" w:cs="Calibri"/>
        </w:rPr>
        <w:t>9</w:t>
      </w:r>
      <w:r w:rsidRPr="00EA48A8">
        <w:rPr>
          <w:rFonts w:ascii="Calibri" w:hAnsi="Calibri" w:cs="Calibri"/>
        </w:rPr>
        <w:t xml:space="preserve"> millones por concepto de entrada.</w:t>
      </w:r>
    </w:p>
    <w:p w:rsidR="003C18CD" w:rsidRDefault="003C18CD" w:rsidP="00B07563">
      <w:pPr>
        <w:tabs>
          <w:tab w:val="left" w:pos="0"/>
          <w:tab w:val="left" w:pos="6285"/>
        </w:tabs>
        <w:spacing w:after="0" w:line="240" w:lineRule="auto"/>
        <w:rPr>
          <w:rFonts w:ascii="Calibri" w:hAnsi="Calibri" w:cs="Calibri"/>
        </w:rPr>
      </w:pPr>
    </w:p>
    <w:p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F73810">
        <w:rPr>
          <w:rFonts w:ascii="Calibri" w:hAnsi="Calibri" w:cs="Calibri"/>
        </w:rPr>
        <w:t>697</w:t>
      </w:r>
      <w:r w:rsidR="00801D21">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F73810">
        <w:rPr>
          <w:rFonts w:ascii="Calibri" w:hAnsi="Calibri" w:cs="Calibri"/>
        </w:rPr>
        <w:t>40</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F73810">
        <w:rPr>
          <w:rFonts w:ascii="Calibri" w:hAnsi="Calibri" w:cs="Calibri"/>
        </w:rPr>
        <w:t>40</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w:t>
      </w:r>
      <w:r w:rsidR="00C36124">
        <w:rPr>
          <w:rFonts w:ascii="Calibri" w:hAnsi="Calibri" w:cs="Calibri"/>
        </w:rPr>
        <w:t xml:space="preserve">a </w:t>
      </w:r>
      <w:r w:rsidR="00330D14">
        <w:rPr>
          <w:rFonts w:ascii="Calibri" w:hAnsi="Calibri" w:cs="Calibri"/>
        </w:rPr>
        <w:t xml:space="preserve">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F73810">
        <w:rPr>
          <w:rFonts w:ascii="Calibri" w:hAnsi="Calibri" w:cs="Calibri"/>
        </w:rPr>
        <w:t>83</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F73810">
        <w:rPr>
          <w:rFonts w:ascii="Calibri" w:hAnsi="Calibri" w:cs="Calibri"/>
        </w:rPr>
        <w:t>3</w:t>
      </w:r>
      <w:r w:rsidR="006F449E">
        <w:rPr>
          <w:rFonts w:ascii="Calibri" w:hAnsi="Calibri" w:cs="Calibri"/>
        </w:rPr>
        <w:t>5</w:t>
      </w:r>
      <w:r w:rsidRPr="00EA48A8">
        <w:rPr>
          <w:rFonts w:ascii="Calibri" w:hAnsi="Calibri" w:cs="Calibri"/>
        </w:rPr>
        <w:t xml:space="preserve"> millones por concepto de entrada.</w:t>
      </w:r>
    </w:p>
    <w:p w:rsidR="00330D14" w:rsidRDefault="00330D14" w:rsidP="00B07563">
      <w:pPr>
        <w:tabs>
          <w:tab w:val="left" w:pos="0"/>
          <w:tab w:val="left" w:pos="6285"/>
        </w:tabs>
        <w:spacing w:after="0" w:line="240" w:lineRule="auto"/>
        <w:rPr>
          <w:rFonts w:ascii="Calibri" w:hAnsi="Calibri" w:cs="Calibri"/>
        </w:rPr>
      </w:pPr>
    </w:p>
    <w:p w:rsidR="00330D14" w:rsidRDefault="00330D14" w:rsidP="00330D14">
      <w:pPr>
        <w:pStyle w:val="Prrafodelista"/>
        <w:tabs>
          <w:tab w:val="left" w:pos="0"/>
        </w:tabs>
        <w:ind w:left="0"/>
        <w:rPr>
          <w:b/>
        </w:rPr>
      </w:pPr>
      <w:r w:rsidRPr="003D15B6">
        <w:rPr>
          <w:b/>
        </w:rPr>
        <w:t xml:space="preserve">Impuestos, valores nominales: </w:t>
      </w:r>
      <w:r w:rsidR="00F73810">
        <w:rPr>
          <w:b/>
        </w:rPr>
        <w:t>dicie</w:t>
      </w:r>
      <w:r w:rsidR="006F449E">
        <w:rPr>
          <w:b/>
        </w:rPr>
        <w:t>mbre</w:t>
      </w:r>
      <w:r>
        <w:rPr>
          <w:b/>
        </w:rPr>
        <w:t xml:space="preserve"> </w:t>
      </w:r>
      <w:r w:rsidRPr="003D15B6">
        <w:rPr>
          <w:b/>
        </w:rPr>
        <w:t>de 201</w:t>
      </w:r>
      <w:r w:rsidR="00964EC6">
        <w:rPr>
          <w:b/>
        </w:rPr>
        <w:t>9</w:t>
      </w:r>
    </w:p>
    <w:p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F73810" w:rsidRPr="00F73810" w:rsidTr="00F73810">
        <w:trPr>
          <w:trHeight w:val="300"/>
        </w:trPr>
        <w:tc>
          <w:tcPr>
            <w:tcW w:w="5000" w:type="pct"/>
            <w:gridSpan w:val="7"/>
            <w:tcBorders>
              <w:top w:val="nil"/>
              <w:left w:val="nil"/>
              <w:bottom w:val="nil"/>
              <w:right w:val="nil"/>
            </w:tcBorders>
            <w:shd w:val="clear" w:color="000000" w:fill="1F497D"/>
            <w:noWrap/>
            <w:vAlign w:val="center"/>
            <w:hideMark/>
          </w:tcPr>
          <w:p w:rsidR="00F73810" w:rsidRPr="00F73810" w:rsidRDefault="007F2158"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IMPUESTOS DICIEMBRE 2019 ($ MILLONES)</w:t>
            </w:r>
          </w:p>
        </w:tc>
      </w:tr>
      <w:tr w:rsidR="00F73810" w:rsidRPr="00F73810" w:rsidTr="00F73810">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 xml:space="preserve"> 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Total</w:t>
            </w:r>
          </w:p>
        </w:tc>
      </w:tr>
      <w:tr w:rsidR="00F73810" w:rsidRPr="00F73810" w:rsidTr="00F73810">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53</w:t>
            </w:r>
          </w:p>
        </w:tc>
        <w:tc>
          <w:tcPr>
            <w:tcW w:w="650"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53</w:t>
            </w:r>
          </w:p>
        </w:tc>
        <w:tc>
          <w:tcPr>
            <w:tcW w:w="641"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101</w:t>
            </w:r>
          </w:p>
        </w:tc>
        <w:tc>
          <w:tcPr>
            <w:tcW w:w="669"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75</w:t>
            </w:r>
          </w:p>
        </w:tc>
        <w:tc>
          <w:tcPr>
            <w:tcW w:w="774"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281</w:t>
            </w:r>
          </w:p>
        </w:tc>
      </w:tr>
      <w:tr w:rsidR="00F73810" w:rsidRPr="00F73810" w:rsidTr="00F73810">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257</w:t>
            </w:r>
          </w:p>
        </w:tc>
        <w:tc>
          <w:tcPr>
            <w:tcW w:w="650"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85</w:t>
            </w:r>
          </w:p>
        </w:tc>
        <w:tc>
          <w:tcPr>
            <w:tcW w:w="641"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166</w:t>
            </w:r>
          </w:p>
        </w:tc>
        <w:tc>
          <w:tcPr>
            <w:tcW w:w="669"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60</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1.196</w:t>
            </w:r>
          </w:p>
        </w:tc>
      </w:tr>
      <w:tr w:rsidR="00F73810" w:rsidRPr="00F73810" w:rsidTr="00F73810">
        <w:trPr>
          <w:trHeight w:val="300"/>
        </w:trPr>
        <w:tc>
          <w:tcPr>
            <w:tcW w:w="617"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172</w:t>
            </w:r>
          </w:p>
        </w:tc>
        <w:tc>
          <w:tcPr>
            <w:tcW w:w="641"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333</w:t>
            </w:r>
          </w:p>
        </w:tc>
        <w:tc>
          <w:tcPr>
            <w:tcW w:w="669"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123</w:t>
            </w:r>
          </w:p>
        </w:tc>
        <w:tc>
          <w:tcPr>
            <w:tcW w:w="774"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r>
      <w:tr w:rsidR="00F73810" w:rsidRPr="00F73810" w:rsidTr="00F73810">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79</w:t>
            </w:r>
          </w:p>
        </w:tc>
        <w:tc>
          <w:tcPr>
            <w:tcW w:w="650"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79</w:t>
            </w:r>
          </w:p>
        </w:tc>
        <w:tc>
          <w:tcPr>
            <w:tcW w:w="641"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165</w:t>
            </w:r>
          </w:p>
        </w:tc>
        <w:tc>
          <w:tcPr>
            <w:tcW w:w="669"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82</w:t>
            </w:r>
          </w:p>
        </w:tc>
        <w:tc>
          <w:tcPr>
            <w:tcW w:w="774"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405</w:t>
            </w:r>
          </w:p>
        </w:tc>
      </w:tr>
      <w:tr w:rsidR="00F73810" w:rsidRPr="00F73810" w:rsidTr="00F73810">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33</w:t>
            </w:r>
          </w:p>
        </w:tc>
        <w:tc>
          <w:tcPr>
            <w:tcW w:w="650"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33</w:t>
            </w:r>
          </w:p>
        </w:tc>
        <w:tc>
          <w:tcPr>
            <w:tcW w:w="641"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63</w:t>
            </w:r>
          </w:p>
        </w:tc>
        <w:tc>
          <w:tcPr>
            <w:tcW w:w="669"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42</w:t>
            </w:r>
          </w:p>
        </w:tc>
        <w:tc>
          <w:tcPr>
            <w:tcW w:w="774"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172</w:t>
            </w:r>
          </w:p>
        </w:tc>
      </w:tr>
      <w:tr w:rsidR="00F73810" w:rsidRPr="00F73810" w:rsidTr="00F73810">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313</w:t>
            </w:r>
          </w:p>
        </w:tc>
        <w:tc>
          <w:tcPr>
            <w:tcW w:w="650"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51</w:t>
            </w:r>
          </w:p>
        </w:tc>
        <w:tc>
          <w:tcPr>
            <w:tcW w:w="641"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96</w:t>
            </w:r>
          </w:p>
        </w:tc>
        <w:tc>
          <w:tcPr>
            <w:tcW w:w="669"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53</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1.373</w:t>
            </w:r>
          </w:p>
        </w:tc>
      </w:tr>
      <w:tr w:rsidR="00F73810" w:rsidRPr="00F73810" w:rsidTr="00F73810">
        <w:trPr>
          <w:trHeight w:val="300"/>
        </w:trPr>
        <w:tc>
          <w:tcPr>
            <w:tcW w:w="617"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263</w:t>
            </w:r>
          </w:p>
        </w:tc>
        <w:tc>
          <w:tcPr>
            <w:tcW w:w="641"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499</w:t>
            </w:r>
          </w:p>
        </w:tc>
        <w:tc>
          <w:tcPr>
            <w:tcW w:w="669"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98</w:t>
            </w:r>
          </w:p>
        </w:tc>
        <w:tc>
          <w:tcPr>
            <w:tcW w:w="774"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r>
      <w:tr w:rsidR="00F73810" w:rsidRPr="00F73810" w:rsidTr="00F73810">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709</w:t>
            </w:r>
          </w:p>
        </w:tc>
        <w:tc>
          <w:tcPr>
            <w:tcW w:w="650"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669</w:t>
            </w:r>
          </w:p>
        </w:tc>
        <w:tc>
          <w:tcPr>
            <w:tcW w:w="641"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1.308</w:t>
            </w:r>
          </w:p>
        </w:tc>
        <w:tc>
          <w:tcPr>
            <w:tcW w:w="669"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242</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3.068</w:t>
            </w:r>
          </w:p>
        </w:tc>
      </w:tr>
      <w:tr w:rsidR="00F73810" w:rsidRPr="00F73810" w:rsidTr="00F73810">
        <w:trPr>
          <w:trHeight w:val="300"/>
        </w:trPr>
        <w:tc>
          <w:tcPr>
            <w:tcW w:w="617"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39</w:t>
            </w:r>
          </w:p>
        </w:tc>
        <w:tc>
          <w:tcPr>
            <w:tcW w:w="641"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78</w:t>
            </w:r>
          </w:p>
        </w:tc>
        <w:tc>
          <w:tcPr>
            <w:tcW w:w="669" w:type="pct"/>
            <w:tcBorders>
              <w:top w:val="nil"/>
              <w:left w:val="nil"/>
              <w:bottom w:val="single" w:sz="4" w:space="0" w:color="A6A6A6"/>
              <w:right w:val="single" w:sz="4" w:space="0" w:color="A6A6A6"/>
            </w:tcBorders>
            <w:shd w:val="clear" w:color="auto" w:fill="auto"/>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23</w:t>
            </w:r>
          </w:p>
        </w:tc>
        <w:tc>
          <w:tcPr>
            <w:tcW w:w="774"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r>
      <w:tr w:rsidR="00F73810" w:rsidRPr="00F73810" w:rsidTr="00F73810">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71</w:t>
            </w:r>
          </w:p>
        </w:tc>
        <w:tc>
          <w:tcPr>
            <w:tcW w:w="650"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71</w:t>
            </w:r>
          </w:p>
        </w:tc>
        <w:tc>
          <w:tcPr>
            <w:tcW w:w="641"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145</w:t>
            </w:r>
          </w:p>
        </w:tc>
        <w:tc>
          <w:tcPr>
            <w:tcW w:w="669"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52</w:t>
            </w:r>
          </w:p>
        </w:tc>
        <w:tc>
          <w:tcPr>
            <w:tcW w:w="774"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339</w:t>
            </w:r>
          </w:p>
        </w:tc>
      </w:tr>
      <w:tr w:rsidR="00F73810" w:rsidRPr="00F73810" w:rsidTr="00F73810">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Ñuble</w:t>
            </w:r>
          </w:p>
        </w:tc>
        <w:tc>
          <w:tcPr>
            <w:tcW w:w="896"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Marina del Sol Chillán</w:t>
            </w:r>
          </w:p>
        </w:tc>
        <w:tc>
          <w:tcPr>
            <w:tcW w:w="752" w:type="pct"/>
            <w:tcBorders>
              <w:top w:val="nil"/>
              <w:left w:val="nil"/>
              <w:bottom w:val="nil"/>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52</w:t>
            </w:r>
          </w:p>
        </w:tc>
        <w:tc>
          <w:tcPr>
            <w:tcW w:w="650"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52</w:t>
            </w:r>
          </w:p>
        </w:tc>
        <w:tc>
          <w:tcPr>
            <w:tcW w:w="641"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98</w:t>
            </w:r>
          </w:p>
        </w:tc>
        <w:tc>
          <w:tcPr>
            <w:tcW w:w="669"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55</w:t>
            </w:r>
          </w:p>
        </w:tc>
        <w:tc>
          <w:tcPr>
            <w:tcW w:w="774" w:type="pct"/>
            <w:tcBorders>
              <w:top w:val="nil"/>
              <w:left w:val="nil"/>
              <w:bottom w:val="nil"/>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256</w:t>
            </w:r>
          </w:p>
        </w:tc>
      </w:tr>
      <w:tr w:rsidR="00F73810" w:rsidRPr="00F73810" w:rsidTr="00F73810">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 xml:space="preserve">Del Bío </w:t>
            </w:r>
            <w:proofErr w:type="spellStart"/>
            <w:r w:rsidRPr="00F73810">
              <w:rPr>
                <w:rFonts w:ascii="Calibri" w:eastAsia="Times New Roman" w:hAnsi="Calibri" w:cs="Calibri"/>
                <w:color w:val="244062"/>
                <w:sz w:val="18"/>
                <w:szCs w:val="18"/>
                <w:lang w:eastAsia="es-CL"/>
              </w:rPr>
              <w:t>Bío</w:t>
            </w:r>
            <w:proofErr w:type="spellEnd"/>
          </w:p>
        </w:tc>
        <w:tc>
          <w:tcPr>
            <w:tcW w:w="896"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Marina de Sol Talcahuano</w:t>
            </w:r>
          </w:p>
        </w:tc>
        <w:tc>
          <w:tcPr>
            <w:tcW w:w="752"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278</w:t>
            </w:r>
          </w:p>
        </w:tc>
        <w:tc>
          <w:tcPr>
            <w:tcW w:w="650"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248</w:t>
            </w:r>
          </w:p>
        </w:tc>
        <w:tc>
          <w:tcPr>
            <w:tcW w:w="641"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505</w:t>
            </w:r>
          </w:p>
        </w:tc>
        <w:tc>
          <w:tcPr>
            <w:tcW w:w="669"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210</w:t>
            </w:r>
          </w:p>
        </w:tc>
        <w:tc>
          <w:tcPr>
            <w:tcW w:w="774" w:type="pct"/>
            <w:vMerge w:val="restart"/>
            <w:tcBorders>
              <w:top w:val="single" w:sz="4" w:space="0" w:color="A6A6A6"/>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1.365</w:t>
            </w:r>
          </w:p>
        </w:tc>
      </w:tr>
      <w:tr w:rsidR="00F73810" w:rsidRPr="00F73810" w:rsidTr="00F73810">
        <w:trPr>
          <w:trHeight w:val="300"/>
        </w:trPr>
        <w:tc>
          <w:tcPr>
            <w:tcW w:w="617"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Casino Gran Los Ángeles</w:t>
            </w:r>
          </w:p>
        </w:tc>
        <w:tc>
          <w:tcPr>
            <w:tcW w:w="752" w:type="pct"/>
            <w:vMerge/>
            <w:tcBorders>
              <w:top w:val="single" w:sz="4" w:space="0" w:color="A6A6A6"/>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30</w:t>
            </w:r>
          </w:p>
        </w:tc>
        <w:tc>
          <w:tcPr>
            <w:tcW w:w="641"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59</w:t>
            </w:r>
          </w:p>
        </w:tc>
        <w:tc>
          <w:tcPr>
            <w:tcW w:w="669"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36</w:t>
            </w:r>
          </w:p>
        </w:tc>
        <w:tc>
          <w:tcPr>
            <w:tcW w:w="774" w:type="pct"/>
            <w:vMerge/>
            <w:tcBorders>
              <w:top w:val="single" w:sz="4" w:space="0" w:color="A6A6A6"/>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r>
      <w:tr w:rsidR="00F73810" w:rsidRPr="00F73810" w:rsidTr="00F73810">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140</w:t>
            </w:r>
          </w:p>
        </w:tc>
        <w:tc>
          <w:tcPr>
            <w:tcW w:w="650"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140</w:t>
            </w:r>
          </w:p>
        </w:tc>
        <w:tc>
          <w:tcPr>
            <w:tcW w:w="641"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277</w:t>
            </w:r>
          </w:p>
        </w:tc>
        <w:tc>
          <w:tcPr>
            <w:tcW w:w="669"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115</w:t>
            </w:r>
          </w:p>
        </w:tc>
        <w:tc>
          <w:tcPr>
            <w:tcW w:w="774"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671</w:t>
            </w:r>
          </w:p>
        </w:tc>
      </w:tr>
      <w:tr w:rsidR="00F73810" w:rsidRPr="00F73810" w:rsidTr="00F73810">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84</w:t>
            </w:r>
          </w:p>
        </w:tc>
        <w:tc>
          <w:tcPr>
            <w:tcW w:w="650"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84</w:t>
            </w:r>
          </w:p>
        </w:tc>
        <w:tc>
          <w:tcPr>
            <w:tcW w:w="641"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164</w:t>
            </w:r>
          </w:p>
        </w:tc>
        <w:tc>
          <w:tcPr>
            <w:tcW w:w="669"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54</w:t>
            </w:r>
          </w:p>
        </w:tc>
        <w:tc>
          <w:tcPr>
            <w:tcW w:w="774"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385</w:t>
            </w:r>
          </w:p>
        </w:tc>
      </w:tr>
      <w:tr w:rsidR="00F73810" w:rsidRPr="00F73810" w:rsidTr="00F73810">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92</w:t>
            </w:r>
          </w:p>
        </w:tc>
        <w:tc>
          <w:tcPr>
            <w:tcW w:w="650"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63</w:t>
            </w:r>
          </w:p>
        </w:tc>
        <w:tc>
          <w:tcPr>
            <w:tcW w:w="641"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127</w:t>
            </w:r>
          </w:p>
        </w:tc>
        <w:tc>
          <w:tcPr>
            <w:tcW w:w="669"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52</w:t>
            </w:r>
          </w:p>
        </w:tc>
        <w:tc>
          <w:tcPr>
            <w:tcW w:w="774" w:type="pct"/>
            <w:vMerge w:val="restart"/>
            <w:tcBorders>
              <w:top w:val="nil"/>
              <w:left w:val="single" w:sz="4" w:space="0" w:color="A6A6A6"/>
              <w:bottom w:val="single" w:sz="4" w:space="0" w:color="A6A6A6"/>
              <w:right w:val="single" w:sz="4" w:space="0" w:color="A6A6A6"/>
            </w:tcBorders>
            <w:shd w:val="clear" w:color="000000" w:fill="FFFFFF"/>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441</w:t>
            </w:r>
          </w:p>
        </w:tc>
      </w:tr>
      <w:tr w:rsidR="00F73810" w:rsidRPr="00F73810" w:rsidTr="00F73810">
        <w:trPr>
          <w:trHeight w:val="300"/>
        </w:trPr>
        <w:tc>
          <w:tcPr>
            <w:tcW w:w="617"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29</w:t>
            </w:r>
          </w:p>
        </w:tc>
        <w:tc>
          <w:tcPr>
            <w:tcW w:w="641"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55</w:t>
            </w:r>
          </w:p>
        </w:tc>
        <w:tc>
          <w:tcPr>
            <w:tcW w:w="669"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23</w:t>
            </w:r>
          </w:p>
        </w:tc>
        <w:tc>
          <w:tcPr>
            <w:tcW w:w="774" w:type="pct"/>
            <w:vMerge/>
            <w:tcBorders>
              <w:top w:val="nil"/>
              <w:left w:val="single" w:sz="4" w:space="0" w:color="A6A6A6"/>
              <w:bottom w:val="single" w:sz="4" w:space="0" w:color="A6A6A6"/>
              <w:right w:val="single" w:sz="4" w:space="0" w:color="A6A6A6"/>
            </w:tcBorders>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p>
        </w:tc>
      </w:tr>
      <w:tr w:rsidR="00F73810" w:rsidRPr="00F73810" w:rsidTr="00F73810">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34</w:t>
            </w:r>
          </w:p>
        </w:tc>
        <w:tc>
          <w:tcPr>
            <w:tcW w:w="650"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34</w:t>
            </w:r>
          </w:p>
        </w:tc>
        <w:tc>
          <w:tcPr>
            <w:tcW w:w="641"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64</w:t>
            </w:r>
          </w:p>
        </w:tc>
        <w:tc>
          <w:tcPr>
            <w:tcW w:w="669"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29</w:t>
            </w:r>
          </w:p>
        </w:tc>
        <w:tc>
          <w:tcPr>
            <w:tcW w:w="774" w:type="pct"/>
            <w:tcBorders>
              <w:top w:val="nil"/>
              <w:left w:val="nil"/>
              <w:bottom w:val="single" w:sz="4" w:space="0" w:color="A6A6A6"/>
              <w:right w:val="single" w:sz="4" w:space="0" w:color="A6A6A6"/>
            </w:tcBorders>
            <w:shd w:val="clear" w:color="000000" w:fill="DAEEF3"/>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161</w:t>
            </w:r>
          </w:p>
        </w:tc>
      </w:tr>
      <w:tr w:rsidR="00F73810" w:rsidRPr="00F73810" w:rsidTr="00F73810">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140</w:t>
            </w:r>
          </w:p>
        </w:tc>
        <w:tc>
          <w:tcPr>
            <w:tcW w:w="650"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140</w:t>
            </w:r>
          </w:p>
        </w:tc>
        <w:tc>
          <w:tcPr>
            <w:tcW w:w="641"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283</w:t>
            </w:r>
          </w:p>
        </w:tc>
        <w:tc>
          <w:tcPr>
            <w:tcW w:w="669"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135</w:t>
            </w:r>
          </w:p>
        </w:tc>
        <w:tc>
          <w:tcPr>
            <w:tcW w:w="774" w:type="pct"/>
            <w:tcBorders>
              <w:top w:val="nil"/>
              <w:left w:val="nil"/>
              <w:bottom w:val="single" w:sz="4" w:space="0" w:color="A6A6A6"/>
              <w:right w:val="single" w:sz="4" w:space="0" w:color="A6A6A6"/>
            </w:tcBorders>
            <w:shd w:val="clear" w:color="000000" w:fill="FFFFFF"/>
            <w:noWrap/>
            <w:vAlign w:val="bottom"/>
            <w:hideMark/>
          </w:tcPr>
          <w:p w:rsidR="00F73810" w:rsidRPr="00F73810" w:rsidRDefault="00F73810" w:rsidP="00F73810">
            <w:pPr>
              <w:spacing w:after="0" w:line="240" w:lineRule="auto"/>
              <w:jc w:val="center"/>
              <w:rPr>
                <w:rFonts w:ascii="Calibri" w:eastAsia="Times New Roman" w:hAnsi="Calibri" w:cs="Calibri"/>
                <w:color w:val="244062"/>
                <w:sz w:val="18"/>
                <w:szCs w:val="18"/>
                <w:lang w:eastAsia="es-CL"/>
              </w:rPr>
            </w:pPr>
            <w:r w:rsidRPr="00F73810">
              <w:rPr>
                <w:rFonts w:ascii="Calibri" w:eastAsia="Times New Roman" w:hAnsi="Calibri" w:cs="Calibri"/>
                <w:color w:val="244062"/>
                <w:sz w:val="18"/>
                <w:szCs w:val="18"/>
                <w:lang w:eastAsia="es-CL"/>
              </w:rPr>
              <w:t>697</w:t>
            </w:r>
          </w:p>
        </w:tc>
      </w:tr>
      <w:tr w:rsidR="00F73810" w:rsidRPr="00F73810" w:rsidTr="00F73810">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2.334</w:t>
            </w:r>
          </w:p>
        </w:tc>
        <w:tc>
          <w:tcPr>
            <w:tcW w:w="650" w:type="pct"/>
            <w:tcBorders>
              <w:top w:val="nil"/>
              <w:left w:val="nil"/>
              <w:bottom w:val="single" w:sz="4" w:space="0" w:color="A6A6A6"/>
              <w:right w:val="single" w:sz="4" w:space="0" w:color="A6A6A6"/>
            </w:tcBorders>
            <w:shd w:val="clear" w:color="000000" w:fill="1F497D"/>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2.334</w:t>
            </w:r>
          </w:p>
        </w:tc>
        <w:tc>
          <w:tcPr>
            <w:tcW w:w="641" w:type="pct"/>
            <w:tcBorders>
              <w:top w:val="nil"/>
              <w:left w:val="nil"/>
              <w:bottom w:val="single" w:sz="4" w:space="0" w:color="A6A6A6"/>
              <w:right w:val="single" w:sz="4" w:space="0" w:color="A6A6A6"/>
            </w:tcBorders>
            <w:shd w:val="clear" w:color="000000" w:fill="1F497D"/>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4.585</w:t>
            </w:r>
          </w:p>
        </w:tc>
        <w:tc>
          <w:tcPr>
            <w:tcW w:w="669" w:type="pct"/>
            <w:tcBorders>
              <w:top w:val="nil"/>
              <w:left w:val="nil"/>
              <w:bottom w:val="single" w:sz="4" w:space="0" w:color="A6A6A6"/>
              <w:right w:val="single" w:sz="4" w:space="0" w:color="A6A6A6"/>
            </w:tcBorders>
            <w:shd w:val="clear" w:color="000000" w:fill="1F497D"/>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1.557</w:t>
            </w:r>
          </w:p>
        </w:tc>
        <w:tc>
          <w:tcPr>
            <w:tcW w:w="774" w:type="pct"/>
            <w:tcBorders>
              <w:top w:val="nil"/>
              <w:left w:val="nil"/>
              <w:bottom w:val="single" w:sz="4" w:space="0" w:color="A6A6A6"/>
              <w:right w:val="single" w:sz="4" w:space="0" w:color="A6A6A6"/>
            </w:tcBorders>
            <w:shd w:val="clear" w:color="000000" w:fill="1F497D"/>
            <w:vAlign w:val="center"/>
            <w:hideMark/>
          </w:tcPr>
          <w:p w:rsidR="00F73810" w:rsidRPr="00F73810" w:rsidRDefault="00F73810" w:rsidP="00F73810">
            <w:pPr>
              <w:spacing w:after="0" w:line="240" w:lineRule="auto"/>
              <w:jc w:val="center"/>
              <w:rPr>
                <w:rFonts w:ascii="Calibri" w:eastAsia="Times New Roman" w:hAnsi="Calibri" w:cs="Calibri"/>
                <w:b/>
                <w:bCs/>
                <w:color w:val="FFFFFF"/>
                <w:sz w:val="18"/>
                <w:szCs w:val="18"/>
                <w:lang w:eastAsia="es-CL"/>
              </w:rPr>
            </w:pPr>
            <w:r w:rsidRPr="00F73810">
              <w:rPr>
                <w:rFonts w:ascii="Calibri" w:eastAsia="Times New Roman" w:hAnsi="Calibri" w:cs="Calibri"/>
                <w:b/>
                <w:bCs/>
                <w:color w:val="FFFFFF"/>
                <w:sz w:val="18"/>
                <w:szCs w:val="18"/>
                <w:lang w:eastAsia="es-CL"/>
              </w:rPr>
              <w:t>10.810</w:t>
            </w:r>
          </w:p>
        </w:tc>
      </w:tr>
    </w:tbl>
    <w:p w:rsidR="00067327" w:rsidRDefault="00067327" w:rsidP="00330D14">
      <w:pPr>
        <w:pStyle w:val="Prrafodelista"/>
        <w:tabs>
          <w:tab w:val="left" w:pos="0"/>
        </w:tabs>
        <w:ind w:left="0"/>
        <w:rPr>
          <w:rFonts w:ascii="Calibri" w:hAnsi="Calibri" w:cs="Calibri"/>
        </w:rPr>
      </w:pPr>
    </w:p>
    <w:p w:rsidR="001E65B3" w:rsidRDefault="001E65B3" w:rsidP="00330D14">
      <w:pPr>
        <w:pStyle w:val="Prrafodelista"/>
        <w:tabs>
          <w:tab w:val="left" w:pos="0"/>
        </w:tabs>
        <w:ind w:left="0"/>
        <w:rPr>
          <w:rFonts w:ascii="Calibri" w:hAnsi="Calibri" w:cs="Calibri"/>
        </w:rPr>
      </w:pPr>
    </w:p>
    <w:p w:rsidR="00EA48A8" w:rsidRPr="00FB3D8B" w:rsidRDefault="00EA48A8" w:rsidP="00330D14">
      <w:pPr>
        <w:shd w:val="clear" w:color="auto" w:fill="222A35" w:themeFill="text2" w:themeFillShade="80"/>
        <w:tabs>
          <w:tab w:val="left" w:pos="0"/>
        </w:tabs>
        <w:spacing w:after="0" w:line="240" w:lineRule="auto"/>
        <w:rPr>
          <w:b/>
        </w:rPr>
      </w:pPr>
      <w:r>
        <w:rPr>
          <w:b/>
        </w:rPr>
        <w:t>Ingresos brutos de la industria de casinos de juego</w:t>
      </w:r>
    </w:p>
    <w:p w:rsidR="006769E2" w:rsidRDefault="006769E2" w:rsidP="00330D14">
      <w:pPr>
        <w:tabs>
          <w:tab w:val="left" w:pos="0"/>
        </w:tabs>
        <w:spacing w:after="0" w:line="240" w:lineRule="auto"/>
      </w:pPr>
    </w:p>
    <w:p w:rsidR="00AA4471" w:rsidRDefault="00231FE9" w:rsidP="00330D14">
      <w:pPr>
        <w:tabs>
          <w:tab w:val="left" w:pos="0"/>
        </w:tabs>
        <w:spacing w:after="0" w:line="240" w:lineRule="auto"/>
      </w:pPr>
      <w:r>
        <w:t>L</w:t>
      </w:r>
      <w:r w:rsidR="00AA4471">
        <w:t>a industria de casinos de juego, conformada por los 1</w:t>
      </w:r>
      <w:r w:rsidR="00F733DC">
        <w:t>9</w:t>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790E9F">
        <w:t>diciembre</w:t>
      </w:r>
      <w:r w:rsidR="00AA4471">
        <w:t xml:space="preserve"> </w:t>
      </w:r>
      <w:r w:rsidR="003A0DBE">
        <w:t>de 201</w:t>
      </w:r>
      <w:r w:rsidR="00964EC6">
        <w:t>9,</w:t>
      </w:r>
      <w:r w:rsidR="003A0DBE">
        <w:t xml:space="preserve"> </w:t>
      </w:r>
      <w:r w:rsidR="00A729EA" w:rsidRPr="00FD382C">
        <w:t>ingresos bru</w:t>
      </w:r>
      <w:r w:rsidR="00AA4471">
        <w:t xml:space="preserve">tos del juego (win) por $ </w:t>
      </w:r>
      <w:r w:rsidR="00A55386">
        <w:t>3</w:t>
      </w:r>
      <w:r w:rsidR="00F73810">
        <w:t>9</w:t>
      </w:r>
      <w:r w:rsidR="00AA4471">
        <w:t>.</w:t>
      </w:r>
      <w:r w:rsidR="00F73810">
        <w:t>263</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EE3264">
        <w:t>-</w:t>
      </w:r>
      <w:r w:rsidR="00F73810">
        <w:t>4</w:t>
      </w:r>
      <w:r w:rsidR="00C01232">
        <w:t>,</w:t>
      </w:r>
      <w:r w:rsidR="00F73810">
        <w:t>1</w:t>
      </w:r>
      <w:r w:rsidR="009E0798">
        <w:t xml:space="preserve"> </w:t>
      </w:r>
      <w:r w:rsidR="006E4FFE" w:rsidRPr="005B279E">
        <w:t>%</w:t>
      </w:r>
      <w:r w:rsidR="00A1369B" w:rsidRPr="00ED60A3">
        <w:rPr>
          <w:i/>
          <w:vertAlign w:val="superscript"/>
        </w:rPr>
        <w:footnoteReference w:id="2"/>
      </w:r>
      <w:r w:rsidR="006E4FFE" w:rsidRPr="005B279E">
        <w:t xml:space="preserve"> </w:t>
      </w:r>
      <w:r w:rsidR="005B279E" w:rsidRPr="005B279E">
        <w:t xml:space="preserve">en comparación con el mismo mes del año anterior, mientras que el crecimiento real acumulado es de </w:t>
      </w:r>
      <w:r w:rsidR="00F733DC">
        <w:t>-</w:t>
      </w:r>
      <w:r w:rsidR="006F449E">
        <w:t>4</w:t>
      </w:r>
      <w:r w:rsidR="00877A61">
        <w:t>,</w:t>
      </w:r>
      <w:r w:rsidR="00F73810">
        <w:t>8</w:t>
      </w:r>
      <w:r w:rsidR="006E4FFE" w:rsidRPr="005B279E">
        <w:t>%</w:t>
      </w:r>
      <w:r w:rsidR="00A1369B" w:rsidRPr="00ED60A3">
        <w:rPr>
          <w:i/>
          <w:vertAlign w:val="superscript"/>
        </w:rPr>
        <w:footnoteReference w:id="3"/>
      </w:r>
      <w:r w:rsidR="006E4FFE" w:rsidRPr="005B279E">
        <w:t xml:space="preserve"> en</w:t>
      </w:r>
      <w:r w:rsidR="005B279E" w:rsidRPr="005B279E">
        <w:t xml:space="preserve"> </w:t>
      </w:r>
      <w:r w:rsidR="00F41C39">
        <w:t>los últimos 12 meses</w:t>
      </w:r>
      <w:r w:rsidR="005B279E" w:rsidRPr="005B279E">
        <w:t>.</w:t>
      </w:r>
    </w:p>
    <w:p w:rsidR="00AA4471" w:rsidRDefault="00AA4471" w:rsidP="00083908">
      <w:pPr>
        <w:tabs>
          <w:tab w:val="left" w:pos="0"/>
        </w:tabs>
        <w:spacing w:after="0" w:line="240" w:lineRule="auto"/>
      </w:pPr>
    </w:p>
    <w:p w:rsidR="00070FBD" w:rsidRDefault="00070FBD" w:rsidP="00083908">
      <w:pPr>
        <w:tabs>
          <w:tab w:val="left" w:pos="0"/>
        </w:tabs>
        <w:spacing w:after="0" w:line="240" w:lineRule="auto"/>
      </w:pPr>
      <w:r>
        <w:t xml:space="preserve">Del total de $ </w:t>
      </w:r>
      <w:r w:rsidR="00A55386">
        <w:t>3</w:t>
      </w:r>
      <w:r w:rsidR="00F73810">
        <w:t>9</w:t>
      </w:r>
      <w:r>
        <w:t>.</w:t>
      </w:r>
      <w:r w:rsidR="00F73810">
        <w:t>263</w:t>
      </w:r>
      <w:r>
        <w:t xml:space="preserve"> millones de ingresos brutos del juego o win,</w:t>
      </w:r>
      <w:r w:rsidR="00CF3270">
        <w:t xml:space="preserve"> </w:t>
      </w:r>
      <w:r w:rsidR="00010609">
        <w:t xml:space="preserve">Sun Monticello representó el </w:t>
      </w:r>
      <w:r w:rsidR="00F73810">
        <w:t>20</w:t>
      </w:r>
      <w:r w:rsidR="00010609">
        <w:t>,</w:t>
      </w:r>
      <w:r w:rsidR="00F73810">
        <w:t>9</w:t>
      </w:r>
      <w:r w:rsidR="00010609">
        <w:t xml:space="preserve">% ($ </w:t>
      </w:r>
      <w:r w:rsidR="00F73810">
        <w:t>8.192</w:t>
      </w:r>
      <w:r w:rsidR="00A55386">
        <w:t xml:space="preserve"> </w:t>
      </w:r>
      <w:r w:rsidR="00010609">
        <w:t>millones),</w:t>
      </w:r>
      <w:r w:rsidR="00EB33ED">
        <w:t xml:space="preserve"> </w:t>
      </w:r>
      <w:r w:rsidR="00F733DC">
        <w:t>Casino Viña del Mar 1</w:t>
      </w:r>
      <w:r w:rsidR="00EE3264">
        <w:t>0</w:t>
      </w:r>
      <w:r w:rsidR="00F733DC">
        <w:t>,</w:t>
      </w:r>
      <w:r w:rsidR="00F73810">
        <w:t>9</w:t>
      </w:r>
      <w:r w:rsidR="00F733DC">
        <w:t xml:space="preserve">% ($ </w:t>
      </w:r>
      <w:r w:rsidR="00F73810">
        <w:t>4.279</w:t>
      </w:r>
      <w:r w:rsidR="00F733DC">
        <w:t xml:space="preserve"> millones),</w:t>
      </w:r>
      <w:r w:rsidR="0090700B">
        <w:t xml:space="preserve"> </w:t>
      </w:r>
      <w:r w:rsidR="00A55386">
        <w:t>Marina del Sol Talcahuano 8,</w:t>
      </w:r>
      <w:r w:rsidR="00F73810">
        <w:t>0</w:t>
      </w:r>
      <w:r w:rsidR="00A55386">
        <w:t xml:space="preserve"> % ($ </w:t>
      </w:r>
      <w:r w:rsidR="00F73810">
        <w:t>3.160</w:t>
      </w:r>
      <w:r w:rsidR="00A55386">
        <w:t xml:space="preserve"> millones), </w:t>
      </w:r>
      <w:r w:rsidR="00EE3264">
        <w:t xml:space="preserve">Casino Rinconada </w:t>
      </w:r>
      <w:r w:rsidR="00F73810">
        <w:t>8</w:t>
      </w:r>
      <w:r w:rsidR="00EE3264">
        <w:t>,</w:t>
      </w:r>
      <w:r w:rsidR="00F73810">
        <w:t>0</w:t>
      </w:r>
      <w:r w:rsidR="00EE3264">
        <w:t xml:space="preserve">% ($ </w:t>
      </w:r>
      <w:r w:rsidR="00F73810">
        <w:t>3.125</w:t>
      </w:r>
      <w:r w:rsidR="00EE3264">
        <w:t xml:space="preserve"> millones), </w:t>
      </w:r>
      <w:r w:rsidR="006F449E">
        <w:t xml:space="preserve">Coquimbo </w:t>
      </w:r>
      <w:r w:rsidR="00F73810">
        <w:t>5</w:t>
      </w:r>
      <w:r w:rsidR="006F449E">
        <w:t>,</w:t>
      </w:r>
      <w:r w:rsidR="00F73810">
        <w:t>6</w:t>
      </w:r>
      <w:r w:rsidR="006F449E">
        <w:t xml:space="preserve"> % ($ </w:t>
      </w:r>
      <w:r w:rsidR="00F73810">
        <w:t>2.186</w:t>
      </w:r>
      <w:r w:rsidR="006F449E">
        <w:t xml:space="preserve"> millones), Enjoy Antofagasta 5,</w:t>
      </w:r>
      <w:r w:rsidR="00F73810">
        <w:t>3</w:t>
      </w:r>
      <w:r w:rsidR="006F449E">
        <w:t xml:space="preserve"> % ($ </w:t>
      </w:r>
      <w:r w:rsidR="00F73810">
        <w:t>2.086</w:t>
      </w:r>
      <w:r w:rsidR="006F449E">
        <w:t xml:space="preserve"> millones), </w:t>
      </w:r>
      <w:r w:rsidR="00F73810">
        <w:t xml:space="preserve">Dreams Punta Arenas 4,5 % ($ </w:t>
      </w:r>
      <w:r w:rsidR="00E15A41">
        <w:t>1.773</w:t>
      </w:r>
      <w:r w:rsidR="00F73810">
        <w:t xml:space="preserve"> millones</w:t>
      </w:r>
      <w:r w:rsidR="00E15A41">
        <w:t>),</w:t>
      </w:r>
      <w:r w:rsidR="006F449E">
        <w:t xml:space="preserve"> </w:t>
      </w:r>
      <w:r w:rsidR="00A55386">
        <w:t xml:space="preserve">Dreams Temuco </w:t>
      </w:r>
      <w:r w:rsidR="00E15A41">
        <w:t>4</w:t>
      </w:r>
      <w:r w:rsidR="00A55386">
        <w:t>,</w:t>
      </w:r>
      <w:r w:rsidR="00E15A41">
        <w:t>4</w:t>
      </w:r>
      <w:r w:rsidR="00A55386">
        <w:t xml:space="preserve"> % ($ </w:t>
      </w:r>
      <w:r w:rsidR="00E15A41">
        <w:t>1.732</w:t>
      </w:r>
      <w:r w:rsidR="00A55386">
        <w:t xml:space="preserve"> millones), </w:t>
      </w:r>
      <w:r w:rsidR="0090700B">
        <w:t xml:space="preserve">Casino de Iquique </w:t>
      </w:r>
      <w:r w:rsidR="00E15A41">
        <w:t>4</w:t>
      </w:r>
      <w:r w:rsidR="0090700B">
        <w:t>,</w:t>
      </w:r>
      <w:r w:rsidR="00E15A41">
        <w:t>0</w:t>
      </w:r>
      <w:r w:rsidR="0090700B">
        <w:t xml:space="preserve"> % ($ </w:t>
      </w:r>
      <w:r w:rsidR="006F449E">
        <w:t>1.5</w:t>
      </w:r>
      <w:r w:rsidR="00E15A41">
        <w:t>76</w:t>
      </w:r>
      <w:r w:rsidR="0090700B">
        <w:t xml:space="preserve"> millones), </w:t>
      </w:r>
      <w:r w:rsidR="00E15981">
        <w:t>Casino Puerto Varas 3,</w:t>
      </w:r>
      <w:r w:rsidR="00E15A41">
        <w:t>1</w:t>
      </w:r>
      <w:r w:rsidR="00E15981">
        <w:t xml:space="preserve"> % ($ </w:t>
      </w:r>
      <w:r w:rsidR="006F449E">
        <w:t>1.</w:t>
      </w:r>
      <w:r w:rsidR="00E15A41">
        <w:t>215</w:t>
      </w:r>
      <w:r w:rsidR="00E15981">
        <w:t xml:space="preserve"> millones), </w:t>
      </w:r>
      <w:r w:rsidR="00A55386">
        <w:t>Marina del Sol Calama 2,</w:t>
      </w:r>
      <w:r w:rsidR="00E15A41">
        <w:t>6</w:t>
      </w:r>
      <w:r w:rsidR="00A55386">
        <w:t xml:space="preserve">% ($ </w:t>
      </w:r>
      <w:r w:rsidR="00E15A41">
        <w:t>1.040</w:t>
      </w:r>
      <w:r w:rsidR="00A55386">
        <w:t xml:space="preserve"> millones), Antay Casino &amp; Hotel 2,</w:t>
      </w:r>
      <w:r w:rsidR="00E15A41">
        <w:t>6</w:t>
      </w:r>
      <w:r w:rsidR="00A55386">
        <w:t xml:space="preserve">% ($ </w:t>
      </w:r>
      <w:r w:rsidR="00E15A41">
        <w:t>1.030</w:t>
      </w:r>
      <w:r w:rsidR="00A55386">
        <w:t xml:space="preserve"> millones), </w:t>
      </w:r>
      <w:r w:rsidR="00E15A41">
        <w:t xml:space="preserve">Dreams Valdivia 2,6 % ($ 1.027 millones), Gran Casino de Talca 2,3 % ($ 905 millones), </w:t>
      </w:r>
      <w:r w:rsidR="006F449E">
        <w:t>Marina del Sol Osorno 2,</w:t>
      </w:r>
      <w:r w:rsidR="00E15A41">
        <w:t>0</w:t>
      </w:r>
      <w:r w:rsidR="006F449E">
        <w:t xml:space="preserve">% ($ </w:t>
      </w:r>
      <w:r w:rsidR="00E15A41">
        <w:t>796</w:t>
      </w:r>
      <w:r w:rsidR="006F449E">
        <w:t xml:space="preserve"> millones), Casino de Pucón 2,0 % ($ </w:t>
      </w:r>
      <w:r w:rsidR="00E15A41">
        <w:t>766</w:t>
      </w:r>
      <w:r w:rsidR="006F449E">
        <w:t xml:space="preserve"> millones),</w:t>
      </w:r>
      <w:r w:rsidR="00E15A41">
        <w:t xml:space="preserve"> Casino Luckia Arica 1,6% ($ 630 millones),     </w:t>
      </w:r>
      <w:r w:rsidR="006F449E">
        <w:t xml:space="preserve"> Marina del Sol Chillán 1,</w:t>
      </w:r>
      <w:r w:rsidR="00E15A41">
        <w:t>6</w:t>
      </w:r>
      <w:r w:rsidR="006F449E">
        <w:t xml:space="preserve">% ($ </w:t>
      </w:r>
      <w:r w:rsidR="00E15A41">
        <w:t>614</w:t>
      </w:r>
      <w:r w:rsidR="006F449E">
        <w:t xml:space="preserve"> millones), </w:t>
      </w:r>
      <w:r w:rsidR="00EA4151">
        <w:t>Casino de Juegos del Pacífico 1,</w:t>
      </w:r>
      <w:r w:rsidR="00E15A41">
        <w:t>5</w:t>
      </w:r>
      <w:r w:rsidR="00EA4151">
        <w:t xml:space="preserve">% ($ </w:t>
      </w:r>
      <w:r w:rsidR="00E15A41">
        <w:t>603</w:t>
      </w:r>
      <w:r w:rsidR="00EA4151">
        <w:t xml:space="preserve"> millones),</w:t>
      </w:r>
      <w:r w:rsidR="00EA4151" w:rsidRPr="005D4916">
        <w:t xml:space="preserve"> </w:t>
      </w:r>
      <w:r w:rsidR="005D4916">
        <w:t>Casino de Colchagua 1,</w:t>
      </w:r>
      <w:r w:rsidR="00E15A41">
        <w:t>2</w:t>
      </w:r>
      <w:r w:rsidR="005D4916">
        <w:t>% ($</w:t>
      </w:r>
      <w:r w:rsidR="004F674A">
        <w:t xml:space="preserve"> </w:t>
      </w:r>
      <w:r w:rsidR="006F449E">
        <w:t>4</w:t>
      </w:r>
      <w:r w:rsidR="00E15A41">
        <w:t>89</w:t>
      </w:r>
      <w:r w:rsidR="006F449E">
        <w:t xml:space="preserve"> </w:t>
      </w:r>
      <w:r w:rsidR="005D4916">
        <w:t xml:space="preserve">millones), </w:t>
      </w:r>
      <w:r w:rsidR="006F449E">
        <w:t>Dreams Coyhaique 1,</w:t>
      </w:r>
      <w:r w:rsidR="00E15A41">
        <w:t>0</w:t>
      </w:r>
      <w:r w:rsidR="006F449E">
        <w:t xml:space="preserve"> % ($ </w:t>
      </w:r>
      <w:r w:rsidR="00E15A41">
        <w:t>402</w:t>
      </w:r>
      <w:r w:rsidR="006F449E">
        <w:t xml:space="preserve"> millones), </w:t>
      </w:r>
      <w:r w:rsidR="00A55386">
        <w:t>Ovalle Casino Resort S.A. 1,</w:t>
      </w:r>
      <w:r w:rsidR="00E15A41">
        <w:t>0</w:t>
      </w:r>
      <w:r w:rsidR="00A55386">
        <w:t xml:space="preserve">% ($ </w:t>
      </w:r>
      <w:r w:rsidR="00E15A41">
        <w:t>396</w:t>
      </w:r>
      <w:r w:rsidR="00A55386">
        <w:t xml:space="preserve"> millones), </w:t>
      </w:r>
      <w:r w:rsidR="00E15A41">
        <w:t xml:space="preserve">Casino de Arica 1,0 % ($ 385 millones), </w:t>
      </w:r>
      <w:r w:rsidR="006F449E">
        <w:t xml:space="preserve">Casino Gran Los Ángeles </w:t>
      </w:r>
      <w:r w:rsidR="00E15A41">
        <w:t>0</w:t>
      </w:r>
      <w:r w:rsidR="006F449E">
        <w:t>,</w:t>
      </w:r>
      <w:r w:rsidR="00E15A41">
        <w:t>9</w:t>
      </w:r>
      <w:r w:rsidR="006F449E">
        <w:t xml:space="preserve"> % ($ </w:t>
      </w:r>
      <w:r w:rsidR="00E15A41">
        <w:t>368</w:t>
      </w:r>
      <w:r w:rsidR="006F449E">
        <w:t xml:space="preserve"> millones)</w:t>
      </w:r>
      <w:r w:rsidR="00E15A41">
        <w:t>,</w:t>
      </w:r>
      <w:r w:rsidR="006F449E">
        <w:t xml:space="preserve"> </w:t>
      </w:r>
      <w:r w:rsidR="00A55386">
        <w:t xml:space="preserve">Enjoy Chiloé </w:t>
      </w:r>
      <w:r w:rsidR="006F449E">
        <w:t>0</w:t>
      </w:r>
      <w:r w:rsidR="00A55386">
        <w:t>,</w:t>
      </w:r>
      <w:r w:rsidR="006F449E">
        <w:t>9</w:t>
      </w:r>
      <w:r w:rsidR="00A55386">
        <w:t xml:space="preserve"> % ($ </w:t>
      </w:r>
      <w:r w:rsidR="006F449E">
        <w:t>3</w:t>
      </w:r>
      <w:r w:rsidR="00E15A41">
        <w:t>46</w:t>
      </w:r>
      <w:r w:rsidR="00A55386">
        <w:t xml:space="preserve"> millones) </w:t>
      </w:r>
      <w:r w:rsidR="004F674A">
        <w:t>y</w:t>
      </w:r>
      <w:r w:rsidR="005D4916">
        <w:t xml:space="preserve"> </w:t>
      </w:r>
      <w:r w:rsidR="00E470DA">
        <w:t>Casino de Natales 0,</w:t>
      </w:r>
      <w:r w:rsidR="00670C50">
        <w:t>4</w:t>
      </w:r>
      <w:r w:rsidR="00E470DA">
        <w:t xml:space="preserve"> % ($ </w:t>
      </w:r>
      <w:r w:rsidR="00480047">
        <w:t>1</w:t>
      </w:r>
      <w:r w:rsidR="00E15A41">
        <w:t>41</w:t>
      </w:r>
      <w:r w:rsidR="00E470DA">
        <w:t xml:space="preserve"> millones)</w:t>
      </w:r>
      <w:r w:rsidR="004F674A">
        <w:t>.</w:t>
      </w:r>
    </w:p>
    <w:p w:rsidR="00A73100" w:rsidRDefault="00A73100" w:rsidP="00083908">
      <w:pPr>
        <w:tabs>
          <w:tab w:val="left" w:pos="0"/>
        </w:tabs>
        <w:spacing w:after="0" w:line="240" w:lineRule="auto"/>
      </w:pPr>
    </w:p>
    <w:p w:rsidR="00083908" w:rsidRDefault="00083908" w:rsidP="00083908">
      <w:pPr>
        <w:tabs>
          <w:tab w:val="left" w:pos="0"/>
        </w:tabs>
        <w:spacing w:after="0" w:line="240" w:lineRule="auto"/>
      </w:pPr>
    </w:p>
    <w:p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rsidR="0017349B" w:rsidRDefault="0017349B" w:rsidP="00083908">
      <w:pPr>
        <w:tabs>
          <w:tab w:val="left" w:pos="0"/>
        </w:tabs>
        <w:spacing w:after="0" w:line="240" w:lineRule="auto"/>
      </w:pPr>
    </w:p>
    <w:p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EA4151">
        <w:t>2</w:t>
      </w:r>
      <w:r w:rsidR="00E15A41">
        <w:t>8</w:t>
      </w:r>
      <w:r w:rsidR="00AA4471">
        <w:t>.</w:t>
      </w:r>
      <w:r w:rsidR="00E15A41">
        <w:t>715</w:t>
      </w:r>
      <w:r w:rsidR="00AA4471" w:rsidRPr="00FD382C">
        <w:t xml:space="preserve"> millones,</w:t>
      </w:r>
      <w:r w:rsidR="00070FBD">
        <w:t xml:space="preserve"> lo que representa un </w:t>
      </w:r>
      <w:r w:rsidR="00480047">
        <w:t>7</w:t>
      </w:r>
      <w:r w:rsidR="00357728">
        <w:t>3</w:t>
      </w:r>
      <w:r w:rsidR="00DE1747">
        <w:t>,</w:t>
      </w:r>
      <w:r w:rsidR="00E15A41">
        <w:t>1</w:t>
      </w:r>
      <w:r w:rsidR="00070FBD">
        <w:t>% del total. Esto i</w:t>
      </w:r>
      <w:r w:rsidR="00AA4471" w:rsidRPr="00FD382C">
        <w:t>mplica</w:t>
      </w:r>
      <w:r w:rsidR="00AA4471">
        <w:t xml:space="preserve"> una variación real</w:t>
      </w:r>
      <w:r w:rsidR="00AA4471" w:rsidRPr="00C8471D">
        <w:rPr>
          <w:rStyle w:val="Refdenotaalpie"/>
          <w:sz w:val="28"/>
          <w:szCs w:val="28"/>
        </w:rPr>
        <w:footnoteReference w:id="4"/>
      </w:r>
      <w:r w:rsidR="00AA4471" w:rsidRPr="00C8471D">
        <w:rPr>
          <w:sz w:val="28"/>
          <w:szCs w:val="28"/>
        </w:rPr>
        <w:t xml:space="preserve"> </w:t>
      </w:r>
      <w:r w:rsidR="00AA4471">
        <w:t xml:space="preserve">de </w:t>
      </w:r>
      <w:r w:rsidR="00A55386">
        <w:t>-2</w:t>
      </w:r>
      <w:r w:rsidR="004360E3">
        <w:t>,</w:t>
      </w:r>
      <w:r w:rsidR="00E15A41">
        <w:t>7</w:t>
      </w:r>
      <w:r w:rsidR="00AA4471">
        <w:t>%</w:t>
      </w:r>
      <w:r w:rsidR="00AA4471" w:rsidRPr="00C8471D">
        <w:rPr>
          <w:rStyle w:val="Refdenotaalpie"/>
          <w:sz w:val="28"/>
          <w:szCs w:val="28"/>
        </w:rPr>
        <w:footnoteReference w:id="5"/>
      </w:r>
      <w:r w:rsidR="00AA4471">
        <w:t xml:space="preserve">, en comparación con </w:t>
      </w:r>
      <w:r w:rsidR="00790E9F">
        <w:t>diciembre</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6"/>
      </w:r>
      <w:r w:rsidR="00AA4471">
        <w:t xml:space="preserve">de </w:t>
      </w:r>
      <w:r w:rsidR="00A55386">
        <w:t>-</w:t>
      </w:r>
      <w:r w:rsidR="00E15A41">
        <w:t>3</w:t>
      </w:r>
      <w:r w:rsidR="00AA4471">
        <w:t>,</w:t>
      </w:r>
      <w:r w:rsidR="00E15A41">
        <w:t>2</w:t>
      </w:r>
      <w:r w:rsidR="00AA4471" w:rsidRPr="00FD382C">
        <w:t xml:space="preserve">%, en </w:t>
      </w:r>
      <w:r w:rsidR="003E14B0" w:rsidRPr="00FD382C">
        <w:t>los últimos</w:t>
      </w:r>
      <w:r w:rsidR="00AA4471" w:rsidRPr="00FD382C">
        <w:t xml:space="preserve"> doce meses. </w:t>
      </w:r>
    </w:p>
    <w:p w:rsidR="00ED60A3" w:rsidRDefault="00ED60A3" w:rsidP="00083908">
      <w:pPr>
        <w:tabs>
          <w:tab w:val="left" w:pos="0"/>
        </w:tabs>
        <w:spacing w:after="0" w:line="240" w:lineRule="auto"/>
      </w:pPr>
    </w:p>
    <w:p w:rsidR="00265A30" w:rsidRDefault="00265A30" w:rsidP="00083908">
      <w:pPr>
        <w:tabs>
          <w:tab w:val="left" w:pos="0"/>
        </w:tabs>
        <w:spacing w:after="0" w:line="240" w:lineRule="auto"/>
      </w:pPr>
      <w:r>
        <w:lastRenderedPageBreak/>
        <w:t xml:space="preserve">En los mismos términos, las </w:t>
      </w:r>
      <w:r w:rsidR="00357728">
        <w:t>4</w:t>
      </w:r>
      <w:r w:rsidR="00E15A41">
        <w:t>48</w:t>
      </w:r>
      <w:r>
        <w:t>.</w:t>
      </w:r>
      <w:r w:rsidR="00E15A41">
        <w:t>265</w:t>
      </w:r>
      <w:r>
        <w:t xml:space="preserve"> visitas registradas equivalen a una variación de </w:t>
      </w:r>
      <w:r w:rsidR="00E701DB">
        <w:t>-</w:t>
      </w:r>
      <w:r w:rsidR="00E15A41">
        <w:t>0</w:t>
      </w:r>
      <w:r w:rsidR="004F674A">
        <w:t>,</w:t>
      </w:r>
      <w:r w:rsidR="00E15A41">
        <w:t>3</w:t>
      </w:r>
      <w:r w:rsidR="003C4894">
        <w:t xml:space="preserve">% </w:t>
      </w:r>
      <w:r>
        <w:t xml:space="preserve">en comparación con </w:t>
      </w:r>
      <w:r w:rsidR="00790E9F">
        <w:t>diciembre</w:t>
      </w:r>
      <w:r>
        <w:t xml:space="preserve"> de 201</w:t>
      </w:r>
      <w:r w:rsidR="009A5B96">
        <w:t>8</w:t>
      </w:r>
      <w:r w:rsidR="000D6BF6">
        <w:t xml:space="preserve"> y a un </w:t>
      </w:r>
      <w:r>
        <w:t xml:space="preserve">crecimiento </w:t>
      </w:r>
      <w:r w:rsidR="003E7430">
        <w:t xml:space="preserve">acumulado </w:t>
      </w:r>
      <w:r>
        <w:t>de</w:t>
      </w:r>
      <w:r w:rsidR="00E6618E">
        <w:t>l</w:t>
      </w:r>
      <w:r w:rsidR="00480047">
        <w:t xml:space="preserve"> </w:t>
      </w:r>
      <w:r w:rsidR="00EA4151">
        <w:t>-</w:t>
      </w:r>
      <w:r w:rsidR="00A55386">
        <w:t>1</w:t>
      </w:r>
      <w:r w:rsidR="00C905F9">
        <w:t>,</w:t>
      </w:r>
      <w:r w:rsidR="00E15A41">
        <w:t>7</w:t>
      </w:r>
      <w:r>
        <w:t>% en los últimos 12 meses.</w:t>
      </w:r>
    </w:p>
    <w:p w:rsidR="00265A30" w:rsidRDefault="00265A30" w:rsidP="00083908">
      <w:pPr>
        <w:tabs>
          <w:tab w:val="left" w:pos="0"/>
        </w:tabs>
        <w:spacing w:after="0" w:line="240" w:lineRule="auto"/>
      </w:pPr>
      <w:r>
        <w:t xml:space="preserve">Respecto del gasto de los visitantes, durante el mes de </w:t>
      </w:r>
      <w:r w:rsidR="00790E9F">
        <w:t xml:space="preserve">diciembre </w:t>
      </w:r>
      <w:r w:rsidR="003F05FA">
        <w:t>se</w:t>
      </w:r>
      <w:r>
        <w:t xml:space="preserve"> registró un gasto promedio </w:t>
      </w:r>
      <w:r w:rsidR="00A51CDD">
        <w:t>de $</w:t>
      </w:r>
      <w:r>
        <w:t xml:space="preserve"> </w:t>
      </w:r>
      <w:r w:rsidR="00E701DB">
        <w:t>6</w:t>
      </w:r>
      <w:r w:rsidR="00E15A41">
        <w:t>4</w:t>
      </w:r>
      <w:r w:rsidR="004F674A">
        <w:t>.</w:t>
      </w:r>
      <w:r w:rsidR="00E15A41">
        <w:t>058</w:t>
      </w:r>
      <w:r>
        <w:t xml:space="preserve"> por visita, lo que </w:t>
      </w:r>
      <w:r w:rsidR="000D6BF6">
        <w:t xml:space="preserve">implica </w:t>
      </w:r>
      <w:r>
        <w:t xml:space="preserve">una variación </w:t>
      </w:r>
      <w:r w:rsidR="004E6E42">
        <w:t xml:space="preserve">real </w:t>
      </w:r>
      <w:r>
        <w:t xml:space="preserve">de </w:t>
      </w:r>
      <w:r w:rsidR="00E15A41">
        <w:t>-2</w:t>
      </w:r>
      <w:r w:rsidR="00E43884">
        <w:t>,</w:t>
      </w:r>
      <w:r w:rsidR="00E15A41">
        <w:t>4</w:t>
      </w:r>
      <w:r>
        <w:t xml:space="preserve">% respecto de </w:t>
      </w:r>
      <w:r w:rsidR="00790E9F">
        <w:t xml:space="preserve">diciembre </w:t>
      </w:r>
      <w:r w:rsidR="009A5B96">
        <w:t>de 2018</w:t>
      </w:r>
      <w:r>
        <w:t xml:space="preserve">, alcanzando un crecimiento acumulado real del gasto de </w:t>
      </w:r>
      <w:r w:rsidR="00341575">
        <w:t>-</w:t>
      </w:r>
      <w:r w:rsidR="00E15A41">
        <w:t>1</w:t>
      </w:r>
      <w:r w:rsidR="00895DCC">
        <w:t>,</w:t>
      </w:r>
      <w:r w:rsidR="00E15A41">
        <w:t>5</w:t>
      </w:r>
      <w:r>
        <w:t>% en los últimos 12 meses.</w:t>
      </w:r>
    </w:p>
    <w:p w:rsidR="00ED60A3" w:rsidRDefault="00ED60A3" w:rsidP="00083908">
      <w:pPr>
        <w:tabs>
          <w:tab w:val="left" w:pos="0"/>
        </w:tabs>
        <w:spacing w:after="0" w:line="240" w:lineRule="auto"/>
      </w:pPr>
    </w:p>
    <w:p w:rsidR="00070FBD" w:rsidRDefault="00070FBD" w:rsidP="00083908">
      <w:pPr>
        <w:tabs>
          <w:tab w:val="left" w:pos="0"/>
        </w:tabs>
        <w:spacing w:after="0" w:line="240" w:lineRule="auto"/>
      </w:pPr>
      <w:r>
        <w:t>El monto jugado</w:t>
      </w:r>
      <w:r>
        <w:rPr>
          <w:rStyle w:val="Refdenotaalpie"/>
        </w:rPr>
        <w:footnoteReference w:id="7"/>
      </w:r>
      <w:r>
        <w:t xml:space="preserve"> en el mes de </w:t>
      </w:r>
      <w:r w:rsidR="00790E9F">
        <w:t>diciembre</w:t>
      </w:r>
      <w:r>
        <w:t xml:space="preserve">, en las </w:t>
      </w:r>
      <w:r w:rsidR="004C761E">
        <w:t>1</w:t>
      </w:r>
      <w:r w:rsidR="00A22215">
        <w:t>0</w:t>
      </w:r>
      <w:r>
        <w:t>.</w:t>
      </w:r>
      <w:r w:rsidR="00C019AE">
        <w:t>772</w:t>
      </w:r>
      <w:r>
        <w:t xml:space="preserve"> máquinas de azar</w:t>
      </w:r>
      <w:r w:rsidR="00F849F9">
        <w:rPr>
          <w:rStyle w:val="Refdenotaalpie"/>
        </w:rPr>
        <w:footnoteReference w:id="8"/>
      </w:r>
      <w:r>
        <w:t xml:space="preserve"> que estuvieron en funcionamiento en los 1</w:t>
      </w:r>
      <w:r w:rsidR="00564571">
        <w:t>9</w:t>
      </w:r>
      <w:r>
        <w:t xml:space="preserve"> casinos regulados ascendió a $ </w:t>
      </w:r>
      <w:r w:rsidR="00E701DB">
        <w:t>3</w:t>
      </w:r>
      <w:r w:rsidR="00E15A41">
        <w:t>84</w:t>
      </w:r>
      <w:r w:rsidR="00BD5041">
        <w:t>.</w:t>
      </w:r>
      <w:r w:rsidR="00E15A41">
        <w:t>786</w:t>
      </w:r>
      <w:r>
        <w:t xml:space="preserve"> millones. Los premios pagados a los jugadores alcanzaron los $ </w:t>
      </w:r>
      <w:r w:rsidR="00357728">
        <w:t>3</w:t>
      </w:r>
      <w:r w:rsidR="00E15A41">
        <w:t>60</w:t>
      </w:r>
      <w:r w:rsidR="00480047">
        <w:t>.</w:t>
      </w:r>
      <w:r w:rsidR="00E15A41">
        <w:t>957</w:t>
      </w:r>
      <w:r>
        <w:t xml:space="preserve"> millones, equivalentes al 9</w:t>
      </w:r>
      <w:r w:rsidR="00EA4151">
        <w:t>3</w:t>
      </w:r>
      <w:r>
        <w:t>,</w:t>
      </w:r>
      <w:r w:rsidR="00E15A41">
        <w:t>8</w:t>
      </w:r>
      <w:r>
        <w:t>% del total apostado</w:t>
      </w:r>
      <w:r w:rsidR="000D6BF6">
        <w:t xml:space="preserve"> y c</w:t>
      </w:r>
      <w:r>
        <w:t>omo</w:t>
      </w:r>
      <w:r w:rsidR="005B279E">
        <w:t xml:space="preserve"> resultado, el ingreso bruto o w</w:t>
      </w:r>
      <w:r>
        <w:t>in correspondiente al juego en máquinas de azar fue de $</w:t>
      </w:r>
      <w:r w:rsidR="00A14A88">
        <w:t>2</w:t>
      </w:r>
      <w:r w:rsidR="00E15A41">
        <w:t>3</w:t>
      </w:r>
      <w:r>
        <w:t>.</w:t>
      </w:r>
      <w:r w:rsidR="00E15A41">
        <w:t>829</w:t>
      </w:r>
      <w:r>
        <w:t xml:space="preserve"> millones</w:t>
      </w:r>
      <w:r w:rsidR="000D6BF6">
        <w:t>,</w:t>
      </w:r>
      <w:r>
        <w:t xml:space="preserve"> que equivale al </w:t>
      </w:r>
      <w:r w:rsidR="00341575">
        <w:t>8</w:t>
      </w:r>
      <w:r w:rsidR="00E15A41">
        <w:t>3</w:t>
      </w:r>
      <w:r>
        <w:t>,</w:t>
      </w:r>
      <w:r w:rsidR="00E15A41">
        <w:t>0</w:t>
      </w:r>
      <w:r>
        <w:t xml:space="preserve"> %</w:t>
      </w:r>
      <w:r w:rsidR="00611B01">
        <w:t xml:space="preserve"> </w:t>
      </w:r>
      <w:r>
        <w:t>del ingreso bruto total.</w:t>
      </w:r>
    </w:p>
    <w:p w:rsidR="00070FBD" w:rsidRDefault="00070FBD" w:rsidP="00083908">
      <w:pPr>
        <w:tabs>
          <w:tab w:val="left" w:pos="0"/>
        </w:tabs>
        <w:spacing w:after="0" w:line="240" w:lineRule="auto"/>
        <w:rPr>
          <w:b/>
        </w:rPr>
      </w:pPr>
    </w:p>
    <w:p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rsidR="00E57CA1" w:rsidRPr="00265A30" w:rsidRDefault="00E57CA1" w:rsidP="00083908">
      <w:pPr>
        <w:tabs>
          <w:tab w:val="left" w:pos="0"/>
        </w:tabs>
        <w:spacing w:after="0" w:line="240" w:lineRule="auto"/>
        <w:rPr>
          <w:b/>
        </w:rPr>
      </w:pPr>
    </w:p>
    <w:p w:rsidR="00265A30" w:rsidRDefault="00070FBD" w:rsidP="00083908">
      <w:pPr>
        <w:spacing w:after="0" w:line="240" w:lineRule="auto"/>
      </w:pPr>
      <w:r>
        <w:t xml:space="preserve">Por su parte, </w:t>
      </w:r>
      <w:r w:rsidR="00265A30" w:rsidRPr="00265A30">
        <w:t xml:space="preserve">los casinos municipales obtuvieron un total de $ </w:t>
      </w:r>
      <w:r w:rsidR="008C63FE">
        <w:t>10</w:t>
      </w:r>
      <w:r w:rsidR="00341575">
        <w:t>.</w:t>
      </w:r>
      <w:r w:rsidR="00357728">
        <w:t>54</w:t>
      </w:r>
      <w:r w:rsidR="008C63FE">
        <w:t>8</w:t>
      </w:r>
      <w:r w:rsidR="00265A30" w:rsidRPr="00265A30">
        <w:t xml:space="preserve"> millones de ingresos brutos del juego o win, </w:t>
      </w:r>
      <w:r>
        <w:t xml:space="preserve">lo que representa un total de </w:t>
      </w:r>
      <w:r w:rsidR="00480047">
        <w:t>2</w:t>
      </w:r>
      <w:r w:rsidR="008C63FE">
        <w:t>6</w:t>
      </w:r>
      <w:r>
        <w:t>,</w:t>
      </w:r>
      <w:r w:rsidR="008C63FE">
        <w:t>9</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8C63FE">
        <w:t>7</w:t>
      </w:r>
      <w:r w:rsidR="00265A30" w:rsidRPr="00265A30">
        <w:rPr>
          <w:bCs/>
        </w:rPr>
        <w:t>,</w:t>
      </w:r>
      <w:r w:rsidR="008C63FE">
        <w:rPr>
          <w:bCs/>
        </w:rPr>
        <w:t>7</w:t>
      </w:r>
      <w:r w:rsidR="00265A30" w:rsidRPr="00265A30">
        <w:rPr>
          <w:bCs/>
        </w:rPr>
        <w:t>%</w:t>
      </w:r>
      <w:r w:rsidR="00265A30" w:rsidRPr="00265A30">
        <w:t xml:space="preserve"> en comparación con </w:t>
      </w:r>
      <w:r w:rsidR="00790E9F">
        <w:t xml:space="preserve">diciembre </w:t>
      </w:r>
      <w:r w:rsidR="009A5B96">
        <w:t>de 2018</w:t>
      </w:r>
      <w:r w:rsidR="00265A30" w:rsidRPr="00265A30">
        <w:t xml:space="preserve"> y un crecimiento real acumulado de </w:t>
      </w:r>
      <w:r w:rsidR="00E43884">
        <w:t>-</w:t>
      </w:r>
      <w:r w:rsidR="00357728">
        <w:t>8</w:t>
      </w:r>
      <w:r w:rsidR="00265A30" w:rsidRPr="00265A30">
        <w:rPr>
          <w:bCs/>
        </w:rPr>
        <w:t>,</w:t>
      </w:r>
      <w:r w:rsidR="008C63FE">
        <w:rPr>
          <w:bCs/>
        </w:rPr>
        <w:t>7</w:t>
      </w:r>
      <w:r w:rsidR="00265A30" w:rsidRPr="00265A30">
        <w:rPr>
          <w:bCs/>
        </w:rPr>
        <w:t>%</w:t>
      </w:r>
      <w:r w:rsidR="00265A30" w:rsidRPr="00265A30">
        <w:t xml:space="preserve"> en </w:t>
      </w:r>
      <w:r w:rsidR="00E810F9">
        <w:t>los últimos 12 meses.</w:t>
      </w:r>
    </w:p>
    <w:p w:rsidR="00E57CA1" w:rsidRPr="00265A30" w:rsidRDefault="00E57CA1" w:rsidP="00083908">
      <w:pPr>
        <w:spacing w:after="0" w:line="240" w:lineRule="auto"/>
      </w:pPr>
    </w:p>
    <w:p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670C50">
        <w:t>1</w:t>
      </w:r>
      <w:r w:rsidR="008C63FE">
        <w:t>64</w:t>
      </w:r>
      <w:r w:rsidR="008062BF">
        <w:t>.</w:t>
      </w:r>
      <w:r w:rsidR="008C63FE">
        <w:t>203</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rsidR="00E57CA1" w:rsidRDefault="00E57CA1" w:rsidP="00083908">
      <w:pPr>
        <w:tabs>
          <w:tab w:val="left" w:pos="0"/>
        </w:tabs>
        <w:spacing w:after="0" w:line="240" w:lineRule="auto"/>
        <w:rPr>
          <w:b/>
        </w:rPr>
      </w:pPr>
    </w:p>
    <w:p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rsidR="00FB3D8B" w:rsidRDefault="00FB3D8B" w:rsidP="00083908">
      <w:pPr>
        <w:tabs>
          <w:tab w:val="left" w:pos="0"/>
        </w:tabs>
        <w:spacing w:after="0" w:line="240" w:lineRule="auto"/>
      </w:pPr>
    </w:p>
    <w:p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rsidR="00083908" w:rsidRDefault="00083908" w:rsidP="00083908">
      <w:pPr>
        <w:tabs>
          <w:tab w:val="left" w:pos="0"/>
        </w:tabs>
        <w:spacing w:after="0" w:line="240" w:lineRule="auto"/>
        <w:jc w:val="left"/>
      </w:pPr>
    </w:p>
    <w:p w:rsidR="00330D14" w:rsidRDefault="00330D14" w:rsidP="00196290">
      <w:pPr>
        <w:tabs>
          <w:tab w:val="left" w:pos="0"/>
        </w:tabs>
        <w:jc w:val="center"/>
        <w:rPr>
          <w:rFonts w:ascii="Calibri" w:hAnsi="Calibri" w:cs="Calibri"/>
          <w:b/>
          <w:sz w:val="21"/>
          <w:szCs w:val="21"/>
        </w:rPr>
      </w:pPr>
    </w:p>
    <w:p w:rsidR="0090460C" w:rsidRDefault="0090460C" w:rsidP="00196290">
      <w:pPr>
        <w:tabs>
          <w:tab w:val="left" w:pos="0"/>
        </w:tabs>
        <w:jc w:val="center"/>
        <w:rPr>
          <w:rFonts w:ascii="Calibri" w:hAnsi="Calibri" w:cs="Calibri"/>
          <w:b/>
          <w:sz w:val="21"/>
          <w:szCs w:val="21"/>
        </w:rPr>
      </w:pPr>
    </w:p>
    <w:p w:rsidR="0090460C" w:rsidRDefault="0090460C" w:rsidP="00196290">
      <w:pPr>
        <w:tabs>
          <w:tab w:val="left" w:pos="0"/>
        </w:tabs>
        <w:jc w:val="center"/>
        <w:rPr>
          <w:rFonts w:ascii="Calibri" w:hAnsi="Calibri" w:cs="Calibri"/>
          <w:b/>
          <w:sz w:val="21"/>
          <w:szCs w:val="21"/>
        </w:rPr>
      </w:pPr>
    </w:p>
    <w:p w:rsidR="00330D14" w:rsidRDefault="00330D14" w:rsidP="00196290">
      <w:pPr>
        <w:tabs>
          <w:tab w:val="left" w:pos="0"/>
        </w:tabs>
        <w:jc w:val="center"/>
        <w:rPr>
          <w:rFonts w:ascii="Calibri" w:hAnsi="Calibri" w:cs="Calibri"/>
          <w:b/>
          <w:sz w:val="21"/>
          <w:szCs w:val="21"/>
        </w:rPr>
      </w:pPr>
    </w:p>
    <w:p w:rsidR="00A51CDD" w:rsidRDefault="00A51CDD" w:rsidP="00196290">
      <w:pPr>
        <w:tabs>
          <w:tab w:val="left" w:pos="0"/>
        </w:tabs>
        <w:jc w:val="center"/>
        <w:rPr>
          <w:rFonts w:ascii="Calibri" w:hAnsi="Calibri" w:cs="Calibri"/>
          <w:b/>
          <w:sz w:val="21"/>
          <w:szCs w:val="21"/>
        </w:rPr>
      </w:pPr>
    </w:p>
    <w:p w:rsidR="00A82760" w:rsidRDefault="00A82760" w:rsidP="00196290">
      <w:pPr>
        <w:tabs>
          <w:tab w:val="left" w:pos="0"/>
        </w:tabs>
        <w:jc w:val="center"/>
        <w:rPr>
          <w:rFonts w:ascii="Calibri" w:hAnsi="Calibri" w:cs="Calibri"/>
          <w:b/>
          <w:sz w:val="21"/>
          <w:szCs w:val="21"/>
        </w:rPr>
      </w:pPr>
    </w:p>
    <w:p w:rsidR="00DB2A3C" w:rsidRDefault="00DB2A3C" w:rsidP="00196290">
      <w:pPr>
        <w:tabs>
          <w:tab w:val="left" w:pos="0"/>
        </w:tabs>
        <w:jc w:val="center"/>
        <w:rPr>
          <w:rFonts w:ascii="Calibri" w:hAnsi="Calibri" w:cs="Calibri"/>
          <w:b/>
          <w:sz w:val="21"/>
          <w:szCs w:val="21"/>
        </w:rPr>
      </w:pPr>
    </w:p>
    <w:p w:rsidR="00196290" w:rsidRDefault="00303230" w:rsidP="00F3199D">
      <w:pPr>
        <w:spacing w:line="259" w:lineRule="auto"/>
        <w:jc w:val="left"/>
        <w:rPr>
          <w:rFonts w:ascii="Calibri" w:hAnsi="Calibri" w:cs="Calibri"/>
          <w:b/>
          <w:sz w:val="21"/>
          <w:szCs w:val="21"/>
        </w:rPr>
      </w:pPr>
      <w:r>
        <w:rPr>
          <w:rFonts w:ascii="Calibri" w:hAnsi="Calibri" w:cs="Calibri"/>
          <w:b/>
          <w:sz w:val="21"/>
          <w:szCs w:val="21"/>
        </w:rPr>
        <w:br w:type="page"/>
      </w:r>
      <w:r w:rsidR="009858E3">
        <w:rPr>
          <w:rFonts w:ascii="Calibri" w:hAnsi="Calibri" w:cs="Calibri"/>
          <w:b/>
          <w:sz w:val="21"/>
          <w:szCs w:val="21"/>
        </w:rPr>
        <w:lastRenderedPageBreak/>
        <w:t>A</w:t>
      </w:r>
      <w:r w:rsidR="009858E3" w:rsidRPr="00685974">
        <w:rPr>
          <w:rFonts w:ascii="Calibri" w:hAnsi="Calibri" w:cs="Calibri"/>
          <w:b/>
          <w:sz w:val="21"/>
          <w:szCs w:val="21"/>
        </w:rPr>
        <w:t>NEXO</w:t>
      </w:r>
      <w:r w:rsidR="009858E3">
        <w:rPr>
          <w:rFonts w:ascii="Calibri" w:hAnsi="Calibri" w:cs="Calibri"/>
          <w:b/>
          <w:sz w:val="21"/>
          <w:szCs w:val="21"/>
        </w:rPr>
        <w:t>:</w:t>
      </w:r>
      <w:r w:rsidR="004830B6">
        <w:rPr>
          <w:rFonts w:ascii="Calibri" w:hAnsi="Calibri" w:cs="Calibri"/>
          <w:b/>
          <w:sz w:val="21"/>
          <w:szCs w:val="21"/>
        </w:rPr>
        <w:t xml:space="preserve"> RESULTADOS OPERACIONALES </w:t>
      </w:r>
      <w:r w:rsidR="00F3199D">
        <w:rPr>
          <w:rFonts w:ascii="Calibri" w:hAnsi="Calibri" w:cs="Calibri"/>
          <w:b/>
          <w:sz w:val="21"/>
          <w:szCs w:val="21"/>
        </w:rPr>
        <w:t>DICIEMBRE</w:t>
      </w:r>
      <w:r w:rsidR="00FB3D8B">
        <w:rPr>
          <w:rFonts w:ascii="Calibri" w:hAnsi="Calibri" w:cs="Calibri"/>
          <w:b/>
          <w:sz w:val="21"/>
          <w:szCs w:val="21"/>
        </w:rPr>
        <w:t xml:space="preserve"> </w:t>
      </w:r>
      <w:r w:rsidR="009858E3">
        <w:rPr>
          <w:rFonts w:ascii="Calibri" w:hAnsi="Calibri" w:cs="Calibri"/>
          <w:b/>
          <w:sz w:val="21"/>
          <w:szCs w:val="21"/>
        </w:rPr>
        <w:t>DE 201</w:t>
      </w:r>
      <w:r w:rsidR="00332200">
        <w:rPr>
          <w:rFonts w:ascii="Calibri" w:hAnsi="Calibri" w:cs="Calibri"/>
          <w:b/>
          <w:sz w:val="21"/>
          <w:szCs w:val="21"/>
        </w:rPr>
        <w:t>9</w:t>
      </w:r>
    </w:p>
    <w:p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rsidR="003C18CD" w:rsidRDefault="00F3199D" w:rsidP="005F17F7">
      <w:pPr>
        <w:ind w:left="-567"/>
        <w:jc w:val="center"/>
        <w:rPr>
          <w:rFonts w:ascii="Calibri" w:hAnsi="Calibri" w:cs="Calibri"/>
          <w:b/>
          <w:noProof/>
          <w:sz w:val="21"/>
          <w:szCs w:val="21"/>
        </w:rPr>
      </w:pPr>
      <w:r>
        <w:rPr>
          <w:rFonts w:ascii="Calibri" w:hAnsi="Calibri" w:cs="Calibri"/>
          <w:b/>
          <w:noProof/>
          <w:sz w:val="21"/>
          <w:szCs w:val="21"/>
          <w:lang w:eastAsia="es-CL"/>
        </w:rPr>
        <w:drawing>
          <wp:inline distT="0" distB="0" distL="0" distR="0" wp14:anchorId="2532F00F" wp14:editId="3A46D905">
            <wp:extent cx="6037203" cy="3858311"/>
            <wp:effectExtent l="0" t="0" r="1905"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6042" cy="3863960"/>
                    </a:xfrm>
                    <a:prstGeom prst="rect">
                      <a:avLst/>
                    </a:prstGeom>
                    <a:noFill/>
                  </pic:spPr>
                </pic:pic>
              </a:graphicData>
            </a:graphic>
          </wp:inline>
        </w:drawing>
      </w:r>
    </w:p>
    <w:p w:rsidR="00480047" w:rsidRDefault="00F3199D" w:rsidP="00E701DB">
      <w:pPr>
        <w:jc w:val="center"/>
        <w:rPr>
          <w:rFonts w:ascii="Calibri" w:hAnsi="Calibri" w:cs="Calibri"/>
          <w:b/>
          <w:sz w:val="21"/>
          <w:szCs w:val="21"/>
        </w:rPr>
      </w:pPr>
      <w:r>
        <w:rPr>
          <w:rFonts w:ascii="Calibri" w:hAnsi="Calibri" w:cs="Calibri"/>
          <w:b/>
          <w:noProof/>
          <w:sz w:val="21"/>
          <w:szCs w:val="21"/>
          <w:lang w:eastAsia="es-CL"/>
        </w:rPr>
        <w:drawing>
          <wp:inline distT="0" distB="0" distL="0" distR="0" wp14:anchorId="5BBE5487" wp14:editId="37DE467D">
            <wp:extent cx="5118585" cy="402336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4847" cy="4036142"/>
                    </a:xfrm>
                    <a:prstGeom prst="rect">
                      <a:avLst/>
                    </a:prstGeom>
                    <a:noFill/>
                  </pic:spPr>
                </pic:pic>
              </a:graphicData>
            </a:graphic>
          </wp:inline>
        </w:drawing>
      </w:r>
    </w:p>
    <w:p w:rsidR="00D40D1B" w:rsidRDefault="00D40D1B" w:rsidP="00E701DB">
      <w:pPr>
        <w:jc w:val="center"/>
        <w:rPr>
          <w:rFonts w:ascii="Calibri" w:hAnsi="Calibri" w:cs="Calibri"/>
          <w:b/>
          <w:sz w:val="21"/>
          <w:szCs w:val="21"/>
        </w:rPr>
      </w:pPr>
    </w:p>
    <w:p w:rsidR="00D40D1B" w:rsidRDefault="00D40D1B" w:rsidP="00E701DB">
      <w:pPr>
        <w:jc w:val="center"/>
        <w:rPr>
          <w:rFonts w:ascii="Calibri" w:hAnsi="Calibri" w:cs="Calibri"/>
          <w:b/>
          <w:sz w:val="21"/>
          <w:szCs w:val="21"/>
        </w:rPr>
      </w:pPr>
    </w:p>
    <w:p w:rsidR="00D40D1B" w:rsidRDefault="00D40D1B" w:rsidP="00E701DB">
      <w:pPr>
        <w:jc w:val="center"/>
        <w:rPr>
          <w:rFonts w:ascii="Calibri" w:hAnsi="Calibri" w:cs="Calibri"/>
          <w:b/>
          <w:sz w:val="21"/>
          <w:szCs w:val="21"/>
        </w:rPr>
      </w:pPr>
    </w:p>
    <w:p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rsidR="00FB3D8B" w:rsidRDefault="00FB3D8B" w:rsidP="00E0320F">
      <w:pPr>
        <w:tabs>
          <w:tab w:val="left" w:pos="0"/>
        </w:tabs>
        <w:spacing w:after="0" w:line="240" w:lineRule="auto"/>
        <w:rPr>
          <w:rFonts w:ascii="Calibri" w:hAnsi="Calibri" w:cs="Arial"/>
          <w:b/>
          <w:sz w:val="20"/>
          <w:szCs w:val="20"/>
        </w:rPr>
      </w:pPr>
    </w:p>
    <w:p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790E9F">
        <w:rPr>
          <w:b/>
        </w:rPr>
        <w:t>dici</w:t>
      </w:r>
      <w:r w:rsidR="00303230">
        <w:rPr>
          <w:b/>
        </w:rPr>
        <w:t>embre</w:t>
      </w:r>
      <w:r w:rsidRPr="00EA72CD">
        <w:rPr>
          <w:b/>
        </w:rPr>
        <w:t xml:space="preserve"> 201</w:t>
      </w:r>
      <w:r w:rsidR="002C1871">
        <w:rPr>
          <w:b/>
        </w:rPr>
        <w:t>9</w:t>
      </w:r>
    </w:p>
    <w:p w:rsidR="00196290" w:rsidRDefault="00196290" w:rsidP="00196290">
      <w:pPr>
        <w:pStyle w:val="Prrafodelista"/>
        <w:tabs>
          <w:tab w:val="left" w:pos="0"/>
        </w:tabs>
        <w:ind w:left="0"/>
        <w:rPr>
          <w:rFonts w:ascii="Calibri" w:hAnsi="Calibri" w:cs="Calibri"/>
          <w:b/>
          <w:sz w:val="21"/>
          <w:szCs w:val="21"/>
        </w:rPr>
      </w:pPr>
    </w:p>
    <w:p w:rsidR="00FB3D8B" w:rsidRDefault="00F3199D" w:rsidP="00FB3D8B">
      <w:pPr>
        <w:pStyle w:val="Prrafodelista"/>
        <w:tabs>
          <w:tab w:val="left" w:pos="0"/>
        </w:tabs>
        <w:ind w:left="0"/>
        <w:rPr>
          <w:rFonts w:ascii="Calibri" w:hAnsi="Calibri" w:cs="Calibri"/>
          <w:b/>
          <w:sz w:val="21"/>
          <w:szCs w:val="21"/>
        </w:rPr>
      </w:pPr>
      <w:r>
        <w:rPr>
          <w:rFonts w:ascii="Calibri" w:hAnsi="Calibri" w:cs="Calibri"/>
          <w:b/>
          <w:noProof/>
          <w:sz w:val="21"/>
          <w:szCs w:val="21"/>
          <w:lang w:eastAsia="es-CL"/>
        </w:rPr>
        <w:drawing>
          <wp:inline distT="0" distB="0" distL="0" distR="0" wp14:anchorId="69B9A5BC" wp14:editId="0F513199">
            <wp:extent cx="5415357" cy="3804906"/>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3479" cy="3810613"/>
                    </a:xfrm>
                    <a:prstGeom prst="rect">
                      <a:avLst/>
                    </a:prstGeom>
                    <a:noFill/>
                  </pic:spPr>
                </pic:pic>
              </a:graphicData>
            </a:graphic>
          </wp:inline>
        </w:drawing>
      </w:r>
    </w:p>
    <w:p w:rsidR="00FB3D8B" w:rsidRDefault="00FB3D8B" w:rsidP="00DE53E5">
      <w:pPr>
        <w:tabs>
          <w:tab w:val="left" w:pos="0"/>
        </w:tabs>
        <w:jc w:val="center"/>
        <w:rPr>
          <w:rFonts w:ascii="Calibri" w:hAnsi="Calibri" w:cs="Calibri"/>
          <w:b/>
          <w:sz w:val="21"/>
          <w:szCs w:val="21"/>
        </w:rPr>
      </w:pPr>
    </w:p>
    <w:p w:rsidR="00A73100" w:rsidRDefault="00A73100" w:rsidP="00DE53E5">
      <w:pPr>
        <w:tabs>
          <w:tab w:val="left" w:pos="0"/>
        </w:tabs>
        <w:jc w:val="center"/>
        <w:rPr>
          <w:rFonts w:ascii="Calibri" w:hAnsi="Calibri" w:cs="Calibri"/>
          <w:b/>
          <w:sz w:val="21"/>
          <w:szCs w:val="21"/>
        </w:rPr>
      </w:pPr>
    </w:p>
    <w:p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rsidR="005B1CCB" w:rsidRPr="001152D3" w:rsidRDefault="005B1CCB" w:rsidP="005B1CCB">
      <w:pPr>
        <w:pStyle w:val="Prrafodelista"/>
        <w:tabs>
          <w:tab w:val="left" w:pos="0"/>
        </w:tabs>
        <w:ind w:left="0"/>
        <w:rPr>
          <w:b/>
        </w:rPr>
      </w:pPr>
    </w:p>
    <w:p w:rsidR="00FB3D8B" w:rsidRPr="001E2D5F" w:rsidRDefault="00F3199D" w:rsidP="005B1CCB">
      <w:pPr>
        <w:pStyle w:val="Prrafodelista"/>
        <w:tabs>
          <w:tab w:val="left" w:pos="0"/>
        </w:tabs>
        <w:ind w:left="0" w:hanging="567"/>
        <w:rPr>
          <w:b/>
        </w:rPr>
      </w:pPr>
      <w:r>
        <w:rPr>
          <w:b/>
          <w:noProof/>
          <w:lang w:eastAsia="es-CL"/>
        </w:rPr>
        <w:drawing>
          <wp:inline distT="0" distB="0" distL="0" distR="0" wp14:anchorId="002F7A92" wp14:editId="7961EA90">
            <wp:extent cx="5876087" cy="2150287"/>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5384" cy="2157349"/>
                    </a:xfrm>
                    <a:prstGeom prst="rect">
                      <a:avLst/>
                    </a:prstGeom>
                    <a:noFill/>
                  </pic:spPr>
                </pic:pic>
              </a:graphicData>
            </a:graphic>
          </wp:inline>
        </w:drawing>
      </w:r>
    </w:p>
    <w:p w:rsidR="00AC7932" w:rsidRDefault="00AC7932" w:rsidP="00FB3D8B">
      <w:pPr>
        <w:tabs>
          <w:tab w:val="left" w:pos="0"/>
        </w:tabs>
        <w:jc w:val="center"/>
      </w:pPr>
    </w:p>
    <w:p w:rsidR="004768DF" w:rsidRDefault="004768DF" w:rsidP="00FB3D8B">
      <w:pPr>
        <w:tabs>
          <w:tab w:val="left" w:pos="0"/>
        </w:tabs>
        <w:jc w:val="center"/>
      </w:pPr>
    </w:p>
    <w:p w:rsidR="004768DF" w:rsidRDefault="004768DF" w:rsidP="00FB3D8B">
      <w:pPr>
        <w:tabs>
          <w:tab w:val="left" w:pos="0"/>
        </w:tabs>
        <w:jc w:val="center"/>
      </w:pPr>
    </w:p>
    <w:p w:rsidR="00D40D1B" w:rsidRDefault="00D40D1B" w:rsidP="00FB3D8B">
      <w:pPr>
        <w:tabs>
          <w:tab w:val="left" w:pos="0"/>
        </w:tabs>
        <w:jc w:val="center"/>
      </w:pPr>
    </w:p>
    <w:p w:rsidR="00330D14" w:rsidRDefault="00330D14" w:rsidP="00FB3D8B">
      <w:pPr>
        <w:tabs>
          <w:tab w:val="left" w:pos="0"/>
        </w:tabs>
        <w:jc w:val="center"/>
      </w:pPr>
    </w:p>
    <w:p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790E9F">
        <w:rPr>
          <w:b/>
        </w:rPr>
        <w:t>8</w:t>
      </w:r>
      <w:r w:rsidRPr="00EA72CD">
        <w:rPr>
          <w:b/>
        </w:rPr>
        <w:t>-201</w:t>
      </w:r>
      <w:r w:rsidR="00C90A65">
        <w:rPr>
          <w:b/>
        </w:rPr>
        <w:t>9</w:t>
      </w:r>
    </w:p>
    <w:p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172"/>
        <w:gridCol w:w="75"/>
        <w:gridCol w:w="713"/>
        <w:gridCol w:w="587"/>
        <w:gridCol w:w="600"/>
        <w:gridCol w:w="600"/>
        <w:gridCol w:w="587"/>
        <w:gridCol w:w="587"/>
        <w:gridCol w:w="600"/>
        <w:gridCol w:w="587"/>
        <w:gridCol w:w="587"/>
        <w:gridCol w:w="587"/>
        <w:gridCol w:w="600"/>
        <w:gridCol w:w="612"/>
      </w:tblGrid>
      <w:tr w:rsidR="00F3199D" w:rsidRPr="00FC76DD" w:rsidTr="00FC76DD">
        <w:trPr>
          <w:trHeight w:val="397"/>
        </w:trPr>
        <w:tc>
          <w:tcPr>
            <w:tcW w:w="0" w:type="auto"/>
            <w:tcBorders>
              <w:top w:val="nil"/>
              <w:left w:val="nil"/>
              <w:bottom w:val="single" w:sz="8" w:space="0" w:color="auto"/>
              <w:right w:val="nil"/>
            </w:tcBorders>
            <w:shd w:val="clear" w:color="auto" w:fill="auto"/>
            <w:noWrap/>
            <w:vAlign w:val="center"/>
            <w:hideMark/>
          </w:tcPr>
          <w:p w:rsidR="00F3199D" w:rsidRPr="00FC76DD" w:rsidRDefault="00F3199D" w:rsidP="00F3199D">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rsidR="00F3199D" w:rsidRPr="00FC76DD" w:rsidRDefault="00F3199D" w:rsidP="00F3199D">
            <w:pPr>
              <w:spacing w:line="240" w:lineRule="auto"/>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rsidR="00F3199D" w:rsidRPr="00FC76DD" w:rsidRDefault="00F3199D" w:rsidP="00F3199D">
            <w:pPr>
              <w:jc w:val="center"/>
              <w:rPr>
                <w:rFonts w:ascii="Calibri" w:hAnsi="Calibri"/>
                <w:b/>
                <w:bCs/>
                <w:color w:val="FFFFFF"/>
                <w:sz w:val="10"/>
                <w:szCs w:val="10"/>
              </w:rPr>
            </w:pPr>
            <w:r>
              <w:rPr>
                <w:rFonts w:ascii="Calibri" w:hAnsi="Calibri" w:cs="Calibri"/>
                <w:b/>
                <w:bCs/>
                <w:color w:val="FFFFFF"/>
                <w:sz w:val="12"/>
                <w:szCs w:val="12"/>
              </w:rPr>
              <w:t>Dic</w:t>
            </w:r>
          </w:p>
        </w:tc>
      </w:tr>
      <w:tr w:rsidR="00FB3D8B" w:rsidRPr="00FC76DD"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Ingresos brutos del juego o win ($ millones)</w:t>
            </w:r>
          </w:p>
        </w:tc>
      </w:tr>
      <w:tr w:rsidR="00FB3D8B" w:rsidRPr="00FC76DD"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VALORES NOMINALES</w:t>
            </w:r>
          </w:p>
        </w:tc>
      </w:tr>
      <w:tr w:rsidR="00F3199D" w:rsidRPr="00FC76DD"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F3199D" w:rsidRPr="00FC76DD" w:rsidRDefault="00F3199D" w:rsidP="00F3199D">
            <w:pPr>
              <w:spacing w:line="240" w:lineRule="auto"/>
              <w:jc w:val="left"/>
              <w:rPr>
                <w:rFonts w:ascii="Calibri" w:hAnsi="Calibri"/>
                <w:color w:val="000000"/>
                <w:sz w:val="10"/>
                <w:szCs w:val="10"/>
              </w:rPr>
            </w:pPr>
            <w:proofErr w:type="gramStart"/>
            <w:r>
              <w:rPr>
                <w:rFonts w:ascii="Calibri" w:hAnsi="Calibri" w:cs="Calibri"/>
                <w:color w:val="000000"/>
                <w:sz w:val="12"/>
                <w:szCs w:val="12"/>
              </w:rPr>
              <w:t>Win  Enero</w:t>
            </w:r>
            <w:proofErr w:type="gramEnd"/>
            <w:r>
              <w:rPr>
                <w:rFonts w:ascii="Calibri" w:hAnsi="Calibri" w:cs="Calibri"/>
                <w:color w:val="000000"/>
                <w:sz w:val="12"/>
                <w:szCs w:val="12"/>
              </w:rPr>
              <w:t xml:space="preserve"> 2018-Diciembre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F3199D" w:rsidRPr="00FC76DD" w:rsidRDefault="00F3199D" w:rsidP="00F3199D">
            <w:pPr>
              <w:spacing w:line="240" w:lineRule="auto"/>
              <w:jc w:val="center"/>
              <w:rPr>
                <w:rFonts w:ascii="Calibri" w:hAnsi="Calibri"/>
                <w:color w:val="000000"/>
                <w:sz w:val="10"/>
                <w:szCs w:val="10"/>
              </w:rPr>
            </w:pPr>
            <w:r>
              <w:rPr>
                <w:rFonts w:ascii="Calibri" w:hAnsi="Calibri" w:cs="Calibri"/>
                <w:color w:val="000000"/>
                <w:sz w:val="12"/>
                <w:szCs w:val="12"/>
              </w:rPr>
              <w:t xml:space="preserve">                                26.549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28.685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28.423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25.916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28.751 </w:t>
            </w:r>
          </w:p>
        </w:tc>
      </w:tr>
      <w:tr w:rsidR="00F3199D" w:rsidRPr="00FC76DD"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F3199D" w:rsidRPr="00FC76DD" w:rsidRDefault="00F3199D" w:rsidP="00F3199D">
            <w:pPr>
              <w:jc w:val="left"/>
              <w:rPr>
                <w:rFonts w:ascii="Calibri" w:hAnsi="Calibri"/>
                <w:color w:val="000000"/>
                <w:sz w:val="10"/>
                <w:szCs w:val="10"/>
              </w:rPr>
            </w:pPr>
            <w:proofErr w:type="gramStart"/>
            <w:r>
              <w:rPr>
                <w:rFonts w:ascii="Calibri" w:hAnsi="Calibri" w:cs="Calibri"/>
                <w:color w:val="000000"/>
                <w:sz w:val="12"/>
                <w:szCs w:val="12"/>
              </w:rPr>
              <w:t>Win  Enero</w:t>
            </w:r>
            <w:proofErr w:type="gramEnd"/>
            <w:r>
              <w:rPr>
                <w:rFonts w:ascii="Calibri" w:hAnsi="Calibri" w:cs="Calibri"/>
                <w:color w:val="000000"/>
                <w:sz w:val="12"/>
                <w:szCs w:val="12"/>
              </w:rPr>
              <w:t xml:space="preserve"> 2019-Diciembre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26.754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25.464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27.632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27.931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30.054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28.897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29.228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29.832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29.043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23.902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25.810 </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 xml:space="preserve">                         28.715 </w:t>
            </w:r>
          </w:p>
        </w:tc>
      </w:tr>
      <w:tr w:rsidR="00F3199D" w:rsidRPr="00FC76DD"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F3199D" w:rsidRPr="00FC76DD" w:rsidRDefault="00F3199D" w:rsidP="00F3199D">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0,8%</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-7,9%</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4,8%</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1,7%</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2,8%</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6,2%</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-19,8%</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rsidR="00F3199D" w:rsidRPr="00FC76DD" w:rsidRDefault="00F3199D" w:rsidP="00F3199D">
            <w:pPr>
              <w:jc w:val="center"/>
              <w:rPr>
                <w:rFonts w:ascii="Calibri" w:hAnsi="Calibri"/>
                <w:color w:val="000000"/>
                <w:sz w:val="10"/>
                <w:szCs w:val="10"/>
              </w:rPr>
            </w:pPr>
            <w:r>
              <w:rPr>
                <w:rFonts w:ascii="Calibri" w:hAnsi="Calibri" w:cs="Calibri"/>
                <w:color w:val="000000"/>
                <w:sz w:val="12"/>
                <w:szCs w:val="12"/>
              </w:rPr>
              <w:t>-0,1%</w:t>
            </w:r>
          </w:p>
        </w:tc>
      </w:tr>
      <w:tr w:rsidR="00FB3D8B" w:rsidRPr="00FC76DD"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rsidR="00FB3D8B" w:rsidRPr="00FC76DD" w:rsidRDefault="00303230" w:rsidP="004843DA">
            <w:pPr>
              <w:jc w:val="center"/>
              <w:rPr>
                <w:rFonts w:ascii="Calibri" w:hAnsi="Calibri"/>
                <w:color w:val="000000"/>
                <w:sz w:val="10"/>
                <w:szCs w:val="10"/>
              </w:rPr>
            </w:pPr>
            <w:r>
              <w:rPr>
                <w:rFonts w:ascii="Calibri" w:hAnsi="Calibri"/>
                <w:color w:val="000000"/>
                <w:sz w:val="12"/>
                <w:szCs w:val="12"/>
              </w:rPr>
              <w:t>-</w:t>
            </w:r>
            <w:r w:rsidR="00341575">
              <w:rPr>
                <w:rFonts w:ascii="Calibri" w:hAnsi="Calibri"/>
                <w:color w:val="000000"/>
                <w:sz w:val="12"/>
                <w:szCs w:val="12"/>
              </w:rPr>
              <w:t>0</w:t>
            </w:r>
            <w:r w:rsidR="005305FC" w:rsidRPr="006E3960">
              <w:rPr>
                <w:rFonts w:ascii="Calibri" w:hAnsi="Calibri"/>
                <w:color w:val="000000"/>
                <w:sz w:val="12"/>
                <w:szCs w:val="12"/>
              </w:rPr>
              <w:t>.</w:t>
            </w:r>
            <w:r w:rsidR="00790E9F">
              <w:rPr>
                <w:rFonts w:ascii="Calibri" w:hAnsi="Calibri"/>
                <w:color w:val="000000"/>
                <w:sz w:val="12"/>
                <w:szCs w:val="12"/>
              </w:rPr>
              <w:t>7</w:t>
            </w:r>
            <w:r w:rsidR="005305FC" w:rsidRPr="006E3960">
              <w:rPr>
                <w:rFonts w:ascii="Calibri" w:hAnsi="Calibri"/>
                <w:color w:val="000000"/>
                <w:sz w:val="12"/>
                <w:szCs w:val="12"/>
              </w:rPr>
              <w:t>%</w:t>
            </w:r>
          </w:p>
        </w:tc>
      </w:tr>
      <w:tr w:rsidR="00FB3D8B" w:rsidRPr="00FC76DD"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Ingresos brutos del juego o win UF)</w:t>
            </w:r>
          </w:p>
        </w:tc>
      </w:tr>
      <w:tr w:rsidR="00FB3D8B" w:rsidRPr="00FC76DD"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VALORES REALES</w:t>
            </w:r>
          </w:p>
        </w:tc>
      </w:tr>
      <w:tr w:rsidR="00790E9F" w:rsidRPr="00FC76DD"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790E9F" w:rsidRPr="00790E9F" w:rsidRDefault="00790E9F" w:rsidP="00790E9F">
            <w:pPr>
              <w:spacing w:line="240" w:lineRule="auto"/>
              <w:jc w:val="left"/>
              <w:rPr>
                <w:rFonts w:ascii="Calibri" w:hAnsi="Calibri"/>
                <w:color w:val="000000"/>
                <w:sz w:val="10"/>
                <w:szCs w:val="10"/>
              </w:rPr>
            </w:pPr>
            <w:proofErr w:type="gramStart"/>
            <w:r w:rsidRPr="00790E9F">
              <w:rPr>
                <w:rFonts w:ascii="Calibri" w:hAnsi="Calibri" w:cs="Calibri"/>
                <w:color w:val="000000"/>
                <w:sz w:val="10"/>
                <w:szCs w:val="10"/>
              </w:rPr>
              <w:t>Win  Enero</w:t>
            </w:r>
            <w:proofErr w:type="gramEnd"/>
            <w:r w:rsidRPr="00790E9F">
              <w:rPr>
                <w:rFonts w:ascii="Calibri" w:hAnsi="Calibri" w:cs="Calibri"/>
                <w:color w:val="000000"/>
                <w:sz w:val="10"/>
                <w:szCs w:val="10"/>
              </w:rPr>
              <w:t xml:space="preserve"> 2018-Diciembre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790E9F" w:rsidRPr="00790E9F" w:rsidRDefault="00790E9F" w:rsidP="00790E9F">
            <w:pPr>
              <w:spacing w:line="240" w:lineRule="auto"/>
              <w:jc w:val="center"/>
              <w:rPr>
                <w:rFonts w:ascii="Calibri" w:hAnsi="Calibri"/>
                <w:color w:val="000000"/>
                <w:sz w:val="10"/>
                <w:szCs w:val="10"/>
              </w:rPr>
            </w:pPr>
            <w:r w:rsidRPr="00790E9F">
              <w:rPr>
                <w:rFonts w:ascii="Calibri" w:hAnsi="Calibri" w:cs="Calibri"/>
                <w:color w:val="000000"/>
                <w:sz w:val="10"/>
                <w:szCs w:val="10"/>
              </w:rPr>
              <w:t xml:space="preserve">                               989.731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1.111.281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1.022.240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1.059.333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1.046.534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1.073.817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941.275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1.042.979 </w:t>
            </w:r>
          </w:p>
        </w:tc>
      </w:tr>
      <w:tr w:rsidR="00790E9F" w:rsidRPr="00FC76DD"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790E9F" w:rsidRPr="00790E9F" w:rsidRDefault="00790E9F" w:rsidP="00790E9F">
            <w:pPr>
              <w:jc w:val="left"/>
              <w:rPr>
                <w:rFonts w:ascii="Calibri" w:hAnsi="Calibri"/>
                <w:color w:val="000000"/>
                <w:sz w:val="10"/>
                <w:szCs w:val="10"/>
              </w:rPr>
            </w:pPr>
            <w:proofErr w:type="gramStart"/>
            <w:r w:rsidRPr="00790E9F">
              <w:rPr>
                <w:rFonts w:ascii="Calibri" w:hAnsi="Calibri" w:cs="Calibri"/>
                <w:color w:val="000000"/>
                <w:sz w:val="10"/>
                <w:szCs w:val="10"/>
              </w:rPr>
              <w:t>Win  Enero</w:t>
            </w:r>
            <w:proofErr w:type="gramEnd"/>
            <w:r w:rsidRPr="00790E9F">
              <w:rPr>
                <w:rFonts w:ascii="Calibri" w:hAnsi="Calibri" w:cs="Calibri"/>
                <w:color w:val="000000"/>
                <w:sz w:val="10"/>
                <w:szCs w:val="10"/>
              </w:rPr>
              <w:t xml:space="preserve"> 2019-Diciembre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971.251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924.047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1.002.413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1.009.722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1.082.419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1.035.622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1.045.589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1.065.694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1.035.472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851.647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914.517 </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1.014.302 </w:t>
            </w:r>
          </w:p>
        </w:tc>
      </w:tr>
      <w:tr w:rsidR="00790E9F" w:rsidRPr="00FC76DD"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rsidR="00790E9F" w:rsidRPr="00790E9F" w:rsidRDefault="00790E9F" w:rsidP="00790E9F">
            <w:pPr>
              <w:jc w:val="left"/>
              <w:rPr>
                <w:rFonts w:ascii="Calibri" w:hAnsi="Calibri"/>
                <w:bCs/>
                <w:color w:val="000000"/>
                <w:sz w:val="10"/>
                <w:szCs w:val="10"/>
              </w:rPr>
            </w:pPr>
            <w:r w:rsidRPr="00790E9F">
              <w:rPr>
                <w:rFonts w:ascii="Calibri" w:hAnsi="Calibri" w:cs="Calibri"/>
                <w:b/>
                <w:bCs/>
                <w:color w:val="000000"/>
                <w:sz w:val="10"/>
                <w:szCs w:val="10"/>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-1,9%</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2,0%</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-9,8%</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2,2%</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-1,0%</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-2,6%</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0,2%</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3,6%</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-21,6%</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-2,8%</w:t>
            </w:r>
          </w:p>
        </w:tc>
        <w:tc>
          <w:tcPr>
            <w:tcW w:w="0" w:type="auto"/>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-2,7%</w:t>
            </w:r>
          </w:p>
        </w:tc>
      </w:tr>
      <w:tr w:rsidR="00FB3D8B" w:rsidRPr="00FC76DD"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rsidR="00FB3D8B" w:rsidRPr="006C4C1B" w:rsidRDefault="00341575" w:rsidP="00574797">
            <w:pPr>
              <w:jc w:val="center"/>
              <w:rPr>
                <w:rFonts w:ascii="Calibri" w:hAnsi="Calibri"/>
                <w:color w:val="000000"/>
                <w:sz w:val="10"/>
                <w:szCs w:val="10"/>
              </w:rPr>
            </w:pPr>
            <w:r>
              <w:rPr>
                <w:rFonts w:ascii="Calibri" w:hAnsi="Calibri"/>
                <w:color w:val="000000"/>
                <w:sz w:val="10"/>
                <w:szCs w:val="10"/>
              </w:rPr>
              <w:t>-</w:t>
            </w:r>
            <w:r w:rsidR="00790E9F">
              <w:rPr>
                <w:rFonts w:ascii="Calibri" w:hAnsi="Calibri"/>
                <w:color w:val="000000"/>
                <w:sz w:val="10"/>
                <w:szCs w:val="10"/>
              </w:rPr>
              <w:t>3</w:t>
            </w:r>
            <w:r w:rsidR="00356EEF" w:rsidRPr="006C4C1B">
              <w:rPr>
                <w:rFonts w:ascii="Calibri" w:hAnsi="Calibri"/>
                <w:color w:val="000000"/>
                <w:sz w:val="10"/>
                <w:szCs w:val="10"/>
              </w:rPr>
              <w:t>,</w:t>
            </w:r>
            <w:r w:rsidR="00790E9F">
              <w:rPr>
                <w:rFonts w:ascii="Calibri" w:hAnsi="Calibri"/>
                <w:color w:val="000000"/>
                <w:sz w:val="10"/>
                <w:szCs w:val="10"/>
              </w:rPr>
              <w:t>2</w:t>
            </w:r>
            <w:r w:rsidR="00EB4FB2" w:rsidRPr="006C4C1B">
              <w:rPr>
                <w:rFonts w:ascii="Calibri" w:hAnsi="Calibri"/>
                <w:color w:val="000000"/>
                <w:sz w:val="10"/>
                <w:szCs w:val="10"/>
              </w:rPr>
              <w:t>%</w:t>
            </w:r>
          </w:p>
        </w:tc>
      </w:tr>
    </w:tbl>
    <w:p w:rsidR="005B1CCB" w:rsidRDefault="005B1CCB" w:rsidP="00FB3D8B">
      <w:pPr>
        <w:tabs>
          <w:tab w:val="left" w:pos="0"/>
        </w:tabs>
        <w:ind w:left="-284"/>
        <w:rPr>
          <w:b/>
          <w:sz w:val="18"/>
          <w:szCs w:val="18"/>
        </w:rPr>
      </w:pPr>
    </w:p>
    <w:p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rsidR="00196290" w:rsidRDefault="00196290" w:rsidP="00FB3D8B">
      <w:pPr>
        <w:tabs>
          <w:tab w:val="left" w:pos="0"/>
        </w:tabs>
        <w:ind w:left="-284"/>
        <w:rPr>
          <w:sz w:val="18"/>
          <w:szCs w:val="18"/>
          <w:lang w:val="es-ES"/>
        </w:rPr>
      </w:pPr>
    </w:p>
    <w:p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790E9F">
        <w:rPr>
          <w:b/>
        </w:rPr>
        <w:t>8</w:t>
      </w:r>
      <w:r>
        <w:rPr>
          <w:b/>
        </w:rPr>
        <w:t>-201</w:t>
      </w:r>
      <w:r w:rsidR="00C90A65">
        <w:rPr>
          <w:b/>
        </w:rPr>
        <w:t>9</w:t>
      </w:r>
    </w:p>
    <w:p w:rsidR="00196290" w:rsidRDefault="00790E9F" w:rsidP="00196290">
      <w:pPr>
        <w:pStyle w:val="Prrafodelista"/>
        <w:tabs>
          <w:tab w:val="left" w:pos="0"/>
          <w:tab w:val="left" w:pos="6285"/>
        </w:tabs>
        <w:ind w:left="0"/>
        <w:jc w:val="left"/>
        <w:rPr>
          <w:b/>
        </w:rPr>
      </w:pPr>
      <w:r>
        <w:rPr>
          <w:b/>
          <w:noProof/>
          <w:lang w:eastAsia="es-CL"/>
        </w:rPr>
        <w:drawing>
          <wp:inline distT="0" distB="0" distL="0" distR="0" wp14:anchorId="5C3B8323" wp14:editId="0847B842">
            <wp:extent cx="5369281" cy="1841577"/>
            <wp:effectExtent l="0" t="0" r="3175"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1440" cy="1852607"/>
                    </a:xfrm>
                    <a:prstGeom prst="rect">
                      <a:avLst/>
                    </a:prstGeom>
                    <a:noFill/>
                  </pic:spPr>
                </pic:pic>
              </a:graphicData>
            </a:graphic>
          </wp:inline>
        </w:drawing>
      </w:r>
    </w:p>
    <w:p w:rsidR="00FB3D8B" w:rsidRDefault="00FB3D8B" w:rsidP="006C4C1B">
      <w:pPr>
        <w:tabs>
          <w:tab w:val="left" w:pos="0"/>
          <w:tab w:val="left" w:pos="6285"/>
        </w:tabs>
      </w:pPr>
    </w:p>
    <w:p w:rsidR="00330D14" w:rsidRDefault="00330D14" w:rsidP="0003225F">
      <w:pPr>
        <w:tabs>
          <w:tab w:val="left" w:pos="0"/>
          <w:tab w:val="left" w:pos="6285"/>
        </w:tabs>
      </w:pPr>
    </w:p>
    <w:p w:rsidR="00D40D1B" w:rsidRDefault="00D40D1B" w:rsidP="0003225F">
      <w:pPr>
        <w:tabs>
          <w:tab w:val="left" w:pos="0"/>
          <w:tab w:val="left" w:pos="6285"/>
        </w:tabs>
      </w:pPr>
    </w:p>
    <w:p w:rsidR="00D40D1B" w:rsidRDefault="00D40D1B" w:rsidP="0003225F">
      <w:pPr>
        <w:tabs>
          <w:tab w:val="left" w:pos="0"/>
          <w:tab w:val="left" w:pos="6285"/>
        </w:tabs>
      </w:pPr>
    </w:p>
    <w:p w:rsidR="00D40D1B" w:rsidRDefault="00D40D1B" w:rsidP="0003225F">
      <w:pPr>
        <w:tabs>
          <w:tab w:val="left" w:pos="0"/>
          <w:tab w:val="left" w:pos="6285"/>
        </w:tabs>
      </w:pPr>
    </w:p>
    <w:p w:rsidR="00D40D1B" w:rsidRDefault="00D40D1B" w:rsidP="0003225F">
      <w:pPr>
        <w:tabs>
          <w:tab w:val="left" w:pos="0"/>
          <w:tab w:val="left" w:pos="6285"/>
        </w:tabs>
      </w:pPr>
    </w:p>
    <w:p w:rsidR="00FB3D8B" w:rsidRDefault="00FB3D8B" w:rsidP="00EA72CD">
      <w:pPr>
        <w:pStyle w:val="Prrafodelista"/>
        <w:numPr>
          <w:ilvl w:val="0"/>
          <w:numId w:val="1"/>
        </w:numPr>
        <w:tabs>
          <w:tab w:val="left" w:pos="0"/>
        </w:tabs>
        <w:ind w:left="0"/>
        <w:rPr>
          <w:b/>
        </w:rPr>
      </w:pPr>
      <w:r w:rsidRPr="002D141C">
        <w:rPr>
          <w:b/>
        </w:rPr>
        <w:t>Evolución IVA, valores reales (UF)</w:t>
      </w:r>
      <w:r>
        <w:rPr>
          <w:b/>
        </w:rPr>
        <w:t>: Año 201</w:t>
      </w:r>
      <w:r w:rsidR="00C90A65">
        <w:rPr>
          <w:b/>
        </w:rPr>
        <w:t>7</w:t>
      </w:r>
      <w:r>
        <w:rPr>
          <w:b/>
        </w:rPr>
        <w:t>-201</w:t>
      </w:r>
      <w:r w:rsidR="00C90A65">
        <w:rPr>
          <w:b/>
        </w:rPr>
        <w:t>9</w:t>
      </w:r>
    </w:p>
    <w:p w:rsidR="00FB3D8B" w:rsidRDefault="00790E9F" w:rsidP="00FB3D8B">
      <w:pPr>
        <w:pStyle w:val="Prrafodelista"/>
        <w:tabs>
          <w:tab w:val="left" w:pos="0"/>
          <w:tab w:val="left" w:pos="6285"/>
        </w:tabs>
        <w:ind w:left="0"/>
        <w:jc w:val="left"/>
      </w:pPr>
      <w:r>
        <w:rPr>
          <w:noProof/>
          <w:lang w:eastAsia="es-CL"/>
        </w:rPr>
        <w:drawing>
          <wp:inline distT="0" distB="0" distL="0" distR="0" wp14:anchorId="531CE2A1" wp14:editId="7A53616B">
            <wp:extent cx="5459998" cy="1872691"/>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9847" cy="1889789"/>
                    </a:xfrm>
                    <a:prstGeom prst="rect">
                      <a:avLst/>
                    </a:prstGeom>
                    <a:noFill/>
                  </pic:spPr>
                </pic:pic>
              </a:graphicData>
            </a:graphic>
          </wp:inline>
        </w:drawing>
      </w:r>
    </w:p>
    <w:p w:rsidR="00FB3D8B" w:rsidRDefault="00FB3D8B" w:rsidP="00FB3D8B">
      <w:pPr>
        <w:pStyle w:val="Prrafodelista"/>
        <w:tabs>
          <w:tab w:val="left" w:pos="0"/>
        </w:tabs>
        <w:ind w:left="0"/>
        <w:jc w:val="left"/>
      </w:pPr>
    </w:p>
    <w:p w:rsidR="00FB3D8B" w:rsidRDefault="00FB3D8B" w:rsidP="00FB3D8B">
      <w:pPr>
        <w:pStyle w:val="Prrafodelista"/>
        <w:tabs>
          <w:tab w:val="left" w:pos="0"/>
          <w:tab w:val="left" w:pos="6285"/>
        </w:tabs>
        <w:ind w:left="0"/>
        <w:jc w:val="left"/>
        <w:rPr>
          <w:b/>
        </w:rPr>
      </w:pPr>
    </w:p>
    <w:p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rsidR="00FC76DD" w:rsidRDefault="00790E9F" w:rsidP="00FB3D8B">
      <w:pPr>
        <w:pStyle w:val="Prrafodelista"/>
        <w:tabs>
          <w:tab w:val="left" w:pos="0"/>
          <w:tab w:val="left" w:pos="6285"/>
        </w:tabs>
        <w:ind w:left="0"/>
        <w:jc w:val="left"/>
        <w:rPr>
          <w:b/>
        </w:rPr>
      </w:pPr>
      <w:r>
        <w:rPr>
          <w:b/>
          <w:noProof/>
          <w:lang w:eastAsia="es-CL"/>
        </w:rPr>
        <w:drawing>
          <wp:inline distT="0" distB="0" distL="0" distR="0" wp14:anchorId="00B89DFD" wp14:editId="7A8EAA73">
            <wp:extent cx="5376596" cy="2224066"/>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825" cy="2234088"/>
                    </a:xfrm>
                    <a:prstGeom prst="rect">
                      <a:avLst/>
                    </a:prstGeom>
                    <a:noFill/>
                  </pic:spPr>
                </pic:pic>
              </a:graphicData>
            </a:graphic>
          </wp:inline>
        </w:drawing>
      </w:r>
    </w:p>
    <w:p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w:t>
      </w:r>
      <w:r w:rsidR="006E2F75">
        <w:rPr>
          <w:b/>
        </w:rPr>
        <w:t>nominales ($)</w:t>
      </w:r>
      <w:r w:rsidRPr="00EA72CD">
        <w:rPr>
          <w:b/>
        </w:rPr>
        <w:t xml:space="preserve">: </w:t>
      </w:r>
      <w:r w:rsidR="00EA72CD">
        <w:rPr>
          <w:b/>
        </w:rPr>
        <w:t xml:space="preserve"> </w:t>
      </w:r>
      <w:r w:rsidR="00790E9F">
        <w:rPr>
          <w:b/>
        </w:rPr>
        <w:t>noviembre</w:t>
      </w:r>
      <w:r w:rsidR="007F6746">
        <w:rPr>
          <w:b/>
        </w:rPr>
        <w:t xml:space="preserve"> </w:t>
      </w:r>
      <w:r w:rsidRPr="00EA72CD">
        <w:rPr>
          <w:b/>
        </w:rPr>
        <w:t>-</w:t>
      </w:r>
      <w:r w:rsidR="00F038FF">
        <w:rPr>
          <w:b/>
        </w:rPr>
        <w:t xml:space="preserve"> </w:t>
      </w:r>
      <w:r w:rsidR="00790E9F">
        <w:rPr>
          <w:b/>
        </w:rPr>
        <w:t>diciembre</w:t>
      </w:r>
      <w:r w:rsidRPr="00EA72CD">
        <w:rPr>
          <w:b/>
        </w:rPr>
        <w:t xml:space="preserve"> 201</w:t>
      </w:r>
      <w:r w:rsidR="00EC56BB">
        <w:rPr>
          <w:b/>
        </w:rPr>
        <w:t>9</w:t>
      </w:r>
    </w:p>
    <w:p w:rsidR="00FB3D8B" w:rsidRDefault="00790E9F" w:rsidP="00C73FD0">
      <w:pPr>
        <w:pStyle w:val="Prrafodelista"/>
        <w:tabs>
          <w:tab w:val="left" w:pos="0"/>
          <w:tab w:val="left" w:pos="360"/>
          <w:tab w:val="left" w:pos="6285"/>
        </w:tabs>
        <w:ind w:left="0"/>
        <w:jc w:val="center"/>
        <w:rPr>
          <w:b/>
        </w:rPr>
      </w:pPr>
      <w:r>
        <w:rPr>
          <w:b/>
          <w:noProof/>
          <w:lang w:eastAsia="es-CL"/>
        </w:rPr>
        <w:drawing>
          <wp:inline distT="0" distB="0" distL="0" distR="0" wp14:anchorId="253C82E3" wp14:editId="5E154049">
            <wp:extent cx="5433368" cy="257794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50454" cy="2586054"/>
                    </a:xfrm>
                    <a:prstGeom prst="rect">
                      <a:avLst/>
                    </a:prstGeom>
                    <a:noFill/>
                  </pic:spPr>
                </pic:pic>
              </a:graphicData>
            </a:graphic>
          </wp:inline>
        </w:drawing>
      </w:r>
    </w:p>
    <w:p w:rsidR="00FB3D8B" w:rsidRDefault="00FB3D8B" w:rsidP="00FB3D8B">
      <w:pPr>
        <w:pStyle w:val="Prrafodelista"/>
        <w:tabs>
          <w:tab w:val="left" w:pos="0"/>
          <w:tab w:val="left" w:pos="360"/>
          <w:tab w:val="left" w:pos="6285"/>
        </w:tabs>
        <w:ind w:left="0"/>
        <w:jc w:val="left"/>
        <w:rPr>
          <w:b/>
        </w:rPr>
      </w:pPr>
    </w:p>
    <w:p w:rsidR="00BF71A9" w:rsidRDefault="00BF71A9" w:rsidP="00FB3D8B">
      <w:pPr>
        <w:pStyle w:val="Prrafodelista"/>
        <w:tabs>
          <w:tab w:val="left" w:pos="0"/>
          <w:tab w:val="left" w:pos="360"/>
          <w:tab w:val="left" w:pos="6285"/>
        </w:tabs>
        <w:ind w:left="0"/>
        <w:jc w:val="left"/>
        <w:rPr>
          <w:b/>
        </w:rPr>
      </w:pPr>
    </w:p>
    <w:p w:rsidR="00172CAF" w:rsidRDefault="00172CAF" w:rsidP="00FB3D8B">
      <w:pPr>
        <w:pStyle w:val="Prrafodelista"/>
        <w:tabs>
          <w:tab w:val="left" w:pos="0"/>
          <w:tab w:val="left" w:pos="360"/>
          <w:tab w:val="left" w:pos="6285"/>
        </w:tabs>
        <w:ind w:left="0"/>
        <w:jc w:val="left"/>
        <w:rPr>
          <w:b/>
        </w:rPr>
      </w:pPr>
    </w:p>
    <w:p w:rsidR="0095264F" w:rsidRDefault="0095264F" w:rsidP="00FB3D8B">
      <w:pPr>
        <w:pStyle w:val="Prrafodelista"/>
        <w:tabs>
          <w:tab w:val="left" w:pos="0"/>
          <w:tab w:val="left" w:pos="360"/>
          <w:tab w:val="left" w:pos="6285"/>
        </w:tabs>
        <w:ind w:left="0"/>
        <w:jc w:val="left"/>
        <w:rPr>
          <w:b/>
        </w:rPr>
      </w:pPr>
    </w:p>
    <w:p w:rsidR="00D40D1B" w:rsidRDefault="00D40D1B" w:rsidP="00FB3D8B">
      <w:pPr>
        <w:pStyle w:val="Prrafodelista"/>
        <w:tabs>
          <w:tab w:val="left" w:pos="0"/>
          <w:tab w:val="left" w:pos="360"/>
          <w:tab w:val="left" w:pos="6285"/>
        </w:tabs>
        <w:ind w:left="0"/>
        <w:jc w:val="left"/>
        <w:rPr>
          <w:b/>
        </w:rPr>
      </w:pPr>
    </w:p>
    <w:p w:rsidR="00D40D1B" w:rsidRDefault="00D40D1B" w:rsidP="00FB3D8B">
      <w:pPr>
        <w:pStyle w:val="Prrafodelista"/>
        <w:tabs>
          <w:tab w:val="left" w:pos="0"/>
          <w:tab w:val="left" w:pos="360"/>
          <w:tab w:val="left" w:pos="6285"/>
        </w:tabs>
        <w:ind w:left="0"/>
        <w:jc w:val="left"/>
        <w:rPr>
          <w:b/>
        </w:rPr>
      </w:pPr>
    </w:p>
    <w:p w:rsidR="00D40D1B" w:rsidRDefault="00D40D1B" w:rsidP="00FB3D8B">
      <w:pPr>
        <w:pStyle w:val="Prrafodelista"/>
        <w:tabs>
          <w:tab w:val="left" w:pos="0"/>
          <w:tab w:val="left" w:pos="360"/>
          <w:tab w:val="left" w:pos="6285"/>
        </w:tabs>
        <w:ind w:left="0"/>
        <w:jc w:val="left"/>
        <w:rPr>
          <w:b/>
        </w:rPr>
      </w:pPr>
    </w:p>
    <w:p w:rsidR="00D40D1B" w:rsidRDefault="00D40D1B" w:rsidP="00FB3D8B">
      <w:pPr>
        <w:pStyle w:val="Prrafodelista"/>
        <w:tabs>
          <w:tab w:val="left" w:pos="0"/>
          <w:tab w:val="left" w:pos="360"/>
          <w:tab w:val="left" w:pos="6285"/>
        </w:tabs>
        <w:ind w:left="0"/>
        <w:jc w:val="left"/>
        <w:rPr>
          <w:b/>
        </w:rPr>
      </w:pPr>
    </w:p>
    <w:p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790E9F">
        <w:rPr>
          <w:b/>
        </w:rPr>
        <w:t>diciembre</w:t>
      </w:r>
      <w:r>
        <w:rPr>
          <w:b/>
        </w:rPr>
        <w:t xml:space="preserve"> de 201</w:t>
      </w:r>
      <w:r w:rsidR="00EC56BB">
        <w:rPr>
          <w:b/>
        </w:rPr>
        <w:t>9</w:t>
      </w:r>
      <w:r>
        <w:rPr>
          <w:b/>
        </w:rPr>
        <w:t>, valores nominales ($)</w:t>
      </w:r>
    </w:p>
    <w:p w:rsidR="00FB3D8B" w:rsidRDefault="00790E9F" w:rsidP="00FB3D8B">
      <w:pPr>
        <w:tabs>
          <w:tab w:val="left" w:pos="0"/>
          <w:tab w:val="left" w:pos="6285"/>
        </w:tabs>
        <w:jc w:val="center"/>
        <w:rPr>
          <w:szCs w:val="21"/>
        </w:rPr>
      </w:pPr>
      <w:r>
        <w:rPr>
          <w:noProof/>
          <w:szCs w:val="21"/>
          <w:lang w:eastAsia="es-CL"/>
        </w:rPr>
        <w:drawing>
          <wp:inline distT="0" distB="0" distL="0" distR="0" wp14:anchorId="220CD4B1" wp14:editId="34655F6A">
            <wp:extent cx="3643371" cy="2969971"/>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61914" cy="2985087"/>
                    </a:xfrm>
                    <a:prstGeom prst="rect">
                      <a:avLst/>
                    </a:prstGeom>
                    <a:noFill/>
                  </pic:spPr>
                </pic:pic>
              </a:graphicData>
            </a:graphic>
          </wp:inline>
        </w:drawing>
      </w:r>
    </w:p>
    <w:p w:rsidR="00670528" w:rsidRPr="004768DF" w:rsidRDefault="00FB3D8B" w:rsidP="00053038">
      <w:pPr>
        <w:pStyle w:val="Prrafodelista"/>
        <w:numPr>
          <w:ilvl w:val="0"/>
          <w:numId w:val="1"/>
        </w:numPr>
        <w:tabs>
          <w:tab w:val="left" w:pos="0"/>
          <w:tab w:val="left" w:pos="6285"/>
        </w:tabs>
        <w:ind w:left="0"/>
        <w:jc w:val="left"/>
        <w:rPr>
          <w:noProof/>
          <w:szCs w:val="21"/>
        </w:rPr>
      </w:pPr>
      <w:r w:rsidRPr="00804E4B">
        <w:rPr>
          <w:b/>
        </w:rPr>
        <w:t xml:space="preserve">Monto total apostado máquinas de azar, valores nominales ($): </w:t>
      </w:r>
      <w:r w:rsidR="00790E9F">
        <w:rPr>
          <w:b/>
        </w:rPr>
        <w:t>diciembre</w:t>
      </w:r>
      <w:r w:rsidR="000D553D" w:rsidRPr="00804E4B">
        <w:rPr>
          <w:b/>
        </w:rPr>
        <w:t xml:space="preserve"> de 201</w:t>
      </w:r>
      <w:r w:rsidR="00C90A65">
        <w:rPr>
          <w:b/>
        </w:rPr>
        <w:t>9</w:t>
      </w:r>
    </w:p>
    <w:p w:rsidR="00274F17" w:rsidRDefault="00790E9F" w:rsidP="00670528">
      <w:pPr>
        <w:pStyle w:val="Prrafodelista"/>
        <w:tabs>
          <w:tab w:val="left" w:pos="0"/>
          <w:tab w:val="left" w:pos="6285"/>
        </w:tabs>
        <w:ind w:left="0"/>
        <w:jc w:val="center"/>
        <w:rPr>
          <w:szCs w:val="21"/>
        </w:rPr>
      </w:pPr>
      <w:r>
        <w:rPr>
          <w:noProof/>
          <w:szCs w:val="21"/>
          <w:lang w:eastAsia="es-CL"/>
        </w:rPr>
        <w:drawing>
          <wp:inline distT="0" distB="0" distL="0" distR="0" wp14:anchorId="1A1B5B05" wp14:editId="1ED03717">
            <wp:extent cx="3481070" cy="4578350"/>
            <wp:effectExtent l="0" t="0" r="508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1070" cy="4578350"/>
                    </a:xfrm>
                    <a:prstGeom prst="rect">
                      <a:avLst/>
                    </a:prstGeom>
                    <a:noFill/>
                  </pic:spPr>
                </pic:pic>
              </a:graphicData>
            </a:graphic>
          </wp:inline>
        </w:drawing>
      </w:r>
    </w:p>
    <w:p w:rsidR="00D40D1B" w:rsidRDefault="00D40D1B" w:rsidP="00670528">
      <w:pPr>
        <w:pStyle w:val="Prrafodelista"/>
        <w:tabs>
          <w:tab w:val="left" w:pos="0"/>
          <w:tab w:val="left" w:pos="6285"/>
        </w:tabs>
        <w:ind w:left="0"/>
        <w:jc w:val="center"/>
        <w:rPr>
          <w:szCs w:val="21"/>
        </w:rPr>
      </w:pPr>
    </w:p>
    <w:p w:rsidR="00D40D1B" w:rsidRDefault="00D40D1B" w:rsidP="00670528">
      <w:pPr>
        <w:pStyle w:val="Prrafodelista"/>
        <w:tabs>
          <w:tab w:val="left" w:pos="0"/>
          <w:tab w:val="left" w:pos="6285"/>
        </w:tabs>
        <w:ind w:left="0"/>
        <w:jc w:val="center"/>
        <w:rPr>
          <w:szCs w:val="21"/>
        </w:rPr>
      </w:pPr>
    </w:p>
    <w:p w:rsidR="00D40D1B" w:rsidRDefault="00D40D1B" w:rsidP="00670528">
      <w:pPr>
        <w:pStyle w:val="Prrafodelista"/>
        <w:tabs>
          <w:tab w:val="left" w:pos="0"/>
          <w:tab w:val="left" w:pos="6285"/>
        </w:tabs>
        <w:ind w:left="0"/>
        <w:jc w:val="center"/>
        <w:rPr>
          <w:szCs w:val="21"/>
        </w:rPr>
      </w:pPr>
    </w:p>
    <w:p w:rsidR="00D40D1B" w:rsidRDefault="00D40D1B" w:rsidP="00670528">
      <w:pPr>
        <w:pStyle w:val="Prrafodelista"/>
        <w:tabs>
          <w:tab w:val="left" w:pos="0"/>
          <w:tab w:val="left" w:pos="6285"/>
        </w:tabs>
        <w:ind w:left="0"/>
        <w:jc w:val="center"/>
        <w:rPr>
          <w:szCs w:val="21"/>
        </w:rPr>
      </w:pPr>
    </w:p>
    <w:p w:rsidR="00D40D1B" w:rsidRDefault="00D40D1B" w:rsidP="00670528">
      <w:pPr>
        <w:pStyle w:val="Prrafodelista"/>
        <w:tabs>
          <w:tab w:val="left" w:pos="0"/>
          <w:tab w:val="left" w:pos="6285"/>
        </w:tabs>
        <w:ind w:left="0"/>
        <w:jc w:val="center"/>
        <w:rPr>
          <w:szCs w:val="21"/>
        </w:rPr>
      </w:pPr>
    </w:p>
    <w:p w:rsidR="00D40D1B" w:rsidRDefault="00D40D1B" w:rsidP="00670528">
      <w:pPr>
        <w:pStyle w:val="Prrafodelista"/>
        <w:tabs>
          <w:tab w:val="left" w:pos="0"/>
          <w:tab w:val="left" w:pos="6285"/>
        </w:tabs>
        <w:ind w:left="0"/>
        <w:jc w:val="center"/>
        <w:rPr>
          <w:szCs w:val="21"/>
        </w:rPr>
      </w:pPr>
    </w:p>
    <w:p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790E9F">
        <w:rPr>
          <w:b/>
        </w:rPr>
        <w:t>diciembre</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790E9F" w:rsidRPr="00790E9F" w:rsidTr="00790E9F">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rsidR="00790E9F" w:rsidRPr="00790E9F" w:rsidRDefault="00790E9F" w:rsidP="00790E9F">
            <w:pPr>
              <w:spacing w:after="0" w:line="240" w:lineRule="auto"/>
              <w:jc w:val="center"/>
              <w:rPr>
                <w:rFonts w:ascii="Calibri" w:eastAsia="Times New Roman" w:hAnsi="Calibri" w:cs="Calibri"/>
                <w:b/>
                <w:bCs/>
                <w:color w:val="FFFFFF"/>
                <w:sz w:val="18"/>
                <w:szCs w:val="18"/>
                <w:lang w:eastAsia="es-CL"/>
              </w:rPr>
            </w:pPr>
            <w:r w:rsidRPr="00790E9F">
              <w:rPr>
                <w:rFonts w:ascii="Calibri" w:eastAsia="Times New Roman" w:hAnsi="Calibri" w:cs="Calibri"/>
                <w:b/>
                <w:bCs/>
                <w:color w:val="FFFFFF"/>
                <w:sz w:val="18"/>
                <w:szCs w:val="18"/>
                <w:lang w:eastAsia="es-CL"/>
              </w:rPr>
              <w:t xml:space="preserve">MÁQUINAS DE AZAR: Montos Apostados y Premios Ganados ($ </w:t>
            </w:r>
            <w:proofErr w:type="gramStart"/>
            <w:r w:rsidRPr="00790E9F">
              <w:rPr>
                <w:rFonts w:ascii="Calibri" w:eastAsia="Times New Roman" w:hAnsi="Calibri" w:cs="Calibri"/>
                <w:b/>
                <w:bCs/>
                <w:color w:val="FFFFFF"/>
                <w:sz w:val="18"/>
                <w:szCs w:val="18"/>
                <w:lang w:eastAsia="es-CL"/>
              </w:rPr>
              <w:t xml:space="preserve">Millones)   </w:t>
            </w:r>
            <w:proofErr w:type="gramEnd"/>
            <w:r w:rsidRPr="00790E9F">
              <w:rPr>
                <w:rFonts w:ascii="Calibri" w:eastAsia="Times New Roman" w:hAnsi="Calibri" w:cs="Calibri"/>
                <w:b/>
                <w:bCs/>
                <w:color w:val="FFFFFF"/>
                <w:sz w:val="18"/>
                <w:szCs w:val="18"/>
                <w:lang w:eastAsia="es-CL"/>
              </w:rPr>
              <w:t xml:space="preserve">                                                                                                     Diciembre 2019 ($ Millones)</w:t>
            </w:r>
          </w:p>
        </w:tc>
      </w:tr>
      <w:tr w:rsidR="00790E9F" w:rsidRPr="00790E9F" w:rsidTr="00790E9F">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rsidR="00790E9F" w:rsidRPr="00790E9F" w:rsidRDefault="00790E9F" w:rsidP="00790E9F">
            <w:pPr>
              <w:spacing w:after="0" w:line="240" w:lineRule="auto"/>
              <w:jc w:val="center"/>
              <w:rPr>
                <w:rFonts w:ascii="Calibri" w:eastAsia="Times New Roman" w:hAnsi="Calibri" w:cs="Calibri"/>
                <w:b/>
                <w:bCs/>
                <w:color w:val="FFFFFF"/>
                <w:sz w:val="18"/>
                <w:szCs w:val="18"/>
                <w:lang w:eastAsia="es-CL"/>
              </w:rPr>
            </w:pPr>
            <w:r w:rsidRPr="00790E9F">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rsidR="00790E9F" w:rsidRPr="00790E9F" w:rsidRDefault="00790E9F" w:rsidP="00790E9F">
            <w:pPr>
              <w:spacing w:after="0" w:line="240" w:lineRule="auto"/>
              <w:jc w:val="center"/>
              <w:rPr>
                <w:rFonts w:ascii="Calibri" w:eastAsia="Times New Roman" w:hAnsi="Calibri" w:cs="Calibri"/>
                <w:b/>
                <w:bCs/>
                <w:color w:val="FFFFFF"/>
                <w:sz w:val="18"/>
                <w:szCs w:val="18"/>
                <w:lang w:eastAsia="es-CL"/>
              </w:rPr>
            </w:pPr>
            <w:r w:rsidRPr="00790E9F">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rsidR="00790E9F" w:rsidRPr="00790E9F" w:rsidRDefault="00790E9F" w:rsidP="00790E9F">
            <w:pPr>
              <w:spacing w:after="0" w:line="240" w:lineRule="auto"/>
              <w:jc w:val="center"/>
              <w:rPr>
                <w:rFonts w:ascii="Calibri" w:eastAsia="Times New Roman" w:hAnsi="Calibri" w:cs="Calibri"/>
                <w:b/>
                <w:bCs/>
                <w:color w:val="FFFFFF"/>
                <w:sz w:val="18"/>
                <w:szCs w:val="18"/>
                <w:lang w:eastAsia="es-CL"/>
              </w:rPr>
            </w:pPr>
            <w:r w:rsidRPr="00790E9F">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rsidR="00790E9F" w:rsidRPr="00790E9F" w:rsidRDefault="00790E9F" w:rsidP="00790E9F">
            <w:pPr>
              <w:spacing w:after="0" w:line="240" w:lineRule="auto"/>
              <w:jc w:val="center"/>
              <w:rPr>
                <w:rFonts w:ascii="Calibri" w:eastAsia="Times New Roman" w:hAnsi="Calibri" w:cs="Calibri"/>
                <w:b/>
                <w:bCs/>
                <w:color w:val="FFFFFF"/>
                <w:sz w:val="18"/>
                <w:szCs w:val="18"/>
                <w:lang w:eastAsia="es-CL"/>
              </w:rPr>
            </w:pPr>
            <w:r w:rsidRPr="00790E9F">
              <w:rPr>
                <w:rFonts w:ascii="Calibri" w:eastAsia="Times New Roman" w:hAnsi="Calibri" w:cs="Calibri"/>
                <w:b/>
                <w:bCs/>
                <w:color w:val="FFFFFF"/>
                <w:sz w:val="18"/>
                <w:szCs w:val="18"/>
                <w:lang w:eastAsia="es-CL"/>
              </w:rPr>
              <w:t xml:space="preserve">Porcentaje de retorno </w:t>
            </w:r>
          </w:p>
        </w:tc>
      </w:tr>
      <w:tr w:rsidR="00790E9F" w:rsidRPr="00790E9F" w:rsidTr="00790E9F">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9.470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8.917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94,2%</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13.642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12.711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93,2%</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790E9F" w:rsidRPr="00790E9F" w:rsidRDefault="00790E9F" w:rsidP="00790E9F">
            <w:pPr>
              <w:spacing w:after="0" w:line="240" w:lineRule="auto"/>
              <w:jc w:val="left"/>
              <w:rPr>
                <w:rFonts w:ascii="Calibri" w:eastAsia="Times New Roman" w:hAnsi="Calibri" w:cs="Calibri"/>
                <w:b/>
                <w:bCs/>
                <w:sz w:val="18"/>
                <w:szCs w:val="18"/>
                <w:lang w:eastAsia="es-CL"/>
              </w:rPr>
            </w:pPr>
            <w:r w:rsidRPr="00790E9F">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26.547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24.686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93,0%</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13.554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12.679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93,5%</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5.632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5.319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94,4%</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9.224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8.638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93,6%</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37.839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35.369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93,5%</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100.302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94.687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94,4%</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6.621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6.217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93,9%</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11.937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11.140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93,3%</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Marina del Sol Chillán</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7.956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7.469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93,9%</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49.093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46.120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93,9%</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 xml:space="preserve">Casino Gran Los </w:t>
            </w:r>
            <w:r w:rsidR="00290D7F" w:rsidRPr="00790E9F">
              <w:rPr>
                <w:rFonts w:ascii="Calibri" w:eastAsia="Times New Roman" w:hAnsi="Calibri" w:cs="Calibri"/>
                <w:b/>
                <w:bCs/>
                <w:color w:val="000000"/>
                <w:sz w:val="18"/>
                <w:szCs w:val="18"/>
                <w:lang w:eastAsia="es-CL"/>
              </w:rPr>
              <w:t>Ángeles</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4.492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4.269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95,0%</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790E9F" w:rsidRPr="00790E9F" w:rsidRDefault="00790E9F" w:rsidP="00790E9F">
            <w:pPr>
              <w:spacing w:after="0" w:line="240" w:lineRule="auto"/>
              <w:jc w:val="left"/>
              <w:rPr>
                <w:rFonts w:ascii="Calibri" w:eastAsia="Times New Roman" w:hAnsi="Calibri" w:cs="Calibri"/>
                <w:b/>
                <w:bCs/>
                <w:sz w:val="18"/>
                <w:szCs w:val="18"/>
                <w:lang w:eastAsia="es-CL"/>
              </w:rPr>
            </w:pPr>
            <w:r w:rsidRPr="00790E9F">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27.165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25.515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93,9%</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14.820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13.836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93,4%</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11.657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10.913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93,6%</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4.464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4.144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92,8%</w:t>
            </w:r>
          </w:p>
        </w:tc>
      </w:tr>
      <w:tr w:rsidR="00790E9F" w:rsidRPr="00790E9F" w:rsidTr="00790E9F">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5.903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5.533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93,7%</w:t>
            </w:r>
          </w:p>
        </w:tc>
      </w:tr>
      <w:tr w:rsidR="00790E9F" w:rsidRPr="00790E9F" w:rsidTr="00790E9F">
        <w:trPr>
          <w:trHeight w:val="300"/>
        </w:trPr>
        <w:tc>
          <w:tcPr>
            <w:tcW w:w="2379" w:type="dxa"/>
            <w:tcBorders>
              <w:top w:val="nil"/>
              <w:left w:val="nil"/>
              <w:bottom w:val="nil"/>
              <w:right w:val="nil"/>
            </w:tcBorders>
            <w:shd w:val="clear" w:color="000000" w:fill="FFFFFF"/>
            <w:noWrap/>
            <w:vAlign w:val="bottom"/>
            <w:hideMark/>
          </w:tcPr>
          <w:p w:rsidR="00790E9F" w:rsidRPr="00790E9F" w:rsidRDefault="00790E9F" w:rsidP="00790E9F">
            <w:pPr>
              <w:spacing w:after="0" w:line="240" w:lineRule="auto"/>
              <w:jc w:val="left"/>
              <w:rPr>
                <w:rFonts w:ascii="Calibri" w:eastAsia="Times New Roman" w:hAnsi="Calibri" w:cs="Calibri"/>
                <w:b/>
                <w:bCs/>
                <w:color w:val="000000"/>
                <w:sz w:val="18"/>
                <w:szCs w:val="18"/>
                <w:lang w:eastAsia="es-CL"/>
              </w:rPr>
            </w:pPr>
            <w:r w:rsidRPr="00790E9F">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24.470 </w:t>
            </w:r>
          </w:p>
        </w:tc>
        <w:tc>
          <w:tcPr>
            <w:tcW w:w="2528"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 xml:space="preserve">22.794 </w:t>
            </w:r>
          </w:p>
        </w:tc>
        <w:tc>
          <w:tcPr>
            <w:tcW w:w="1177" w:type="dxa"/>
            <w:tcBorders>
              <w:top w:val="nil"/>
              <w:left w:val="nil"/>
              <w:bottom w:val="single" w:sz="4" w:space="0" w:color="808080"/>
              <w:right w:val="single" w:sz="4" w:space="0" w:color="808080"/>
            </w:tcBorders>
            <w:shd w:val="clear" w:color="000000" w:fill="FFFFFF"/>
            <w:noWrap/>
            <w:vAlign w:val="bottom"/>
            <w:hideMark/>
          </w:tcPr>
          <w:p w:rsidR="00790E9F" w:rsidRPr="00790E9F" w:rsidRDefault="00790E9F" w:rsidP="00790E9F">
            <w:pPr>
              <w:spacing w:after="0" w:line="240" w:lineRule="auto"/>
              <w:jc w:val="right"/>
              <w:rPr>
                <w:rFonts w:ascii="Calibri" w:eastAsia="Times New Roman" w:hAnsi="Calibri" w:cs="Calibri"/>
                <w:sz w:val="18"/>
                <w:szCs w:val="18"/>
                <w:lang w:eastAsia="es-CL"/>
              </w:rPr>
            </w:pPr>
            <w:r w:rsidRPr="00790E9F">
              <w:rPr>
                <w:rFonts w:ascii="Calibri" w:eastAsia="Times New Roman" w:hAnsi="Calibri" w:cs="Calibri"/>
                <w:sz w:val="18"/>
                <w:szCs w:val="18"/>
                <w:lang w:eastAsia="es-CL"/>
              </w:rPr>
              <w:t>93,2%</w:t>
            </w:r>
          </w:p>
        </w:tc>
      </w:tr>
      <w:tr w:rsidR="00790E9F" w:rsidRPr="00790E9F" w:rsidTr="00790E9F">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rsidR="00790E9F" w:rsidRPr="00790E9F" w:rsidRDefault="00790E9F" w:rsidP="00790E9F">
            <w:pPr>
              <w:spacing w:after="0" w:line="240" w:lineRule="auto"/>
              <w:jc w:val="left"/>
              <w:rPr>
                <w:rFonts w:ascii="Calibri" w:eastAsia="Times New Roman" w:hAnsi="Calibri" w:cs="Calibri"/>
                <w:b/>
                <w:bCs/>
                <w:color w:val="FFFFFF"/>
                <w:sz w:val="18"/>
                <w:szCs w:val="18"/>
                <w:lang w:eastAsia="es-CL"/>
              </w:rPr>
            </w:pPr>
            <w:r w:rsidRPr="00790E9F">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rsidR="00790E9F" w:rsidRPr="00790E9F" w:rsidRDefault="00790E9F" w:rsidP="00790E9F">
            <w:pPr>
              <w:spacing w:after="0" w:line="240" w:lineRule="auto"/>
              <w:jc w:val="right"/>
              <w:rPr>
                <w:rFonts w:ascii="Calibri" w:eastAsia="Times New Roman" w:hAnsi="Calibri" w:cs="Calibri"/>
                <w:b/>
                <w:bCs/>
                <w:color w:val="FFFFFF"/>
                <w:sz w:val="18"/>
                <w:szCs w:val="18"/>
                <w:lang w:eastAsia="es-CL"/>
              </w:rPr>
            </w:pPr>
            <w:r w:rsidRPr="00790E9F">
              <w:rPr>
                <w:rFonts w:ascii="Calibri" w:eastAsia="Times New Roman" w:hAnsi="Calibri" w:cs="Calibri"/>
                <w:b/>
                <w:bCs/>
                <w:color w:val="FFFFFF"/>
                <w:sz w:val="18"/>
                <w:szCs w:val="18"/>
                <w:lang w:eastAsia="es-CL"/>
              </w:rPr>
              <w:t xml:space="preserve">384.786 </w:t>
            </w:r>
          </w:p>
        </w:tc>
        <w:tc>
          <w:tcPr>
            <w:tcW w:w="2528" w:type="dxa"/>
            <w:tcBorders>
              <w:top w:val="nil"/>
              <w:left w:val="nil"/>
              <w:bottom w:val="single" w:sz="4" w:space="0" w:color="808080"/>
              <w:right w:val="single" w:sz="4" w:space="0" w:color="808080"/>
            </w:tcBorders>
            <w:shd w:val="clear" w:color="000000" w:fill="1F497D"/>
            <w:noWrap/>
            <w:vAlign w:val="bottom"/>
            <w:hideMark/>
          </w:tcPr>
          <w:p w:rsidR="00790E9F" w:rsidRPr="00790E9F" w:rsidRDefault="00790E9F" w:rsidP="00790E9F">
            <w:pPr>
              <w:spacing w:after="0" w:line="240" w:lineRule="auto"/>
              <w:jc w:val="right"/>
              <w:rPr>
                <w:rFonts w:ascii="Calibri" w:eastAsia="Times New Roman" w:hAnsi="Calibri" w:cs="Calibri"/>
                <w:b/>
                <w:bCs/>
                <w:color w:val="FFFFFF"/>
                <w:sz w:val="18"/>
                <w:szCs w:val="18"/>
                <w:lang w:eastAsia="es-CL"/>
              </w:rPr>
            </w:pPr>
            <w:r w:rsidRPr="00790E9F">
              <w:rPr>
                <w:rFonts w:ascii="Calibri" w:eastAsia="Times New Roman" w:hAnsi="Calibri" w:cs="Calibri"/>
                <w:b/>
                <w:bCs/>
                <w:color w:val="FFFFFF"/>
                <w:sz w:val="18"/>
                <w:szCs w:val="18"/>
                <w:lang w:eastAsia="es-CL"/>
              </w:rPr>
              <w:t xml:space="preserve">360.957 </w:t>
            </w:r>
          </w:p>
        </w:tc>
        <w:tc>
          <w:tcPr>
            <w:tcW w:w="1177" w:type="dxa"/>
            <w:tcBorders>
              <w:top w:val="nil"/>
              <w:left w:val="nil"/>
              <w:bottom w:val="single" w:sz="4" w:space="0" w:color="808080"/>
              <w:right w:val="single" w:sz="4" w:space="0" w:color="808080"/>
            </w:tcBorders>
            <w:shd w:val="clear" w:color="000000" w:fill="1F497D"/>
            <w:noWrap/>
            <w:vAlign w:val="bottom"/>
            <w:hideMark/>
          </w:tcPr>
          <w:p w:rsidR="00790E9F" w:rsidRPr="00790E9F" w:rsidRDefault="00790E9F" w:rsidP="00790E9F">
            <w:pPr>
              <w:spacing w:after="0" w:line="240" w:lineRule="auto"/>
              <w:jc w:val="right"/>
              <w:rPr>
                <w:rFonts w:ascii="Calibri" w:eastAsia="Times New Roman" w:hAnsi="Calibri" w:cs="Calibri"/>
                <w:b/>
                <w:bCs/>
                <w:color w:val="FFFFFF"/>
                <w:sz w:val="18"/>
                <w:szCs w:val="18"/>
                <w:lang w:eastAsia="es-CL"/>
              </w:rPr>
            </w:pPr>
            <w:r w:rsidRPr="00790E9F">
              <w:rPr>
                <w:rFonts w:ascii="Calibri" w:eastAsia="Times New Roman" w:hAnsi="Calibri" w:cs="Calibri"/>
                <w:b/>
                <w:bCs/>
                <w:color w:val="FFFFFF"/>
                <w:sz w:val="18"/>
                <w:szCs w:val="18"/>
                <w:lang w:eastAsia="es-CL"/>
              </w:rPr>
              <w:t>93,8%</w:t>
            </w:r>
          </w:p>
        </w:tc>
      </w:tr>
    </w:tbl>
    <w:p w:rsidR="00C742BA" w:rsidRDefault="00C742BA" w:rsidP="00C742BA">
      <w:pPr>
        <w:pStyle w:val="Prrafodelista"/>
        <w:tabs>
          <w:tab w:val="left" w:pos="0"/>
        </w:tabs>
        <w:ind w:left="0"/>
        <w:rPr>
          <w:rFonts w:ascii="Calibri" w:hAnsi="Calibri" w:cs="Calibri"/>
          <w:b/>
          <w:sz w:val="21"/>
          <w:szCs w:val="21"/>
        </w:rPr>
      </w:pPr>
    </w:p>
    <w:p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790E9F">
        <w:rPr>
          <w:b/>
        </w:rPr>
        <w:t>diciembre</w:t>
      </w:r>
      <w:r w:rsidR="00C742BA" w:rsidRPr="00EA72CD">
        <w:rPr>
          <w:b/>
        </w:rPr>
        <w:t xml:space="preserve"> de</w:t>
      </w:r>
      <w:r w:rsidRPr="00EA72CD">
        <w:rPr>
          <w:b/>
        </w:rPr>
        <w:t xml:space="preserve"> 201</w:t>
      </w:r>
      <w:r w:rsidR="00C90A65">
        <w:rPr>
          <w:b/>
        </w:rPr>
        <w:t>9</w:t>
      </w:r>
    </w:p>
    <w:p w:rsidR="0090460C" w:rsidRDefault="00790E9F" w:rsidP="00C44D28">
      <w:pPr>
        <w:tabs>
          <w:tab w:val="left" w:pos="0"/>
          <w:tab w:val="left" w:pos="6285"/>
        </w:tabs>
        <w:rPr>
          <w:rFonts w:ascii="Calibri" w:hAnsi="Calibri" w:cs="Arial"/>
          <w:b/>
          <w:sz w:val="20"/>
          <w:szCs w:val="20"/>
        </w:rPr>
      </w:pPr>
      <w:r>
        <w:rPr>
          <w:rFonts w:ascii="Calibri" w:hAnsi="Calibri" w:cs="Arial"/>
          <w:b/>
          <w:noProof/>
          <w:sz w:val="20"/>
          <w:szCs w:val="20"/>
          <w:lang w:eastAsia="es-CL"/>
        </w:rPr>
        <w:drawing>
          <wp:inline distT="0" distB="0" distL="0" distR="0" wp14:anchorId="685F73F0" wp14:editId="78507E32">
            <wp:extent cx="6242405" cy="2033625"/>
            <wp:effectExtent l="0" t="0" r="6350"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78645" cy="2045431"/>
                    </a:xfrm>
                    <a:prstGeom prst="rect">
                      <a:avLst/>
                    </a:prstGeom>
                    <a:noFill/>
                  </pic:spPr>
                </pic:pic>
              </a:graphicData>
            </a:graphic>
          </wp:inline>
        </w:drawing>
      </w:r>
    </w:p>
    <w:p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rsidR="00FB3D8B" w:rsidRDefault="00FB3D8B" w:rsidP="00E0320F">
      <w:pPr>
        <w:tabs>
          <w:tab w:val="left" w:pos="0"/>
        </w:tabs>
        <w:spacing w:after="0" w:line="240" w:lineRule="auto"/>
        <w:rPr>
          <w:rFonts w:ascii="Calibri" w:hAnsi="Calibri" w:cs="Arial"/>
          <w:b/>
          <w:sz w:val="20"/>
          <w:szCs w:val="20"/>
        </w:rPr>
      </w:pPr>
    </w:p>
    <w:p w:rsidR="00BE4A8E" w:rsidRPr="007D6C07" w:rsidRDefault="00FB3D8B" w:rsidP="00BE4A8E">
      <w:pPr>
        <w:pStyle w:val="Prrafodelista"/>
        <w:numPr>
          <w:ilvl w:val="0"/>
          <w:numId w:val="1"/>
        </w:numPr>
        <w:tabs>
          <w:tab w:val="left" w:pos="0"/>
        </w:tabs>
        <w:ind w:left="0"/>
        <w:rPr>
          <w:b/>
          <w:color w:val="FF0000"/>
        </w:rPr>
      </w:pPr>
      <w:r w:rsidRPr="00C44D28">
        <w:rPr>
          <w:b/>
          <w:color w:val="000000" w:themeColor="text1"/>
        </w:rPr>
        <w:t>Evolución Mensual ingresos brutos del juego o win, valores reales (UF): Año 201</w:t>
      </w:r>
      <w:r w:rsidR="00790E9F">
        <w:rPr>
          <w:b/>
          <w:color w:val="000000" w:themeColor="text1"/>
        </w:rPr>
        <w:t>8</w:t>
      </w:r>
      <w:r w:rsidRPr="00C44D28">
        <w:rPr>
          <w:b/>
          <w:color w:val="000000" w:themeColor="text1"/>
        </w:rPr>
        <w:t>-201</w:t>
      </w:r>
      <w:r w:rsidR="00C90A65" w:rsidRPr="00C44D28">
        <w:rPr>
          <w:b/>
          <w:color w:val="000000" w:themeColor="text1"/>
        </w:rPr>
        <w:t>9</w:t>
      </w:r>
    </w:p>
    <w:p w:rsidR="00FB3D8B" w:rsidRDefault="00FB3D8B" w:rsidP="007C4E85">
      <w:pPr>
        <w:pStyle w:val="Prrafodelista"/>
        <w:tabs>
          <w:tab w:val="left" w:pos="0"/>
        </w:tabs>
        <w:ind w:left="0"/>
        <w:jc w:val="left"/>
        <w:rPr>
          <w:b/>
        </w:rPr>
      </w:pPr>
    </w:p>
    <w:p w:rsidR="00196290" w:rsidRDefault="00790E9F" w:rsidP="00FB3D8B">
      <w:pPr>
        <w:pStyle w:val="Prrafodelista"/>
        <w:tabs>
          <w:tab w:val="left" w:pos="0"/>
        </w:tabs>
        <w:ind w:left="0"/>
        <w:rPr>
          <w:b/>
        </w:rPr>
      </w:pPr>
      <w:r>
        <w:rPr>
          <w:b/>
          <w:noProof/>
          <w:lang w:eastAsia="es-CL"/>
        </w:rPr>
        <w:drawing>
          <wp:inline distT="0" distB="0" distL="0" distR="0" wp14:anchorId="695E9822" wp14:editId="699C7C87">
            <wp:extent cx="5398564" cy="1543609"/>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4867" cy="1551130"/>
                    </a:xfrm>
                    <a:prstGeom prst="rect">
                      <a:avLst/>
                    </a:prstGeom>
                    <a:noFill/>
                  </pic:spPr>
                </pic:pic>
              </a:graphicData>
            </a:graphic>
          </wp:inline>
        </w:drawing>
      </w:r>
    </w:p>
    <w:p w:rsidR="00885B46" w:rsidRPr="001E2D5F" w:rsidRDefault="00885B46" w:rsidP="00FB3D8B">
      <w:pPr>
        <w:pStyle w:val="Prrafodelista"/>
        <w:tabs>
          <w:tab w:val="left" w:pos="0"/>
        </w:tabs>
        <w:ind w:left="0"/>
        <w:rPr>
          <w:b/>
        </w:rPr>
      </w:pPr>
    </w:p>
    <w:p w:rsidR="003B0C64" w:rsidRPr="004044A8" w:rsidRDefault="00FB3D8B" w:rsidP="00010D78">
      <w:pPr>
        <w:pStyle w:val="Prrafodelista"/>
        <w:numPr>
          <w:ilvl w:val="0"/>
          <w:numId w:val="1"/>
        </w:numPr>
        <w:tabs>
          <w:tab w:val="left" w:pos="0"/>
          <w:tab w:val="left" w:pos="6285"/>
        </w:tabs>
        <w:ind w:left="0"/>
        <w:jc w:val="left"/>
        <w:rPr>
          <w:b/>
          <w:color w:val="000000" w:themeColor="text1"/>
          <w:sz w:val="21"/>
          <w:szCs w:val="21"/>
        </w:rPr>
      </w:pPr>
      <w:r w:rsidRPr="004044A8">
        <w:rPr>
          <w:b/>
          <w:color w:val="000000" w:themeColor="text1"/>
          <w:sz w:val="21"/>
          <w:szCs w:val="21"/>
        </w:rPr>
        <w:t>Ingresos brutos del juego o win en valores nominales ($) y reales (UF): Año 201</w:t>
      </w:r>
      <w:r w:rsidR="00790E9F">
        <w:rPr>
          <w:b/>
          <w:color w:val="000000" w:themeColor="text1"/>
          <w:sz w:val="21"/>
          <w:szCs w:val="21"/>
        </w:rPr>
        <w:t>8</w:t>
      </w:r>
      <w:r w:rsidRPr="004044A8">
        <w:rPr>
          <w:b/>
          <w:color w:val="000000" w:themeColor="text1"/>
          <w:sz w:val="21"/>
          <w:szCs w:val="21"/>
        </w:rPr>
        <w:t>-201</w:t>
      </w:r>
      <w:r w:rsidR="00172CAF" w:rsidRPr="004044A8">
        <w:rPr>
          <w:b/>
          <w:color w:val="000000" w:themeColor="text1"/>
          <w:sz w:val="21"/>
          <w:szCs w:val="21"/>
        </w:rPr>
        <w:t>9</w:t>
      </w:r>
    </w:p>
    <w:tbl>
      <w:tblPr>
        <w:tblW w:w="0" w:type="auto"/>
        <w:jc w:val="center"/>
        <w:tblLayout w:type="fixed"/>
        <w:tblCellMar>
          <w:left w:w="70" w:type="dxa"/>
          <w:right w:w="70" w:type="dxa"/>
        </w:tblCellMar>
        <w:tblLook w:val="04A0" w:firstRow="1" w:lastRow="0" w:firstColumn="1" w:lastColumn="0" w:noHBand="0" w:noVBand="1"/>
      </w:tblPr>
      <w:tblGrid>
        <w:gridCol w:w="1030"/>
        <w:gridCol w:w="535"/>
        <w:gridCol w:w="703"/>
        <w:gridCol w:w="709"/>
        <w:gridCol w:w="851"/>
        <w:gridCol w:w="708"/>
        <w:gridCol w:w="749"/>
        <w:gridCol w:w="524"/>
        <w:gridCol w:w="535"/>
        <w:gridCol w:w="535"/>
        <w:gridCol w:w="535"/>
        <w:gridCol w:w="535"/>
        <w:gridCol w:w="545"/>
      </w:tblGrid>
      <w:tr w:rsidR="00790E9F" w:rsidRPr="00CA6263" w:rsidTr="004432D4">
        <w:trPr>
          <w:trHeight w:val="240"/>
          <w:jc w:val="center"/>
        </w:trPr>
        <w:tc>
          <w:tcPr>
            <w:tcW w:w="1030" w:type="dxa"/>
            <w:tcBorders>
              <w:top w:val="nil"/>
              <w:left w:val="nil"/>
              <w:bottom w:val="nil"/>
              <w:right w:val="nil"/>
            </w:tcBorders>
            <w:shd w:val="clear" w:color="auto" w:fill="auto"/>
            <w:noWrap/>
            <w:vAlign w:val="bottom"/>
            <w:hideMark/>
          </w:tcPr>
          <w:p w:rsidR="00790E9F" w:rsidRPr="00CA6263" w:rsidRDefault="00790E9F" w:rsidP="00790E9F">
            <w:pPr>
              <w:spacing w:after="0" w:line="240" w:lineRule="auto"/>
              <w:jc w:val="left"/>
              <w:rPr>
                <w:rFonts w:ascii="Times New Roman" w:eastAsia="Times New Roman" w:hAnsi="Times New Roman" w:cs="Times New Roman"/>
                <w:sz w:val="24"/>
                <w:szCs w:val="24"/>
                <w:lang w:eastAsia="es-CL"/>
              </w:rPr>
            </w:pPr>
          </w:p>
        </w:tc>
        <w:tc>
          <w:tcPr>
            <w:tcW w:w="535"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703"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709"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851"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749"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524"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535"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545" w:type="dxa"/>
            <w:tcBorders>
              <w:top w:val="single" w:sz="8" w:space="0" w:color="auto"/>
              <w:left w:val="nil"/>
              <w:bottom w:val="single" w:sz="8" w:space="0" w:color="auto"/>
              <w:right w:val="single" w:sz="8" w:space="0" w:color="auto"/>
            </w:tcBorders>
            <w:shd w:val="clear" w:color="000000" w:fill="0F243E"/>
            <w:noWrap/>
            <w:vAlign w:val="bottom"/>
            <w:hideMark/>
          </w:tcPr>
          <w:p w:rsidR="00790E9F" w:rsidRPr="007C4E85" w:rsidRDefault="00790E9F" w:rsidP="00790E9F">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r>
      <w:tr w:rsidR="00DA04BC" w:rsidRPr="00CA6263"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790E9F" w:rsidRPr="00CA6263" w:rsidTr="004432D4">
        <w:trPr>
          <w:trHeight w:val="55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rsidR="00790E9F" w:rsidRPr="006E3960" w:rsidRDefault="00790E9F" w:rsidP="00790E9F">
            <w:pPr>
              <w:spacing w:line="240" w:lineRule="auto"/>
              <w:jc w:val="left"/>
              <w:rPr>
                <w:rFonts w:ascii="Calibri" w:hAnsi="Calibri"/>
                <w:color w:val="000000"/>
                <w:sz w:val="10"/>
                <w:szCs w:val="10"/>
              </w:rPr>
            </w:pPr>
            <w:proofErr w:type="gramStart"/>
            <w:r>
              <w:rPr>
                <w:rFonts w:ascii="Calibri" w:hAnsi="Calibri" w:cs="Calibri"/>
                <w:color w:val="000000"/>
                <w:sz w:val="12"/>
                <w:szCs w:val="12"/>
              </w:rPr>
              <w:t>Win  Enero</w:t>
            </w:r>
            <w:proofErr w:type="gramEnd"/>
            <w:r>
              <w:rPr>
                <w:rFonts w:ascii="Calibri" w:hAnsi="Calibri" w:cs="Calibri"/>
                <w:color w:val="000000"/>
                <w:sz w:val="12"/>
                <w:szCs w:val="12"/>
              </w:rPr>
              <w:t xml:space="preserve"> 2018-Diciembre 2018 ($ millones)</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15.036 </w:t>
            </w:r>
          </w:p>
        </w:tc>
        <w:tc>
          <w:tcPr>
            <w:tcW w:w="703"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15.907 </w:t>
            </w:r>
          </w:p>
        </w:tc>
        <w:tc>
          <w:tcPr>
            <w:tcW w:w="709"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12.762 </w:t>
            </w:r>
          </w:p>
        </w:tc>
        <w:tc>
          <w:tcPr>
            <w:tcW w:w="851"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11.288 </w:t>
            </w:r>
          </w:p>
        </w:tc>
        <w:tc>
          <w:tcPr>
            <w:tcW w:w="708"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11.542 </w:t>
            </w:r>
          </w:p>
        </w:tc>
        <w:tc>
          <w:tcPr>
            <w:tcW w:w="749"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11.052 </w:t>
            </w:r>
          </w:p>
        </w:tc>
        <w:tc>
          <w:tcPr>
            <w:tcW w:w="524"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12.831 </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11.266 </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11.945 </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10.479 </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10.995 </w:t>
            </w:r>
          </w:p>
        </w:tc>
        <w:tc>
          <w:tcPr>
            <w:tcW w:w="545"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11.122 </w:t>
            </w:r>
          </w:p>
        </w:tc>
      </w:tr>
      <w:tr w:rsidR="00790E9F" w:rsidRPr="00CA6263"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rsidR="00790E9F" w:rsidRPr="006E3960" w:rsidRDefault="00790E9F" w:rsidP="00790E9F">
            <w:pPr>
              <w:jc w:val="left"/>
              <w:rPr>
                <w:rFonts w:ascii="Calibri" w:hAnsi="Calibri"/>
                <w:color w:val="000000"/>
                <w:sz w:val="10"/>
                <w:szCs w:val="10"/>
              </w:rPr>
            </w:pPr>
            <w:proofErr w:type="gramStart"/>
            <w:r>
              <w:rPr>
                <w:rFonts w:ascii="Calibri" w:hAnsi="Calibri" w:cs="Calibri"/>
                <w:color w:val="000000"/>
                <w:sz w:val="12"/>
                <w:szCs w:val="12"/>
              </w:rPr>
              <w:t>Win  Enero</w:t>
            </w:r>
            <w:proofErr w:type="gramEnd"/>
            <w:r>
              <w:rPr>
                <w:rFonts w:ascii="Calibri" w:hAnsi="Calibri" w:cs="Calibri"/>
                <w:color w:val="000000"/>
                <w:sz w:val="12"/>
                <w:szCs w:val="12"/>
              </w:rPr>
              <w:t xml:space="preserve"> 2019-Diciembre 2019 ($ millones)</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14.212 </w:t>
            </w:r>
          </w:p>
        </w:tc>
        <w:tc>
          <w:tcPr>
            <w:tcW w:w="703"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14.956 </w:t>
            </w:r>
          </w:p>
        </w:tc>
        <w:tc>
          <w:tcPr>
            <w:tcW w:w="709"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12.256 </w:t>
            </w:r>
          </w:p>
        </w:tc>
        <w:tc>
          <w:tcPr>
            <w:tcW w:w="851"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11.227 </w:t>
            </w:r>
          </w:p>
        </w:tc>
        <w:tc>
          <w:tcPr>
            <w:tcW w:w="708"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11.239 </w:t>
            </w:r>
          </w:p>
        </w:tc>
        <w:tc>
          <w:tcPr>
            <w:tcW w:w="749"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10.051 </w:t>
            </w:r>
          </w:p>
        </w:tc>
        <w:tc>
          <w:tcPr>
            <w:tcW w:w="524"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12.055 </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11.505 </w:t>
            </w:r>
          </w:p>
        </w:tc>
        <w:tc>
          <w:tcPr>
            <w:tcW w:w="535" w:type="dxa"/>
            <w:tcBorders>
              <w:top w:val="nil"/>
              <w:left w:val="nil"/>
              <w:bottom w:val="single" w:sz="8" w:space="0" w:color="auto"/>
              <w:right w:val="single" w:sz="8" w:space="0" w:color="auto"/>
            </w:tcBorders>
            <w:shd w:val="clear" w:color="000000" w:fill="DCE6F1"/>
            <w:noWrap/>
            <w:vAlign w:val="bottom"/>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11.164 </w:t>
            </w:r>
          </w:p>
        </w:tc>
        <w:tc>
          <w:tcPr>
            <w:tcW w:w="535" w:type="dxa"/>
            <w:tcBorders>
              <w:top w:val="nil"/>
              <w:left w:val="nil"/>
              <w:bottom w:val="single" w:sz="8" w:space="0" w:color="auto"/>
              <w:right w:val="single" w:sz="8" w:space="0" w:color="auto"/>
            </w:tcBorders>
            <w:shd w:val="clear" w:color="000000" w:fill="DCE6F1"/>
            <w:noWrap/>
            <w:vAlign w:val="bottom"/>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8.137 </w:t>
            </w:r>
          </w:p>
        </w:tc>
        <w:tc>
          <w:tcPr>
            <w:tcW w:w="535" w:type="dxa"/>
            <w:tcBorders>
              <w:top w:val="nil"/>
              <w:left w:val="nil"/>
              <w:bottom w:val="single" w:sz="8" w:space="0" w:color="auto"/>
              <w:right w:val="single" w:sz="8" w:space="0" w:color="auto"/>
            </w:tcBorders>
            <w:shd w:val="clear" w:color="000000" w:fill="DCE6F1"/>
            <w:noWrap/>
            <w:vAlign w:val="bottom"/>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9.549 </w:t>
            </w:r>
          </w:p>
        </w:tc>
        <w:tc>
          <w:tcPr>
            <w:tcW w:w="545" w:type="dxa"/>
            <w:tcBorders>
              <w:top w:val="nil"/>
              <w:left w:val="nil"/>
              <w:bottom w:val="single" w:sz="8" w:space="0" w:color="auto"/>
              <w:right w:val="single" w:sz="8" w:space="0" w:color="auto"/>
            </w:tcBorders>
            <w:shd w:val="clear" w:color="000000" w:fill="DCE6F1"/>
            <w:noWrap/>
            <w:vAlign w:val="bottom"/>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 xml:space="preserve">                        10.548 </w:t>
            </w:r>
          </w:p>
        </w:tc>
      </w:tr>
      <w:tr w:rsidR="00790E9F" w:rsidRPr="00CA6263" w:rsidTr="004432D4">
        <w:trPr>
          <w:trHeight w:val="201"/>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rsidR="00790E9F" w:rsidRPr="006E3960" w:rsidRDefault="00790E9F" w:rsidP="00790E9F">
            <w:pPr>
              <w:jc w:val="left"/>
              <w:rPr>
                <w:rFonts w:ascii="Calibri" w:hAnsi="Calibri"/>
                <w:color w:val="000000"/>
                <w:sz w:val="10"/>
                <w:szCs w:val="10"/>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-5,5%</w:t>
            </w:r>
          </w:p>
        </w:tc>
        <w:tc>
          <w:tcPr>
            <w:tcW w:w="703"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-6,0%</w:t>
            </w:r>
          </w:p>
        </w:tc>
        <w:tc>
          <w:tcPr>
            <w:tcW w:w="709"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-4,0%</w:t>
            </w:r>
          </w:p>
        </w:tc>
        <w:tc>
          <w:tcPr>
            <w:tcW w:w="851"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-0,5%</w:t>
            </w:r>
          </w:p>
        </w:tc>
        <w:tc>
          <w:tcPr>
            <w:tcW w:w="708"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-2,6%</w:t>
            </w:r>
          </w:p>
        </w:tc>
        <w:tc>
          <w:tcPr>
            <w:tcW w:w="749"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-9,1%</w:t>
            </w:r>
          </w:p>
        </w:tc>
        <w:tc>
          <w:tcPr>
            <w:tcW w:w="524"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-6,0%</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2,1%</w:t>
            </w:r>
          </w:p>
        </w:tc>
        <w:tc>
          <w:tcPr>
            <w:tcW w:w="535" w:type="dxa"/>
            <w:tcBorders>
              <w:top w:val="nil"/>
              <w:left w:val="nil"/>
              <w:bottom w:val="single" w:sz="8" w:space="0" w:color="auto"/>
              <w:right w:val="single" w:sz="8" w:space="0" w:color="auto"/>
            </w:tcBorders>
            <w:shd w:val="clear" w:color="000000" w:fill="DCE6F1"/>
            <w:noWrap/>
            <w:vAlign w:val="bottom"/>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-6,5%</w:t>
            </w:r>
          </w:p>
        </w:tc>
        <w:tc>
          <w:tcPr>
            <w:tcW w:w="535" w:type="dxa"/>
            <w:tcBorders>
              <w:top w:val="nil"/>
              <w:left w:val="nil"/>
              <w:bottom w:val="single" w:sz="8" w:space="0" w:color="auto"/>
              <w:right w:val="single" w:sz="8" w:space="0" w:color="auto"/>
            </w:tcBorders>
            <w:shd w:val="clear" w:color="000000" w:fill="DCE6F1"/>
            <w:noWrap/>
            <w:vAlign w:val="bottom"/>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-22,4%</w:t>
            </w:r>
          </w:p>
        </w:tc>
        <w:tc>
          <w:tcPr>
            <w:tcW w:w="535" w:type="dxa"/>
            <w:tcBorders>
              <w:top w:val="nil"/>
              <w:left w:val="nil"/>
              <w:bottom w:val="single" w:sz="8" w:space="0" w:color="auto"/>
              <w:right w:val="single" w:sz="8" w:space="0" w:color="auto"/>
            </w:tcBorders>
            <w:shd w:val="clear" w:color="000000" w:fill="DCE6F1"/>
            <w:noWrap/>
            <w:vAlign w:val="bottom"/>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-13,2%</w:t>
            </w:r>
          </w:p>
        </w:tc>
        <w:tc>
          <w:tcPr>
            <w:tcW w:w="545" w:type="dxa"/>
            <w:tcBorders>
              <w:top w:val="nil"/>
              <w:left w:val="nil"/>
              <w:bottom w:val="single" w:sz="8" w:space="0" w:color="auto"/>
              <w:right w:val="single" w:sz="8" w:space="0" w:color="auto"/>
            </w:tcBorders>
            <w:shd w:val="clear" w:color="000000" w:fill="DCE6F1"/>
            <w:noWrap/>
            <w:vAlign w:val="bottom"/>
          </w:tcPr>
          <w:p w:rsidR="00790E9F" w:rsidRPr="006E3960" w:rsidRDefault="00790E9F" w:rsidP="00790E9F">
            <w:pPr>
              <w:jc w:val="center"/>
              <w:rPr>
                <w:rFonts w:ascii="Calibri" w:hAnsi="Calibri"/>
                <w:color w:val="000000"/>
                <w:sz w:val="10"/>
                <w:szCs w:val="10"/>
              </w:rPr>
            </w:pPr>
            <w:r>
              <w:rPr>
                <w:rFonts w:ascii="Calibri" w:hAnsi="Calibri" w:cs="Calibri"/>
                <w:color w:val="000000"/>
                <w:sz w:val="12"/>
                <w:szCs w:val="12"/>
              </w:rPr>
              <w:t>-5,2%</w:t>
            </w:r>
          </w:p>
        </w:tc>
      </w:tr>
      <w:tr w:rsidR="00DA04BC" w:rsidRPr="00CA6263"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545" w:type="dxa"/>
            <w:tcBorders>
              <w:top w:val="nil"/>
              <w:left w:val="nil"/>
              <w:bottom w:val="single" w:sz="8" w:space="0" w:color="auto"/>
              <w:right w:val="single" w:sz="8" w:space="0" w:color="auto"/>
            </w:tcBorders>
            <w:shd w:val="clear" w:color="000000" w:fill="DCE6F1"/>
            <w:noWrap/>
            <w:vAlign w:val="bottom"/>
            <w:hideMark/>
          </w:tcPr>
          <w:p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C17937">
              <w:rPr>
                <w:rFonts w:ascii="Calibri" w:eastAsia="Times New Roman" w:hAnsi="Calibri" w:cs="Times New Roman"/>
                <w:color w:val="000000"/>
                <w:sz w:val="10"/>
                <w:szCs w:val="12"/>
                <w:lang w:eastAsia="es-CL"/>
              </w:rPr>
              <w:t>6</w:t>
            </w:r>
            <w:r w:rsidR="00DA04BC" w:rsidRPr="00274F17">
              <w:rPr>
                <w:rFonts w:ascii="Calibri" w:eastAsia="Times New Roman" w:hAnsi="Calibri" w:cs="Times New Roman"/>
                <w:color w:val="000000"/>
                <w:sz w:val="10"/>
                <w:szCs w:val="12"/>
                <w:lang w:eastAsia="es-CL"/>
              </w:rPr>
              <w:t>,</w:t>
            </w:r>
            <w:r w:rsidR="00790E9F">
              <w:rPr>
                <w:rFonts w:ascii="Calibri" w:eastAsia="Times New Roman" w:hAnsi="Calibri" w:cs="Times New Roman"/>
                <w:color w:val="000000"/>
                <w:sz w:val="10"/>
                <w:szCs w:val="12"/>
                <w:lang w:eastAsia="es-CL"/>
              </w:rPr>
              <w:t>4</w:t>
            </w:r>
            <w:r w:rsidR="00DA04BC" w:rsidRPr="00274F17">
              <w:rPr>
                <w:rFonts w:ascii="Calibri" w:eastAsia="Times New Roman" w:hAnsi="Calibri" w:cs="Times New Roman"/>
                <w:color w:val="000000"/>
                <w:sz w:val="10"/>
                <w:szCs w:val="12"/>
                <w:lang w:eastAsia="es-CL"/>
              </w:rPr>
              <w:t>%</w:t>
            </w:r>
          </w:p>
        </w:tc>
      </w:tr>
      <w:tr w:rsidR="00DA04BC" w:rsidRPr="00CA6263" w:rsidTr="004432D4">
        <w:trPr>
          <w:trHeight w:val="195"/>
          <w:jc w:val="center"/>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rsidTr="004432D4">
        <w:trPr>
          <w:trHeight w:val="180"/>
          <w:jc w:val="center"/>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790E9F" w:rsidRPr="00CA6263"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rsidR="00790E9F" w:rsidRPr="00790E9F" w:rsidRDefault="00790E9F" w:rsidP="00790E9F">
            <w:pPr>
              <w:spacing w:line="240" w:lineRule="auto"/>
              <w:jc w:val="left"/>
              <w:rPr>
                <w:rFonts w:ascii="Calibri" w:hAnsi="Calibri"/>
                <w:color w:val="000000"/>
                <w:sz w:val="10"/>
                <w:szCs w:val="10"/>
              </w:rPr>
            </w:pPr>
            <w:proofErr w:type="gramStart"/>
            <w:r w:rsidRPr="00790E9F">
              <w:rPr>
                <w:rFonts w:ascii="Calibri" w:hAnsi="Calibri" w:cs="Calibri"/>
                <w:color w:val="000000"/>
                <w:sz w:val="10"/>
                <w:szCs w:val="10"/>
              </w:rPr>
              <w:t>Win  Enero</w:t>
            </w:r>
            <w:proofErr w:type="gramEnd"/>
            <w:r w:rsidRPr="00790E9F">
              <w:rPr>
                <w:rFonts w:ascii="Calibri" w:hAnsi="Calibri" w:cs="Calibri"/>
                <w:color w:val="000000"/>
                <w:sz w:val="10"/>
                <w:szCs w:val="10"/>
              </w:rPr>
              <w:t xml:space="preserve"> 2018-Diciembre 2018 (UF)</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560.528 </w:t>
            </w:r>
          </w:p>
        </w:tc>
        <w:tc>
          <w:tcPr>
            <w:tcW w:w="703"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590.822 </w:t>
            </w:r>
          </w:p>
        </w:tc>
        <w:tc>
          <w:tcPr>
            <w:tcW w:w="709"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472.739 </w:t>
            </w:r>
          </w:p>
        </w:tc>
        <w:tc>
          <w:tcPr>
            <w:tcW w:w="851"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418.006 </w:t>
            </w:r>
          </w:p>
        </w:tc>
        <w:tc>
          <w:tcPr>
            <w:tcW w:w="708"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426.255 </w:t>
            </w:r>
          </w:p>
        </w:tc>
        <w:tc>
          <w:tcPr>
            <w:tcW w:w="749"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406.946 </w:t>
            </w:r>
          </w:p>
        </w:tc>
        <w:tc>
          <w:tcPr>
            <w:tcW w:w="524"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471.689 </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412.859 </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436.614 </w:t>
            </w:r>
          </w:p>
        </w:tc>
        <w:tc>
          <w:tcPr>
            <w:tcW w:w="53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381.994 </w:t>
            </w:r>
          </w:p>
        </w:tc>
        <w:tc>
          <w:tcPr>
            <w:tcW w:w="53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399.330 </w:t>
            </w:r>
          </w:p>
        </w:tc>
        <w:tc>
          <w:tcPr>
            <w:tcW w:w="54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403.472 </w:t>
            </w:r>
          </w:p>
        </w:tc>
      </w:tr>
      <w:tr w:rsidR="00790E9F" w:rsidRPr="00CA6263"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rsidR="00790E9F" w:rsidRPr="00790E9F" w:rsidRDefault="00790E9F" w:rsidP="00790E9F">
            <w:pPr>
              <w:jc w:val="left"/>
              <w:rPr>
                <w:rFonts w:ascii="Calibri" w:hAnsi="Calibri"/>
                <w:color w:val="000000"/>
                <w:sz w:val="10"/>
                <w:szCs w:val="10"/>
              </w:rPr>
            </w:pPr>
            <w:proofErr w:type="gramStart"/>
            <w:r w:rsidRPr="00790E9F">
              <w:rPr>
                <w:rFonts w:ascii="Calibri" w:hAnsi="Calibri" w:cs="Calibri"/>
                <w:color w:val="000000"/>
                <w:sz w:val="10"/>
                <w:szCs w:val="10"/>
              </w:rPr>
              <w:t>Win  Enero</w:t>
            </w:r>
            <w:proofErr w:type="gramEnd"/>
            <w:r w:rsidRPr="00790E9F">
              <w:rPr>
                <w:rFonts w:ascii="Calibri" w:hAnsi="Calibri" w:cs="Calibri"/>
                <w:color w:val="000000"/>
                <w:sz w:val="10"/>
                <w:szCs w:val="10"/>
              </w:rPr>
              <w:t xml:space="preserve"> 2019-Diciembre 2019 (UF)</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515.916 </w:t>
            </w:r>
          </w:p>
        </w:tc>
        <w:tc>
          <w:tcPr>
            <w:tcW w:w="703"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542.720 </w:t>
            </w:r>
          </w:p>
        </w:tc>
        <w:tc>
          <w:tcPr>
            <w:tcW w:w="709"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444.611 </w:t>
            </w:r>
          </w:p>
        </w:tc>
        <w:tc>
          <w:tcPr>
            <w:tcW w:w="851"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405.857 </w:t>
            </w:r>
          </w:p>
        </w:tc>
        <w:tc>
          <w:tcPr>
            <w:tcW w:w="708"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404.769 </w:t>
            </w:r>
          </w:p>
        </w:tc>
        <w:tc>
          <w:tcPr>
            <w:tcW w:w="749"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360.194 </w:t>
            </w:r>
          </w:p>
        </w:tc>
        <w:tc>
          <w:tcPr>
            <w:tcW w:w="524"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431.257 </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410.993 </w:t>
            </w:r>
          </w:p>
        </w:tc>
        <w:tc>
          <w:tcPr>
            <w:tcW w:w="53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398.033 </w:t>
            </w:r>
          </w:p>
        </w:tc>
        <w:tc>
          <w:tcPr>
            <w:tcW w:w="53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289.919 </w:t>
            </w:r>
          </w:p>
        </w:tc>
        <w:tc>
          <w:tcPr>
            <w:tcW w:w="53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338.334 </w:t>
            </w:r>
          </w:p>
        </w:tc>
        <w:tc>
          <w:tcPr>
            <w:tcW w:w="54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 xml:space="preserve">                     372.606 </w:t>
            </w:r>
          </w:p>
        </w:tc>
      </w:tr>
      <w:tr w:rsidR="00790E9F" w:rsidRPr="00CA6263" w:rsidTr="004432D4">
        <w:trPr>
          <w:trHeight w:val="195"/>
          <w:jc w:val="center"/>
        </w:trPr>
        <w:tc>
          <w:tcPr>
            <w:tcW w:w="1030" w:type="dxa"/>
            <w:tcBorders>
              <w:top w:val="nil"/>
              <w:left w:val="single" w:sz="8" w:space="0" w:color="auto"/>
              <w:bottom w:val="single" w:sz="8" w:space="0" w:color="auto"/>
              <w:right w:val="single" w:sz="8" w:space="0" w:color="auto"/>
            </w:tcBorders>
            <w:shd w:val="clear" w:color="000000" w:fill="DCE6F1"/>
            <w:noWrap/>
            <w:vAlign w:val="bottom"/>
            <w:hideMark/>
          </w:tcPr>
          <w:p w:rsidR="00790E9F" w:rsidRPr="00790E9F" w:rsidRDefault="00790E9F" w:rsidP="00790E9F">
            <w:pPr>
              <w:jc w:val="left"/>
              <w:rPr>
                <w:rFonts w:ascii="Calibri" w:hAnsi="Calibri"/>
                <w:color w:val="000000"/>
                <w:sz w:val="10"/>
                <w:szCs w:val="10"/>
              </w:rPr>
            </w:pPr>
            <w:r w:rsidRPr="00790E9F">
              <w:rPr>
                <w:rFonts w:ascii="Calibri" w:hAnsi="Calibri" w:cs="Calibri"/>
                <w:color w:val="000000"/>
                <w:sz w:val="10"/>
                <w:szCs w:val="10"/>
              </w:rPr>
              <w:t xml:space="preserve">Crecimiento Win </w:t>
            </w:r>
            <w:r w:rsidRPr="00790E9F">
              <w:rPr>
                <w:rFonts w:ascii="Calibri" w:hAnsi="Calibri" w:cs="Calibri"/>
                <w:b/>
                <w:bCs/>
                <w:color w:val="000000"/>
                <w:sz w:val="10"/>
                <w:szCs w:val="10"/>
              </w:rPr>
              <w:t>Real</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-8,0%</w:t>
            </w:r>
          </w:p>
        </w:tc>
        <w:tc>
          <w:tcPr>
            <w:tcW w:w="703"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-8,1%</w:t>
            </w:r>
          </w:p>
        </w:tc>
        <w:tc>
          <w:tcPr>
            <w:tcW w:w="709"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-6,0%</w:t>
            </w:r>
          </w:p>
        </w:tc>
        <w:tc>
          <w:tcPr>
            <w:tcW w:w="851"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-2,9%</w:t>
            </w:r>
          </w:p>
        </w:tc>
        <w:tc>
          <w:tcPr>
            <w:tcW w:w="708"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-5,0%</w:t>
            </w:r>
          </w:p>
        </w:tc>
        <w:tc>
          <w:tcPr>
            <w:tcW w:w="749"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-11,5%</w:t>
            </w:r>
          </w:p>
        </w:tc>
        <w:tc>
          <w:tcPr>
            <w:tcW w:w="524"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-8,6%</w:t>
            </w:r>
          </w:p>
        </w:tc>
        <w:tc>
          <w:tcPr>
            <w:tcW w:w="535" w:type="dxa"/>
            <w:tcBorders>
              <w:top w:val="nil"/>
              <w:left w:val="nil"/>
              <w:bottom w:val="single" w:sz="8" w:space="0" w:color="auto"/>
              <w:right w:val="single" w:sz="8" w:space="0" w:color="auto"/>
            </w:tcBorders>
            <w:shd w:val="clear" w:color="000000" w:fill="DCE6F1"/>
            <w:noWrap/>
            <w:vAlign w:val="bottom"/>
            <w:hideMark/>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-0,5%</w:t>
            </w:r>
          </w:p>
        </w:tc>
        <w:tc>
          <w:tcPr>
            <w:tcW w:w="53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-8,8%</w:t>
            </w:r>
          </w:p>
        </w:tc>
        <w:tc>
          <w:tcPr>
            <w:tcW w:w="53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-24,1%</w:t>
            </w:r>
          </w:p>
        </w:tc>
        <w:tc>
          <w:tcPr>
            <w:tcW w:w="53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-15,3%</w:t>
            </w:r>
          </w:p>
        </w:tc>
        <w:tc>
          <w:tcPr>
            <w:tcW w:w="545" w:type="dxa"/>
            <w:tcBorders>
              <w:top w:val="nil"/>
              <w:left w:val="nil"/>
              <w:bottom w:val="single" w:sz="8" w:space="0" w:color="auto"/>
              <w:right w:val="single" w:sz="8" w:space="0" w:color="auto"/>
            </w:tcBorders>
            <w:shd w:val="clear" w:color="000000" w:fill="DCE6F1"/>
            <w:noWrap/>
            <w:vAlign w:val="bottom"/>
          </w:tcPr>
          <w:p w:rsidR="00790E9F" w:rsidRPr="00790E9F" w:rsidRDefault="00790E9F" w:rsidP="00790E9F">
            <w:pPr>
              <w:jc w:val="center"/>
              <w:rPr>
                <w:rFonts w:ascii="Calibri" w:hAnsi="Calibri"/>
                <w:color w:val="000000"/>
                <w:sz w:val="10"/>
                <w:szCs w:val="10"/>
              </w:rPr>
            </w:pPr>
            <w:r w:rsidRPr="00790E9F">
              <w:rPr>
                <w:rFonts w:ascii="Calibri" w:hAnsi="Calibri" w:cs="Calibri"/>
                <w:color w:val="000000"/>
                <w:sz w:val="10"/>
                <w:szCs w:val="10"/>
              </w:rPr>
              <w:t>-7,7%</w:t>
            </w:r>
          </w:p>
        </w:tc>
      </w:tr>
      <w:tr w:rsidR="00DA04BC" w:rsidRPr="00CA6263" w:rsidTr="004432D4">
        <w:trPr>
          <w:trHeight w:val="195"/>
          <w:jc w:val="center"/>
        </w:trPr>
        <w:tc>
          <w:tcPr>
            <w:tcW w:w="7949"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Crecimiento Win Real (Anual)</w:t>
            </w:r>
          </w:p>
        </w:tc>
        <w:tc>
          <w:tcPr>
            <w:tcW w:w="545" w:type="dxa"/>
            <w:tcBorders>
              <w:top w:val="nil"/>
              <w:left w:val="nil"/>
              <w:bottom w:val="single" w:sz="8" w:space="0" w:color="auto"/>
              <w:right w:val="single" w:sz="8" w:space="0" w:color="auto"/>
            </w:tcBorders>
            <w:shd w:val="clear" w:color="000000" w:fill="DCE6F1"/>
            <w:noWrap/>
            <w:vAlign w:val="bottom"/>
            <w:hideMark/>
          </w:tcPr>
          <w:p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C17937">
              <w:rPr>
                <w:rFonts w:ascii="Calibri" w:eastAsia="Times New Roman" w:hAnsi="Calibri" w:cs="Times New Roman"/>
                <w:color w:val="000000"/>
                <w:sz w:val="10"/>
                <w:szCs w:val="12"/>
                <w:lang w:eastAsia="es-CL"/>
              </w:rPr>
              <w:t>8</w:t>
            </w:r>
            <w:r w:rsidRPr="00BD07F3">
              <w:rPr>
                <w:rFonts w:ascii="Calibri" w:eastAsia="Times New Roman" w:hAnsi="Calibri" w:cs="Times New Roman"/>
                <w:color w:val="000000"/>
                <w:sz w:val="10"/>
                <w:szCs w:val="12"/>
                <w:lang w:eastAsia="es-CL"/>
              </w:rPr>
              <w:t>,</w:t>
            </w:r>
            <w:r w:rsidR="00790E9F">
              <w:rPr>
                <w:rFonts w:ascii="Calibri" w:eastAsia="Times New Roman" w:hAnsi="Calibri" w:cs="Times New Roman"/>
                <w:color w:val="000000"/>
                <w:sz w:val="10"/>
                <w:szCs w:val="12"/>
                <w:lang w:eastAsia="es-CL"/>
              </w:rPr>
              <w:t>7</w:t>
            </w:r>
            <w:r w:rsidRPr="00BD07F3">
              <w:rPr>
                <w:rFonts w:ascii="Calibri" w:eastAsia="Times New Roman" w:hAnsi="Calibri" w:cs="Times New Roman"/>
                <w:color w:val="000000"/>
                <w:sz w:val="10"/>
                <w:szCs w:val="12"/>
                <w:lang w:eastAsia="es-CL"/>
              </w:rPr>
              <w:t>%</w:t>
            </w:r>
          </w:p>
        </w:tc>
      </w:tr>
    </w:tbl>
    <w:p w:rsidR="00AF48C7" w:rsidRDefault="00AF48C7" w:rsidP="00FB3D8B">
      <w:pPr>
        <w:pStyle w:val="Prrafodelista"/>
        <w:tabs>
          <w:tab w:val="left" w:pos="0"/>
          <w:tab w:val="left" w:pos="6285"/>
        </w:tabs>
        <w:ind w:left="0"/>
      </w:pPr>
    </w:p>
    <w:p w:rsidR="00C44D28" w:rsidRPr="00E80F2B" w:rsidRDefault="00FB3D8B" w:rsidP="00C44D28">
      <w:pPr>
        <w:pStyle w:val="Prrafodelista"/>
        <w:numPr>
          <w:ilvl w:val="0"/>
          <w:numId w:val="1"/>
        </w:numPr>
        <w:tabs>
          <w:tab w:val="left" w:pos="0"/>
          <w:tab w:val="left" w:pos="6285"/>
        </w:tabs>
        <w:ind w:left="0" w:hanging="426"/>
        <w:jc w:val="left"/>
        <w:rPr>
          <w:b/>
        </w:rPr>
      </w:pPr>
      <w:r w:rsidRPr="00E80F2B">
        <w:rPr>
          <w:b/>
        </w:rPr>
        <w:t xml:space="preserve">Ingresos brutos del juego o win por </w:t>
      </w:r>
      <w:r w:rsidR="00C44D28" w:rsidRPr="00E80F2B">
        <w:rPr>
          <w:b/>
        </w:rPr>
        <w:t>casino de juego</w:t>
      </w:r>
      <w:r w:rsidR="00C44D28">
        <w:rPr>
          <w:b/>
        </w:rPr>
        <w:t xml:space="preserve">: </w:t>
      </w:r>
      <w:r w:rsidR="00790E9F">
        <w:rPr>
          <w:b/>
        </w:rPr>
        <w:t>noviembre</w:t>
      </w:r>
      <w:r w:rsidR="00C44D28">
        <w:rPr>
          <w:b/>
        </w:rPr>
        <w:t xml:space="preserve"> </w:t>
      </w:r>
      <w:r w:rsidR="00790E9F">
        <w:rPr>
          <w:b/>
        </w:rPr>
        <w:t>–</w:t>
      </w:r>
      <w:r w:rsidR="00C44D28">
        <w:rPr>
          <w:b/>
        </w:rPr>
        <w:t xml:space="preserve"> </w:t>
      </w:r>
      <w:r w:rsidR="00790E9F">
        <w:rPr>
          <w:b/>
        </w:rPr>
        <w:t>dicie</w:t>
      </w:r>
      <w:r w:rsidR="00C17937">
        <w:rPr>
          <w:b/>
        </w:rPr>
        <w:t>m</w:t>
      </w:r>
      <w:r w:rsidR="00C44D28">
        <w:rPr>
          <w:b/>
        </w:rPr>
        <w:t>bre</w:t>
      </w:r>
      <w:r w:rsidR="00790E9F">
        <w:rPr>
          <w:b/>
        </w:rPr>
        <w:t xml:space="preserve"> </w:t>
      </w:r>
      <w:r w:rsidR="00C44D28" w:rsidRPr="00E80F2B">
        <w:rPr>
          <w:b/>
        </w:rPr>
        <w:t>201</w:t>
      </w:r>
      <w:r w:rsidR="00C44D28">
        <w:rPr>
          <w:b/>
        </w:rPr>
        <w:t>9</w:t>
      </w:r>
    </w:p>
    <w:p w:rsidR="00196290" w:rsidRDefault="00790E9F" w:rsidP="004044A8">
      <w:pPr>
        <w:pStyle w:val="Prrafodelista"/>
        <w:tabs>
          <w:tab w:val="left" w:pos="0"/>
          <w:tab w:val="left" w:pos="6285"/>
        </w:tabs>
        <w:ind w:left="0"/>
        <w:jc w:val="center"/>
        <w:rPr>
          <w:rFonts w:ascii="Calibri" w:hAnsi="Calibri" w:cs="Arial"/>
          <w:b/>
          <w:sz w:val="20"/>
          <w:szCs w:val="20"/>
        </w:rPr>
      </w:pPr>
      <w:r>
        <w:rPr>
          <w:rFonts w:ascii="Calibri" w:hAnsi="Calibri" w:cs="Arial"/>
          <w:b/>
          <w:noProof/>
          <w:sz w:val="20"/>
          <w:szCs w:val="20"/>
          <w:lang w:eastAsia="es-CL"/>
        </w:rPr>
        <w:drawing>
          <wp:inline distT="0" distB="0" distL="0" distR="0" wp14:anchorId="04165EE7" wp14:editId="0D220EBE">
            <wp:extent cx="4376359" cy="2082800"/>
            <wp:effectExtent l="0" t="0" r="571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9954" cy="2094029"/>
                    </a:xfrm>
                    <a:prstGeom prst="rect">
                      <a:avLst/>
                    </a:prstGeom>
                    <a:noFill/>
                  </pic:spPr>
                </pic:pic>
              </a:graphicData>
            </a:graphic>
          </wp:inline>
        </w:drawing>
      </w:r>
    </w:p>
    <w:p w:rsidR="00D40D1B" w:rsidRDefault="00D40D1B" w:rsidP="00D40D1B">
      <w:pPr>
        <w:pStyle w:val="Prrafodelista"/>
        <w:tabs>
          <w:tab w:val="left" w:pos="0"/>
          <w:tab w:val="left" w:pos="6285"/>
        </w:tabs>
        <w:ind w:left="0"/>
        <w:rPr>
          <w:rFonts w:ascii="Calibri" w:hAnsi="Calibri" w:cs="Arial"/>
          <w:b/>
          <w:sz w:val="20"/>
          <w:szCs w:val="20"/>
        </w:rPr>
      </w:pPr>
    </w:p>
    <w:p w:rsidR="00D40D1B" w:rsidRDefault="00D40D1B" w:rsidP="00D40D1B">
      <w:pPr>
        <w:pStyle w:val="Piedepgina"/>
        <w:tabs>
          <w:tab w:val="clear" w:pos="8504"/>
          <w:tab w:val="left" w:pos="6105"/>
        </w:tabs>
      </w:pPr>
      <w:r>
        <w:t>Unidad de Asuntos Institucionales y Comunicaciones</w:t>
      </w:r>
      <w:r>
        <w:tab/>
      </w:r>
    </w:p>
    <w:p w:rsidR="00D40D1B" w:rsidRDefault="00D40D1B" w:rsidP="00D40D1B">
      <w:pPr>
        <w:pStyle w:val="Piedepgina"/>
      </w:pPr>
      <w:r>
        <w:t>Tel. 2589 3004 -3024 3058/</w:t>
      </w:r>
    </w:p>
    <w:p w:rsidR="00D40D1B" w:rsidRPr="002A5D3D" w:rsidRDefault="00D40D1B" w:rsidP="00D40D1B">
      <w:pPr>
        <w:pStyle w:val="Piedepgina"/>
        <w:rPr>
          <w:b/>
          <w:bCs/>
          <w:u w:val="single"/>
        </w:rPr>
      </w:pPr>
      <w:r>
        <w:t xml:space="preserve">Contacto: Claudia Valladares </w:t>
      </w:r>
      <w:r w:rsidRPr="002A5D3D">
        <w:rPr>
          <w:b/>
          <w:bCs/>
          <w:u w:val="single"/>
        </w:rPr>
        <w:t>cvalladares@scj.gob.cl</w:t>
      </w:r>
      <w:r>
        <w:t xml:space="preserve"> / Desiree Navia </w:t>
      </w:r>
      <w:r w:rsidRPr="002A5D3D">
        <w:rPr>
          <w:b/>
          <w:bCs/>
          <w:u w:val="single"/>
        </w:rPr>
        <w:t>dnavia@scj.gob.cl</w:t>
      </w:r>
    </w:p>
    <w:p w:rsidR="00D40D1B" w:rsidRDefault="00D40D1B" w:rsidP="00D40D1B">
      <w:pPr>
        <w:pStyle w:val="Prrafodelista"/>
        <w:tabs>
          <w:tab w:val="left" w:pos="0"/>
          <w:tab w:val="left" w:pos="6285"/>
        </w:tabs>
        <w:ind w:left="0"/>
        <w:rPr>
          <w:rFonts w:ascii="Calibri" w:hAnsi="Calibri" w:cs="Arial"/>
          <w:b/>
          <w:sz w:val="20"/>
          <w:szCs w:val="20"/>
        </w:rPr>
      </w:pPr>
      <w:bookmarkStart w:id="1" w:name="_GoBack"/>
      <w:bookmarkEnd w:id="1"/>
    </w:p>
    <w:sectPr w:rsidR="00D40D1B" w:rsidSect="00D40D1B">
      <w:headerReference w:type="default" r:id="rId21"/>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B23" w:rsidRDefault="002F4B23" w:rsidP="00FD382C">
      <w:r>
        <w:separator/>
      </w:r>
    </w:p>
  </w:endnote>
  <w:endnote w:type="continuationSeparator" w:id="0">
    <w:p w:rsidR="002F4B23" w:rsidRDefault="002F4B23"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B23" w:rsidRDefault="002F4B23" w:rsidP="00FD382C">
      <w:r>
        <w:separator/>
      </w:r>
    </w:p>
  </w:footnote>
  <w:footnote w:type="continuationSeparator" w:id="0">
    <w:p w:rsidR="002F4B23" w:rsidRDefault="002F4B23" w:rsidP="00FD382C">
      <w:r>
        <w:continuationSeparator/>
      </w:r>
    </w:p>
  </w:footnote>
  <w:footnote w:id="1">
    <w:p w:rsidR="002F4B23" w:rsidRPr="0004531A" w:rsidRDefault="002F4B23"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rsidR="002F4B23" w:rsidRDefault="002F4B23"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diciembre en los años 2018 y 2019.</w:t>
      </w:r>
    </w:p>
  </w:footnote>
  <w:footnote w:id="3">
    <w:p w:rsidR="002F4B23" w:rsidRDefault="002F4B23" w:rsidP="00A1369B">
      <w:pPr>
        <w:pStyle w:val="Textonotapie"/>
      </w:pPr>
      <w:r>
        <w:rPr>
          <w:rStyle w:val="Refdenotaalpie"/>
        </w:rPr>
        <w:footnoteRef/>
      </w:r>
      <w:r>
        <w:t xml:space="preserve"> </w:t>
      </w:r>
      <w:r>
        <w:rPr>
          <w:lang w:val="es-ES"/>
        </w:rPr>
        <w:t>Corresponde al crecimiento de los ingresos brutos acumulados, considerando el periodo enero de 2019- diciembre de 2019, y se comparan con los ingresos acumulados del periodo enero de 2018 – diciembre de 2018, corregido por la UF del último día del mes.</w:t>
      </w:r>
    </w:p>
  </w:footnote>
  <w:footnote w:id="4">
    <w:p w:rsidR="002F4B23" w:rsidRPr="00FD382C" w:rsidRDefault="002F4B23"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 diciembre en los años 2018-2019.</w:t>
      </w:r>
    </w:p>
  </w:footnote>
  <w:footnote w:id="5">
    <w:p w:rsidR="002F4B23" w:rsidRPr="00D42C6C" w:rsidRDefault="002F4B23"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6">
    <w:p w:rsidR="002F4B23" w:rsidRPr="00FD382C" w:rsidRDefault="002F4B23"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enero de 2019 a diciembre de 2019, y se comparan con los ingresos acumulados de enero de 2018 a diciembre de 2018, corregido por la UF del último día del mes.</w:t>
      </w:r>
    </w:p>
  </w:footnote>
  <w:footnote w:id="7">
    <w:p w:rsidR="002F4B23" w:rsidRPr="0004531A" w:rsidRDefault="002F4B23"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8">
    <w:p w:rsidR="002F4B23" w:rsidRDefault="002F4B23">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23" w:rsidRDefault="002F4B23"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3" name="Imagen 3"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4B23" w:rsidRPr="00FD382C" w:rsidRDefault="002F4B23" w:rsidP="009858E3">
    <w:pPr>
      <w:pStyle w:val="Encabezado"/>
      <w:pBdr>
        <w:bottom w:val="single" w:sz="4" w:space="1" w:color="auto"/>
      </w:pBdr>
      <w:jc w:val="right"/>
      <w:rPr>
        <w:b/>
      </w:rPr>
    </w:pPr>
    <w:r w:rsidRPr="00FD382C">
      <w:rPr>
        <w:b/>
      </w:rPr>
      <w:t>COMUNICADO DE PRENSA</w:t>
    </w:r>
  </w:p>
  <w:p w:rsidR="002F4B23" w:rsidRDefault="002F4B23" w:rsidP="009858E3">
    <w:pPr>
      <w:pStyle w:val="Encabezado"/>
      <w:pBdr>
        <w:bottom w:val="single" w:sz="4" w:space="1" w:color="auto"/>
      </w:pBdr>
      <w:rPr>
        <w:b/>
      </w:rPr>
    </w:pPr>
    <w:r w:rsidRPr="00FD382C">
      <w:rPr>
        <w:b/>
      </w:rPr>
      <w:tab/>
    </w:r>
    <w:r w:rsidRPr="00FD382C">
      <w:rPr>
        <w:b/>
      </w:rPr>
      <w:tab/>
    </w:r>
    <w:r>
      <w:rPr>
        <w:b/>
      </w:rPr>
      <w:t>Jueves 23 de enero de 2020</w:t>
    </w:r>
  </w:p>
  <w:p w:rsidR="002F4B23" w:rsidRPr="00FD382C" w:rsidRDefault="002F4B23"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0694C"/>
    <w:rsid w:val="00010609"/>
    <w:rsid w:val="00010D78"/>
    <w:rsid w:val="000249BB"/>
    <w:rsid w:val="0003225F"/>
    <w:rsid w:val="0004531A"/>
    <w:rsid w:val="0005196B"/>
    <w:rsid w:val="00053038"/>
    <w:rsid w:val="0005531F"/>
    <w:rsid w:val="00060DE8"/>
    <w:rsid w:val="00066507"/>
    <w:rsid w:val="00067327"/>
    <w:rsid w:val="00070A8B"/>
    <w:rsid w:val="00070FBD"/>
    <w:rsid w:val="00072032"/>
    <w:rsid w:val="00082A4E"/>
    <w:rsid w:val="00083908"/>
    <w:rsid w:val="00084B20"/>
    <w:rsid w:val="000A4502"/>
    <w:rsid w:val="000A7117"/>
    <w:rsid w:val="000B159F"/>
    <w:rsid w:val="000B22E7"/>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65A30"/>
    <w:rsid w:val="00271B88"/>
    <w:rsid w:val="00274F17"/>
    <w:rsid w:val="0027633E"/>
    <w:rsid w:val="002814E3"/>
    <w:rsid w:val="00286C33"/>
    <w:rsid w:val="00290D7F"/>
    <w:rsid w:val="00292769"/>
    <w:rsid w:val="002A5D3D"/>
    <w:rsid w:val="002B2B3F"/>
    <w:rsid w:val="002B3DB3"/>
    <w:rsid w:val="002B5C3A"/>
    <w:rsid w:val="002C1871"/>
    <w:rsid w:val="002C1CD9"/>
    <w:rsid w:val="002C3586"/>
    <w:rsid w:val="002C3DCB"/>
    <w:rsid w:val="002C5E7D"/>
    <w:rsid w:val="002D141C"/>
    <w:rsid w:val="002D5B47"/>
    <w:rsid w:val="002E1437"/>
    <w:rsid w:val="002E1BFC"/>
    <w:rsid w:val="002E651C"/>
    <w:rsid w:val="002F4B23"/>
    <w:rsid w:val="00302ACB"/>
    <w:rsid w:val="00303081"/>
    <w:rsid w:val="00303230"/>
    <w:rsid w:val="0031661E"/>
    <w:rsid w:val="00330916"/>
    <w:rsid w:val="00330D14"/>
    <w:rsid w:val="00332200"/>
    <w:rsid w:val="00332EC7"/>
    <w:rsid w:val="003361BC"/>
    <w:rsid w:val="003404EF"/>
    <w:rsid w:val="00341575"/>
    <w:rsid w:val="0035639B"/>
    <w:rsid w:val="00356EEF"/>
    <w:rsid w:val="00357728"/>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0FF3"/>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4A8"/>
    <w:rsid w:val="00404CEA"/>
    <w:rsid w:val="0041118A"/>
    <w:rsid w:val="00411580"/>
    <w:rsid w:val="00414497"/>
    <w:rsid w:val="00426C10"/>
    <w:rsid w:val="00427615"/>
    <w:rsid w:val="004360E3"/>
    <w:rsid w:val="004432D4"/>
    <w:rsid w:val="00457BCD"/>
    <w:rsid w:val="00462DA6"/>
    <w:rsid w:val="0046773A"/>
    <w:rsid w:val="00474076"/>
    <w:rsid w:val="004768DF"/>
    <w:rsid w:val="00480047"/>
    <w:rsid w:val="004830B6"/>
    <w:rsid w:val="004843DA"/>
    <w:rsid w:val="00484BF8"/>
    <w:rsid w:val="00491666"/>
    <w:rsid w:val="004942E1"/>
    <w:rsid w:val="004B3B37"/>
    <w:rsid w:val="004C761E"/>
    <w:rsid w:val="004D351E"/>
    <w:rsid w:val="004D3E92"/>
    <w:rsid w:val="004D3F62"/>
    <w:rsid w:val="004D4205"/>
    <w:rsid w:val="004D618C"/>
    <w:rsid w:val="004E6E42"/>
    <w:rsid w:val="004F4336"/>
    <w:rsid w:val="004F66A2"/>
    <w:rsid w:val="004F674A"/>
    <w:rsid w:val="005009A7"/>
    <w:rsid w:val="00501B39"/>
    <w:rsid w:val="00513F0E"/>
    <w:rsid w:val="005304CD"/>
    <w:rsid w:val="005305FC"/>
    <w:rsid w:val="00536AD9"/>
    <w:rsid w:val="00552EA6"/>
    <w:rsid w:val="00553922"/>
    <w:rsid w:val="00556C03"/>
    <w:rsid w:val="005609FB"/>
    <w:rsid w:val="00563030"/>
    <w:rsid w:val="00564571"/>
    <w:rsid w:val="00565C48"/>
    <w:rsid w:val="00570AD6"/>
    <w:rsid w:val="005744B8"/>
    <w:rsid w:val="00574797"/>
    <w:rsid w:val="005811CF"/>
    <w:rsid w:val="00584E2D"/>
    <w:rsid w:val="00587B0F"/>
    <w:rsid w:val="005B01F2"/>
    <w:rsid w:val="005B1CCB"/>
    <w:rsid w:val="005B279E"/>
    <w:rsid w:val="005B3F73"/>
    <w:rsid w:val="005C3AFE"/>
    <w:rsid w:val="005D4916"/>
    <w:rsid w:val="005F17F7"/>
    <w:rsid w:val="005F2731"/>
    <w:rsid w:val="006022DC"/>
    <w:rsid w:val="00603448"/>
    <w:rsid w:val="00611B01"/>
    <w:rsid w:val="006124CA"/>
    <w:rsid w:val="00616099"/>
    <w:rsid w:val="00620E4A"/>
    <w:rsid w:val="00625D82"/>
    <w:rsid w:val="006343C2"/>
    <w:rsid w:val="00634709"/>
    <w:rsid w:val="00642CAD"/>
    <w:rsid w:val="00643409"/>
    <w:rsid w:val="00650542"/>
    <w:rsid w:val="0065648C"/>
    <w:rsid w:val="00670528"/>
    <w:rsid w:val="00670C50"/>
    <w:rsid w:val="006717A5"/>
    <w:rsid w:val="006741BF"/>
    <w:rsid w:val="006756C9"/>
    <w:rsid w:val="006769E2"/>
    <w:rsid w:val="00692B82"/>
    <w:rsid w:val="00696BDD"/>
    <w:rsid w:val="006A4494"/>
    <w:rsid w:val="006A494D"/>
    <w:rsid w:val="006A7C2D"/>
    <w:rsid w:val="006A7C49"/>
    <w:rsid w:val="006B0280"/>
    <w:rsid w:val="006C2E93"/>
    <w:rsid w:val="006C4C1B"/>
    <w:rsid w:val="006D0D1F"/>
    <w:rsid w:val="006E0442"/>
    <w:rsid w:val="006E2F75"/>
    <w:rsid w:val="006E3960"/>
    <w:rsid w:val="006E4FFE"/>
    <w:rsid w:val="006E6197"/>
    <w:rsid w:val="006F36F7"/>
    <w:rsid w:val="006F449E"/>
    <w:rsid w:val="006F6C40"/>
    <w:rsid w:val="00702836"/>
    <w:rsid w:val="00720BD2"/>
    <w:rsid w:val="0072731F"/>
    <w:rsid w:val="00731F65"/>
    <w:rsid w:val="0073400A"/>
    <w:rsid w:val="0073758F"/>
    <w:rsid w:val="00750625"/>
    <w:rsid w:val="007537E1"/>
    <w:rsid w:val="00756B18"/>
    <w:rsid w:val="00773FDD"/>
    <w:rsid w:val="00774921"/>
    <w:rsid w:val="00790E9F"/>
    <w:rsid w:val="007A2C4B"/>
    <w:rsid w:val="007A3DC5"/>
    <w:rsid w:val="007B3621"/>
    <w:rsid w:val="007B5B90"/>
    <w:rsid w:val="007C4E85"/>
    <w:rsid w:val="007C6AB3"/>
    <w:rsid w:val="007D18AC"/>
    <w:rsid w:val="007D1CD3"/>
    <w:rsid w:val="007D2B56"/>
    <w:rsid w:val="007D6C07"/>
    <w:rsid w:val="007F2158"/>
    <w:rsid w:val="007F3AA1"/>
    <w:rsid w:val="007F6746"/>
    <w:rsid w:val="00801D21"/>
    <w:rsid w:val="00804E4B"/>
    <w:rsid w:val="008062BF"/>
    <w:rsid w:val="008161A3"/>
    <w:rsid w:val="0081667E"/>
    <w:rsid w:val="00821C31"/>
    <w:rsid w:val="00826557"/>
    <w:rsid w:val="00831D0C"/>
    <w:rsid w:val="00834D9E"/>
    <w:rsid w:val="00842039"/>
    <w:rsid w:val="00842993"/>
    <w:rsid w:val="00864D11"/>
    <w:rsid w:val="00871A54"/>
    <w:rsid w:val="00877A61"/>
    <w:rsid w:val="0088217E"/>
    <w:rsid w:val="00884744"/>
    <w:rsid w:val="00885B46"/>
    <w:rsid w:val="0089072C"/>
    <w:rsid w:val="00893FC1"/>
    <w:rsid w:val="00895DCC"/>
    <w:rsid w:val="008A4B8A"/>
    <w:rsid w:val="008B14B4"/>
    <w:rsid w:val="008B6C22"/>
    <w:rsid w:val="008B72D9"/>
    <w:rsid w:val="008C47DE"/>
    <w:rsid w:val="008C51CA"/>
    <w:rsid w:val="008C63FE"/>
    <w:rsid w:val="008E2767"/>
    <w:rsid w:val="008E3F28"/>
    <w:rsid w:val="008E4248"/>
    <w:rsid w:val="00901177"/>
    <w:rsid w:val="0090460C"/>
    <w:rsid w:val="0090700B"/>
    <w:rsid w:val="009070A6"/>
    <w:rsid w:val="009151B9"/>
    <w:rsid w:val="009152F2"/>
    <w:rsid w:val="009169F2"/>
    <w:rsid w:val="009265AF"/>
    <w:rsid w:val="009303C5"/>
    <w:rsid w:val="00936EAE"/>
    <w:rsid w:val="0094407B"/>
    <w:rsid w:val="00946AAC"/>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4049"/>
    <w:rsid w:val="009C6BC2"/>
    <w:rsid w:val="009C7CE2"/>
    <w:rsid w:val="009E0798"/>
    <w:rsid w:val="009E1466"/>
    <w:rsid w:val="009E3CDD"/>
    <w:rsid w:val="009E5593"/>
    <w:rsid w:val="00A03BA6"/>
    <w:rsid w:val="00A0576A"/>
    <w:rsid w:val="00A12283"/>
    <w:rsid w:val="00A1369B"/>
    <w:rsid w:val="00A139E6"/>
    <w:rsid w:val="00A148ED"/>
    <w:rsid w:val="00A14A88"/>
    <w:rsid w:val="00A17581"/>
    <w:rsid w:val="00A22215"/>
    <w:rsid w:val="00A27E18"/>
    <w:rsid w:val="00A32D29"/>
    <w:rsid w:val="00A37DA2"/>
    <w:rsid w:val="00A41280"/>
    <w:rsid w:val="00A51CDD"/>
    <w:rsid w:val="00A541A3"/>
    <w:rsid w:val="00A55386"/>
    <w:rsid w:val="00A63E30"/>
    <w:rsid w:val="00A667EF"/>
    <w:rsid w:val="00A71A63"/>
    <w:rsid w:val="00A729EA"/>
    <w:rsid w:val="00A73100"/>
    <w:rsid w:val="00A74B36"/>
    <w:rsid w:val="00A80DE9"/>
    <w:rsid w:val="00A81680"/>
    <w:rsid w:val="00A82760"/>
    <w:rsid w:val="00A83B60"/>
    <w:rsid w:val="00A84B76"/>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8365F"/>
    <w:rsid w:val="00B93B36"/>
    <w:rsid w:val="00BA3504"/>
    <w:rsid w:val="00BA7A93"/>
    <w:rsid w:val="00BC029B"/>
    <w:rsid w:val="00BC4BB8"/>
    <w:rsid w:val="00BD07F3"/>
    <w:rsid w:val="00BD5041"/>
    <w:rsid w:val="00BD6F02"/>
    <w:rsid w:val="00BE1CDC"/>
    <w:rsid w:val="00BE3DAE"/>
    <w:rsid w:val="00BE4A05"/>
    <w:rsid w:val="00BE4A8E"/>
    <w:rsid w:val="00BF1779"/>
    <w:rsid w:val="00BF71A9"/>
    <w:rsid w:val="00C005EA"/>
    <w:rsid w:val="00C008E8"/>
    <w:rsid w:val="00C01232"/>
    <w:rsid w:val="00C019AE"/>
    <w:rsid w:val="00C01C2F"/>
    <w:rsid w:val="00C04E04"/>
    <w:rsid w:val="00C17937"/>
    <w:rsid w:val="00C2062A"/>
    <w:rsid w:val="00C253AC"/>
    <w:rsid w:val="00C319A7"/>
    <w:rsid w:val="00C36124"/>
    <w:rsid w:val="00C44D28"/>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0D1B"/>
    <w:rsid w:val="00D42C6C"/>
    <w:rsid w:val="00D54C54"/>
    <w:rsid w:val="00D6432E"/>
    <w:rsid w:val="00D72742"/>
    <w:rsid w:val="00D93080"/>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15A41"/>
    <w:rsid w:val="00E2119D"/>
    <w:rsid w:val="00E2370C"/>
    <w:rsid w:val="00E305E8"/>
    <w:rsid w:val="00E36BEB"/>
    <w:rsid w:val="00E43884"/>
    <w:rsid w:val="00E470DA"/>
    <w:rsid w:val="00E57CA1"/>
    <w:rsid w:val="00E660DE"/>
    <w:rsid w:val="00E6618E"/>
    <w:rsid w:val="00E701DB"/>
    <w:rsid w:val="00E71238"/>
    <w:rsid w:val="00E737FC"/>
    <w:rsid w:val="00E76DF5"/>
    <w:rsid w:val="00E76E1B"/>
    <w:rsid w:val="00E8098C"/>
    <w:rsid w:val="00E80D82"/>
    <w:rsid w:val="00E80F2B"/>
    <w:rsid w:val="00E810C5"/>
    <w:rsid w:val="00E810F9"/>
    <w:rsid w:val="00E850D1"/>
    <w:rsid w:val="00E9741E"/>
    <w:rsid w:val="00EA4151"/>
    <w:rsid w:val="00EA48A8"/>
    <w:rsid w:val="00EA493F"/>
    <w:rsid w:val="00EA60AE"/>
    <w:rsid w:val="00EA72CD"/>
    <w:rsid w:val="00EA78D0"/>
    <w:rsid w:val="00EB0B62"/>
    <w:rsid w:val="00EB33ED"/>
    <w:rsid w:val="00EB4FB2"/>
    <w:rsid w:val="00EC0FC2"/>
    <w:rsid w:val="00EC15C7"/>
    <w:rsid w:val="00EC56BB"/>
    <w:rsid w:val="00ED4DB5"/>
    <w:rsid w:val="00ED60A3"/>
    <w:rsid w:val="00EE1D4A"/>
    <w:rsid w:val="00EE3264"/>
    <w:rsid w:val="00EE51F5"/>
    <w:rsid w:val="00EE656D"/>
    <w:rsid w:val="00EF38DA"/>
    <w:rsid w:val="00F033B3"/>
    <w:rsid w:val="00F038FF"/>
    <w:rsid w:val="00F161F8"/>
    <w:rsid w:val="00F21254"/>
    <w:rsid w:val="00F3199D"/>
    <w:rsid w:val="00F3483A"/>
    <w:rsid w:val="00F35AD0"/>
    <w:rsid w:val="00F41C39"/>
    <w:rsid w:val="00F46909"/>
    <w:rsid w:val="00F7324B"/>
    <w:rsid w:val="00F733DC"/>
    <w:rsid w:val="00F73810"/>
    <w:rsid w:val="00F762A7"/>
    <w:rsid w:val="00F764AE"/>
    <w:rsid w:val="00F83B6C"/>
    <w:rsid w:val="00F849F9"/>
    <w:rsid w:val="00F86774"/>
    <w:rsid w:val="00F86F05"/>
    <w:rsid w:val="00F9112E"/>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EF80F"/>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2C"/>
    <w:pPr>
      <w:spacing w:line="276" w:lineRule="auto"/>
      <w:jc w:val="both"/>
    </w:pPr>
  </w:style>
  <w:style w:type="paragraph" w:styleId="Ttulo2">
    <w:name w:val="heading 2"/>
    <w:basedOn w:val="Normal"/>
    <w:next w:val="Normal"/>
    <w:link w:val="Ttulo2Car"/>
    <w:uiPriority w:val="9"/>
    <w:unhideWhenUsed/>
    <w:qFormat/>
    <w:rsid w:val="002A5D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 w:type="character" w:customStyle="1" w:styleId="Ttulo2Car">
    <w:name w:val="Título 2 Car"/>
    <w:basedOn w:val="Fuentedeprrafopredeter"/>
    <w:link w:val="Ttulo2"/>
    <w:uiPriority w:val="9"/>
    <w:rsid w:val="002A5D3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88494958">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314423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E65E-3904-4068-ABDD-3BC5415D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3213</Words>
  <Characters>17674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 Toro</cp:lastModifiedBy>
  <cp:revision>9</cp:revision>
  <cp:lastPrinted>2019-08-27T13:47:00Z</cp:lastPrinted>
  <dcterms:created xsi:type="dcterms:W3CDTF">2020-01-30T19:35:00Z</dcterms:created>
  <dcterms:modified xsi:type="dcterms:W3CDTF">2020-01-30T19:41:00Z</dcterms:modified>
</cp:coreProperties>
</file>