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194A0F4D"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414497">
        <w:rPr>
          <w:sz w:val="28"/>
          <w:szCs w:val="28"/>
        </w:rPr>
        <w:t>9</w:t>
      </w:r>
      <w:r w:rsidR="00990053">
        <w:rPr>
          <w:sz w:val="28"/>
          <w:szCs w:val="28"/>
        </w:rPr>
        <w:t>.</w:t>
      </w:r>
      <w:r w:rsidR="00491666">
        <w:rPr>
          <w:sz w:val="28"/>
          <w:szCs w:val="28"/>
        </w:rPr>
        <w:t>729</w:t>
      </w:r>
      <w:r w:rsidR="00536AD9">
        <w:rPr>
          <w:sz w:val="28"/>
          <w:szCs w:val="28"/>
        </w:rPr>
        <w:t xml:space="preserve"> millones</w:t>
      </w:r>
      <w:r w:rsidR="00231FE9">
        <w:rPr>
          <w:sz w:val="28"/>
          <w:szCs w:val="28"/>
        </w:rPr>
        <w:t xml:space="preserve"> en </w:t>
      </w:r>
      <w:r w:rsidR="00491666">
        <w:rPr>
          <w:sz w:val="28"/>
          <w:szCs w:val="28"/>
        </w:rPr>
        <w:t>noviemb</w:t>
      </w:r>
      <w:r w:rsidR="00414497">
        <w:rPr>
          <w:sz w:val="28"/>
          <w:szCs w:val="28"/>
        </w:rPr>
        <w:t>re</w:t>
      </w:r>
      <w:r w:rsidR="00231FE9">
        <w:rPr>
          <w:sz w:val="28"/>
          <w:szCs w:val="28"/>
        </w:rPr>
        <w:t xml:space="preserve"> de 201</w:t>
      </w:r>
      <w:r w:rsidR="002B2B3F">
        <w:rPr>
          <w:sz w:val="28"/>
          <w:szCs w:val="28"/>
        </w:rPr>
        <w:t>9</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C059FD3" w:rsidR="00975153" w:rsidRDefault="00536AD9" w:rsidP="00B07563">
      <w:pPr>
        <w:tabs>
          <w:tab w:val="left" w:pos="0"/>
        </w:tabs>
        <w:spacing w:after="0" w:line="240" w:lineRule="auto"/>
        <w:rPr>
          <w:rFonts w:cstheme="minorHAnsi"/>
        </w:rPr>
      </w:pPr>
      <w:r w:rsidRPr="000249BB">
        <w:rPr>
          <w:rFonts w:cstheme="minorHAnsi"/>
        </w:rPr>
        <w:t xml:space="preserve">Durante </w:t>
      </w:r>
      <w:r w:rsidR="00491666">
        <w:rPr>
          <w:rFonts w:cstheme="minorHAnsi"/>
        </w:rPr>
        <w:t>noviembre</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w:t>
      </w:r>
      <w:r w:rsidR="001B3FC2" w:rsidRPr="000249BB">
        <w:rPr>
          <w:rStyle w:val="Refdenotaalpie"/>
          <w:rFonts w:cstheme="minorHAnsi"/>
        </w:rPr>
        <w:footnoteReference w:id="1"/>
      </w:r>
      <w:r w:rsidR="001B3FC2" w:rsidRPr="000249BB">
        <w:rPr>
          <w:rFonts w:cstheme="minorHAnsi"/>
        </w:rPr>
        <w:t xml:space="preserve"> </w:t>
      </w:r>
      <w:r w:rsidRPr="000249BB">
        <w:rPr>
          <w:rFonts w:cstheme="minorHAnsi"/>
        </w:rPr>
        <w:t xml:space="preserve"> autorizados por la Ley N° 19.995 -sin contar a los siete casinos de concesión municipal- aportaron un total de $</w:t>
      </w:r>
      <w:r w:rsidR="00C60FC7">
        <w:rPr>
          <w:rFonts w:cstheme="minorHAnsi"/>
        </w:rPr>
        <w:t xml:space="preserve"> </w:t>
      </w:r>
      <w:r w:rsidR="00414497">
        <w:rPr>
          <w:rFonts w:cstheme="minorHAnsi"/>
        </w:rPr>
        <w:t>9</w:t>
      </w:r>
      <w:r w:rsidRPr="000249BB">
        <w:rPr>
          <w:rFonts w:cstheme="minorHAnsi"/>
        </w:rPr>
        <w:t>.</w:t>
      </w:r>
      <w:r w:rsidR="00491666">
        <w:rPr>
          <w:rFonts w:cstheme="minorHAnsi"/>
        </w:rPr>
        <w:t>729</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491666">
        <w:rPr>
          <w:rFonts w:cstheme="minorHAnsi"/>
        </w:rPr>
        <w:t>4</w:t>
      </w:r>
      <w:r w:rsidR="00010D78">
        <w:rPr>
          <w:rFonts w:cstheme="minorHAnsi"/>
        </w:rPr>
        <w:t>.</w:t>
      </w:r>
      <w:r w:rsidR="00491666">
        <w:rPr>
          <w:rFonts w:cstheme="minorHAnsi"/>
        </w:rPr>
        <w:t>195</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2"/>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491666">
        <w:rPr>
          <w:rFonts w:cstheme="minorHAnsi"/>
        </w:rPr>
        <w:t>4</w:t>
      </w:r>
      <w:r w:rsidR="00010D78">
        <w:rPr>
          <w:rFonts w:cstheme="minorHAnsi"/>
        </w:rPr>
        <w:t>.</w:t>
      </w:r>
      <w:r w:rsidR="00491666">
        <w:rPr>
          <w:rFonts w:cstheme="minorHAnsi"/>
        </w:rPr>
        <w:t>121</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491666">
        <w:rPr>
          <w:rFonts w:cstheme="minorHAnsi"/>
        </w:rPr>
        <w:t>414</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1B606C4D"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491666">
        <w:rPr>
          <w:rFonts w:cstheme="minorHAnsi"/>
        </w:rPr>
        <w:t>febrero</w:t>
      </w:r>
      <w:r w:rsidR="00BA3504">
        <w:rPr>
          <w:rFonts w:cstheme="minorHAnsi"/>
        </w:rPr>
        <w:t xml:space="preserve"> de 20</w:t>
      </w:r>
      <w:r w:rsidR="00414497">
        <w:rPr>
          <w:rFonts w:cstheme="minorHAnsi"/>
        </w:rPr>
        <w:t>20.</w:t>
      </w:r>
    </w:p>
    <w:p w14:paraId="4F4C1799" w14:textId="77777777" w:rsidR="00EA48A8" w:rsidRPr="000249BB" w:rsidRDefault="00EA48A8" w:rsidP="00B07563">
      <w:pPr>
        <w:tabs>
          <w:tab w:val="left" w:pos="0"/>
        </w:tabs>
        <w:spacing w:after="0" w:line="240" w:lineRule="auto"/>
        <w:rPr>
          <w:rFonts w:cstheme="minorHAnsi"/>
        </w:rPr>
      </w:pPr>
    </w:p>
    <w:p w14:paraId="46B6ECF2" w14:textId="6B52170F"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491666">
        <w:rPr>
          <w:rFonts w:cstheme="minorHAnsi"/>
        </w:rPr>
        <w:t>65</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50</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491666">
        <w:rPr>
          <w:rFonts w:cstheme="minorHAnsi"/>
        </w:rPr>
        <w:t>50</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491666">
        <w:rPr>
          <w:rFonts w:cstheme="minorHAnsi"/>
        </w:rPr>
        <w:t>95</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491666">
        <w:rPr>
          <w:rFonts w:cstheme="minorHAnsi"/>
        </w:rPr>
        <w:t>71</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23D9A25E"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00491666">
        <w:rPr>
          <w:rFonts w:cstheme="minorHAnsi"/>
        </w:rPr>
        <w:t>1.144</w:t>
      </w:r>
      <w:r w:rsidRPr="000249BB">
        <w:rPr>
          <w:rFonts w:cstheme="minorHAnsi"/>
        </w:rPr>
        <w:t xml:space="preserve"> millones, de los cuales $</w:t>
      </w:r>
      <w:r w:rsidR="007D18AC">
        <w:rPr>
          <w:rFonts w:cstheme="minorHAnsi"/>
        </w:rPr>
        <w:t xml:space="preserve"> </w:t>
      </w:r>
      <w:r w:rsidR="00491666">
        <w:rPr>
          <w:rFonts w:cstheme="minorHAnsi"/>
        </w:rPr>
        <w:t>247</w:t>
      </w:r>
      <w:r w:rsidRPr="000249BB">
        <w:rPr>
          <w:rFonts w:cstheme="minorHAnsi"/>
        </w:rPr>
        <w:t xml:space="preserve"> millones se destinan al Gobierno Regional, en tanto que $</w:t>
      </w:r>
      <w:r w:rsidR="00C60FC7">
        <w:rPr>
          <w:rFonts w:cstheme="minorHAnsi"/>
        </w:rPr>
        <w:t xml:space="preserve"> </w:t>
      </w:r>
      <w:r w:rsidR="00491666">
        <w:rPr>
          <w:rFonts w:cstheme="minorHAnsi"/>
        </w:rPr>
        <w:t>80</w:t>
      </w:r>
      <w:r w:rsidRPr="000249BB">
        <w:rPr>
          <w:rFonts w:cstheme="minorHAnsi"/>
        </w:rPr>
        <w:t xml:space="preserve"> millones y $</w:t>
      </w:r>
      <w:r w:rsidR="00C60FC7">
        <w:rPr>
          <w:rFonts w:cstheme="minorHAnsi"/>
        </w:rPr>
        <w:t xml:space="preserve"> 1</w:t>
      </w:r>
      <w:r w:rsidR="00491666">
        <w:rPr>
          <w:rFonts w:cstheme="minorHAnsi"/>
        </w:rPr>
        <w:t>67</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491666">
        <w:rPr>
          <w:rFonts w:cstheme="minorHAnsi"/>
        </w:rPr>
        <w:t>57</w:t>
      </w:r>
      <w:r w:rsidRPr="000249BB">
        <w:rPr>
          <w:rFonts w:cstheme="minorHAnsi"/>
        </w:rPr>
        <w:t xml:space="preserve"> millones de por concepto de IVA y $</w:t>
      </w:r>
      <w:r w:rsidR="00C60FC7">
        <w:rPr>
          <w:rFonts w:cstheme="minorHAnsi"/>
        </w:rPr>
        <w:t xml:space="preserve"> </w:t>
      </w:r>
      <w:r w:rsidR="00A74B36">
        <w:rPr>
          <w:rFonts w:cstheme="minorHAnsi"/>
        </w:rPr>
        <w:t>5</w:t>
      </w:r>
      <w:r w:rsidR="00491666">
        <w:rPr>
          <w:rFonts w:cstheme="minorHAnsi"/>
        </w:rPr>
        <w:t>7</w:t>
      </w:r>
      <w:r w:rsidRPr="000249BB">
        <w:rPr>
          <w:rFonts w:cstheme="minorHAnsi"/>
        </w:rPr>
        <w:t xml:space="preserve"> millones por concepto de entrada. A su vez, Enjoy Antofagasta generó aportes de $</w:t>
      </w:r>
      <w:r w:rsidR="00C60FC7">
        <w:rPr>
          <w:rFonts w:cstheme="minorHAnsi"/>
        </w:rPr>
        <w:t xml:space="preserve"> </w:t>
      </w:r>
      <w:r w:rsidR="00491666">
        <w:rPr>
          <w:rFonts w:cstheme="minorHAnsi"/>
        </w:rPr>
        <w:t>323</w:t>
      </w:r>
      <w:r w:rsidRPr="000249BB">
        <w:rPr>
          <w:rFonts w:cstheme="minorHAnsi"/>
        </w:rPr>
        <w:t xml:space="preserve"> millones por concepto de IVA y $</w:t>
      </w:r>
      <w:r w:rsidR="00C60FC7">
        <w:rPr>
          <w:rFonts w:cstheme="minorHAnsi"/>
        </w:rPr>
        <w:t xml:space="preserve"> </w:t>
      </w:r>
      <w:r w:rsidR="00491666">
        <w:rPr>
          <w:rFonts w:cstheme="minorHAnsi"/>
        </w:rPr>
        <w:t>113</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8BC4679"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A74B36">
        <w:rPr>
          <w:rFonts w:cstheme="minorHAnsi"/>
        </w:rPr>
        <w:t>3</w:t>
      </w:r>
      <w:r w:rsidR="00491666">
        <w:rPr>
          <w:rFonts w:cstheme="minorHAnsi"/>
        </w:rPr>
        <w:t>67</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74</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491666">
        <w:rPr>
          <w:rFonts w:cstheme="minorHAnsi"/>
        </w:rPr>
        <w:t>74</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491666">
        <w:rPr>
          <w:rFonts w:cstheme="minorHAnsi"/>
        </w:rPr>
        <w:t>53</w:t>
      </w:r>
      <w:r w:rsidRPr="000249BB">
        <w:rPr>
          <w:rFonts w:cstheme="minorHAnsi"/>
        </w:rPr>
        <w:t xml:space="preserve"> millones por concepto de IVA y $</w:t>
      </w:r>
      <w:r w:rsidR="00C60FC7">
        <w:rPr>
          <w:rFonts w:cstheme="minorHAnsi"/>
        </w:rPr>
        <w:t xml:space="preserve"> </w:t>
      </w:r>
      <w:r w:rsidR="00414497">
        <w:rPr>
          <w:rFonts w:cstheme="minorHAnsi"/>
        </w:rPr>
        <w:t>6</w:t>
      </w:r>
      <w:r w:rsidR="00491666">
        <w:rPr>
          <w:rFonts w:cstheme="minorHAnsi"/>
        </w:rPr>
        <w:t>7</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65F20A3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w:t>
      </w:r>
      <w:r w:rsidR="00491666">
        <w:rPr>
          <w:rFonts w:ascii="Calibri" w:hAnsi="Calibri" w:cs="Calibri"/>
        </w:rPr>
        <w:t>67</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491666">
        <w:rPr>
          <w:rFonts w:ascii="Calibri" w:hAnsi="Calibri" w:cs="Calibri"/>
        </w:rPr>
        <w:t>3</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w:t>
      </w:r>
      <w:r w:rsidR="00491666">
        <w:rPr>
          <w:rFonts w:ascii="Calibri" w:hAnsi="Calibri" w:cs="Calibri"/>
        </w:rPr>
        <w:t>3</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w:t>
      </w:r>
      <w:bookmarkStart w:id="1" w:name="_GoBack"/>
      <w:bookmarkEnd w:id="1"/>
      <w:r w:rsidRPr="00EA48A8">
        <w:rPr>
          <w:rFonts w:ascii="Calibri" w:hAnsi="Calibri" w:cs="Calibri"/>
        </w:rPr>
        <w:t xml:space="preserve">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491666">
        <w:rPr>
          <w:rFonts w:ascii="Calibri" w:hAnsi="Calibri" w:cs="Calibri"/>
        </w:rPr>
        <w:t>2</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40</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423FB50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18</w:t>
      </w:r>
      <w:r w:rsidR="00491666">
        <w:rPr>
          <w:rFonts w:ascii="Calibri" w:hAnsi="Calibri" w:cs="Calibri"/>
        </w:rPr>
        <w:t>3</w:t>
      </w:r>
      <w:r w:rsidRPr="00EA48A8">
        <w:rPr>
          <w:rFonts w:ascii="Calibri" w:hAnsi="Calibri" w:cs="Calibri"/>
        </w:rPr>
        <w:t xml:space="preserve"> millones, de los cuales $</w:t>
      </w:r>
      <w:r w:rsidR="002C3586">
        <w:rPr>
          <w:rFonts w:ascii="Calibri" w:hAnsi="Calibri" w:cs="Calibri"/>
        </w:rPr>
        <w:t xml:space="preserve"> </w:t>
      </w:r>
      <w:r w:rsidR="00414497">
        <w:rPr>
          <w:rFonts w:ascii="Calibri" w:hAnsi="Calibri" w:cs="Calibri"/>
        </w:rPr>
        <w:t>270</w:t>
      </w:r>
      <w:r w:rsidRPr="00EA48A8">
        <w:rPr>
          <w:rFonts w:ascii="Calibri" w:hAnsi="Calibri" w:cs="Calibri"/>
        </w:rPr>
        <w:t xml:space="preserve"> millones se destinan al Gobierno Regional, en tanto que $</w:t>
      </w:r>
      <w:r w:rsidR="00C60FC7">
        <w:rPr>
          <w:rFonts w:ascii="Calibri" w:hAnsi="Calibri" w:cs="Calibri"/>
        </w:rPr>
        <w:t xml:space="preserve"> </w:t>
      </w:r>
      <w:r w:rsidR="00414497">
        <w:rPr>
          <w:rFonts w:ascii="Calibri" w:hAnsi="Calibri" w:cs="Calibri"/>
        </w:rPr>
        <w:t>4</w:t>
      </w:r>
      <w:r w:rsidR="00491666">
        <w:rPr>
          <w:rFonts w:ascii="Calibri" w:hAnsi="Calibri" w:cs="Calibri"/>
        </w:rPr>
        <w:t>8</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22</w:t>
      </w:r>
      <w:r w:rsidR="00491666">
        <w:rPr>
          <w:rFonts w:ascii="Calibri" w:hAnsi="Calibri" w:cs="Calibri"/>
        </w:rPr>
        <w:t>2</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491666">
        <w:rPr>
          <w:rFonts w:ascii="Calibri" w:hAnsi="Calibri" w:cs="Calibri"/>
        </w:rPr>
        <w:t>91</w:t>
      </w:r>
      <w:r w:rsidRPr="00EA48A8">
        <w:rPr>
          <w:rFonts w:ascii="Calibri" w:hAnsi="Calibri" w:cs="Calibri"/>
        </w:rPr>
        <w:t xml:space="preserve"> millones por concepto de IVA y $</w:t>
      </w:r>
      <w:r w:rsidR="00C60FC7">
        <w:rPr>
          <w:rFonts w:ascii="Calibri" w:hAnsi="Calibri" w:cs="Calibri"/>
        </w:rPr>
        <w:t xml:space="preserve"> </w:t>
      </w:r>
      <w:r w:rsidR="00414497">
        <w:rPr>
          <w:rFonts w:ascii="Calibri" w:hAnsi="Calibri" w:cs="Calibri"/>
        </w:rPr>
        <w:t>4</w:t>
      </w:r>
      <w:r w:rsidR="00491666">
        <w:rPr>
          <w:rFonts w:ascii="Calibri" w:hAnsi="Calibri" w:cs="Calibri"/>
        </w:rPr>
        <w:t>3</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414497">
        <w:rPr>
          <w:rFonts w:ascii="Calibri" w:hAnsi="Calibri" w:cs="Calibri"/>
        </w:rPr>
        <w:t>42</w:t>
      </w:r>
      <w:r w:rsidR="00491666">
        <w:rPr>
          <w:rFonts w:ascii="Calibri" w:hAnsi="Calibri" w:cs="Calibri"/>
        </w:rPr>
        <w:t>2</w:t>
      </w:r>
      <w:r w:rsidRPr="00EA48A8">
        <w:rPr>
          <w:rFonts w:ascii="Calibri" w:hAnsi="Calibri" w:cs="Calibri"/>
        </w:rPr>
        <w:t xml:space="preserve"> millones por concepto de IVA y $</w:t>
      </w:r>
      <w:r w:rsidR="007F3AA1">
        <w:rPr>
          <w:rFonts w:ascii="Calibri" w:hAnsi="Calibri" w:cs="Calibri"/>
        </w:rPr>
        <w:t xml:space="preserve"> </w:t>
      </w:r>
      <w:r w:rsidR="00414497">
        <w:rPr>
          <w:rFonts w:ascii="Calibri" w:hAnsi="Calibri" w:cs="Calibri"/>
        </w:rPr>
        <w:t>8</w:t>
      </w:r>
      <w:r w:rsidR="00491666">
        <w:rPr>
          <w:rFonts w:ascii="Calibri" w:hAnsi="Calibri" w:cs="Calibri"/>
        </w:rPr>
        <w:t>9</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59B8E6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A74B36">
        <w:rPr>
          <w:rFonts w:ascii="Calibri" w:hAnsi="Calibri" w:cs="Calibri"/>
        </w:rPr>
        <w:t>2</w:t>
      </w:r>
      <w:r w:rsidR="00E2370C">
        <w:rPr>
          <w:rFonts w:ascii="Calibri" w:hAnsi="Calibri" w:cs="Calibri"/>
        </w:rPr>
        <w:t>.</w:t>
      </w:r>
      <w:r w:rsidR="00491666">
        <w:rPr>
          <w:rFonts w:ascii="Calibri" w:hAnsi="Calibri" w:cs="Calibri"/>
        </w:rPr>
        <w:t>657</w:t>
      </w:r>
      <w:r w:rsidRPr="00EA48A8">
        <w:rPr>
          <w:rFonts w:ascii="Calibri" w:hAnsi="Calibri" w:cs="Calibri"/>
        </w:rPr>
        <w:t xml:space="preserve"> millones, de los cuales $</w:t>
      </w:r>
      <w:r w:rsidR="00C60FC7">
        <w:rPr>
          <w:rFonts w:ascii="Calibri" w:hAnsi="Calibri" w:cs="Calibri"/>
        </w:rPr>
        <w:t xml:space="preserve"> </w:t>
      </w:r>
      <w:r w:rsidR="00491666">
        <w:rPr>
          <w:rFonts w:ascii="Calibri" w:hAnsi="Calibri" w:cs="Calibri"/>
        </w:rPr>
        <w:t>60</w:t>
      </w:r>
      <w:r w:rsidR="00A74B36">
        <w:rPr>
          <w:rFonts w:ascii="Calibri" w:hAnsi="Calibri" w:cs="Calibri"/>
        </w:rPr>
        <w:t>7</w:t>
      </w:r>
      <w:r w:rsidRPr="00EA48A8">
        <w:rPr>
          <w:rFonts w:ascii="Calibri" w:hAnsi="Calibri" w:cs="Calibri"/>
        </w:rPr>
        <w:t xml:space="preserve"> millones se destinan al Gobierno Regional, en tanto que $</w:t>
      </w:r>
      <w:r w:rsidR="00C60FC7">
        <w:rPr>
          <w:rFonts w:ascii="Calibri" w:hAnsi="Calibri" w:cs="Calibri"/>
        </w:rPr>
        <w:t xml:space="preserve"> </w:t>
      </w:r>
      <w:r w:rsidR="00414497">
        <w:rPr>
          <w:rFonts w:ascii="Calibri" w:hAnsi="Calibri" w:cs="Calibri"/>
        </w:rPr>
        <w:t>5</w:t>
      </w:r>
      <w:r w:rsidR="00491666">
        <w:rPr>
          <w:rFonts w:ascii="Calibri" w:hAnsi="Calibri" w:cs="Calibri"/>
        </w:rPr>
        <w:t>67</w:t>
      </w:r>
      <w:r w:rsidRPr="00EA48A8">
        <w:rPr>
          <w:rFonts w:ascii="Calibri" w:hAnsi="Calibri" w:cs="Calibri"/>
        </w:rPr>
        <w:t xml:space="preserve"> millones y $</w:t>
      </w:r>
      <w:r w:rsidR="00C60FC7">
        <w:rPr>
          <w:rFonts w:ascii="Calibri" w:hAnsi="Calibri" w:cs="Calibri"/>
        </w:rPr>
        <w:t xml:space="preserve"> </w:t>
      </w:r>
      <w:r w:rsidR="00491666">
        <w:rPr>
          <w:rFonts w:ascii="Calibri" w:hAnsi="Calibri" w:cs="Calibri"/>
        </w:rPr>
        <w:t>40</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491666">
        <w:rPr>
          <w:rFonts w:ascii="Calibri" w:hAnsi="Calibri" w:cs="Calibri"/>
        </w:rPr>
        <w:t>1.109</w:t>
      </w:r>
      <w:r w:rsidRPr="00EA48A8">
        <w:rPr>
          <w:rFonts w:ascii="Calibri" w:hAnsi="Calibri" w:cs="Calibri"/>
        </w:rPr>
        <w:t xml:space="preserve"> millones de por concepto de IVA y $</w:t>
      </w:r>
      <w:r w:rsidR="00C60FC7">
        <w:rPr>
          <w:rFonts w:ascii="Calibri" w:hAnsi="Calibri" w:cs="Calibri"/>
        </w:rPr>
        <w:t xml:space="preserve"> </w:t>
      </w:r>
      <w:r w:rsidR="00491666">
        <w:rPr>
          <w:rFonts w:ascii="Calibri" w:hAnsi="Calibri" w:cs="Calibri"/>
        </w:rPr>
        <w:t>232</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414497">
        <w:rPr>
          <w:rFonts w:ascii="Calibri" w:hAnsi="Calibri" w:cs="Calibri"/>
        </w:rPr>
        <w:t>7</w:t>
      </w:r>
      <w:r w:rsidR="00491666">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491666">
        <w:rPr>
          <w:rFonts w:ascii="Calibri" w:hAnsi="Calibri" w:cs="Calibri"/>
        </w:rPr>
        <w:t>3</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A292D5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491666">
        <w:rPr>
          <w:rFonts w:ascii="Calibri" w:hAnsi="Calibri" w:cs="Calibri"/>
        </w:rPr>
        <w:t>286</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491666">
        <w:rPr>
          <w:rFonts w:ascii="Calibri" w:hAnsi="Calibri" w:cs="Calibri"/>
        </w:rPr>
        <w:t>59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491666">
        <w:rPr>
          <w:rFonts w:ascii="Calibri" w:hAnsi="Calibri" w:cs="Calibri"/>
        </w:rPr>
        <w:t>59</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414497">
        <w:rPr>
          <w:rFonts w:ascii="Calibri" w:hAnsi="Calibri" w:cs="Calibri"/>
        </w:rPr>
        <w:t>2</w:t>
      </w:r>
      <w:r w:rsidR="00491666">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49</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2751D1D3"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w:t>
      </w:r>
      <w:r w:rsidR="00414497">
        <w:rPr>
          <w:rFonts w:ascii="Calibri" w:hAnsi="Calibri" w:cs="Calibri"/>
        </w:rPr>
        <w:t>7</w:t>
      </w:r>
      <w:r w:rsidR="00491666">
        <w:rPr>
          <w:rFonts w:ascii="Calibri" w:hAnsi="Calibri" w:cs="Calibri"/>
        </w:rPr>
        <w:t>6</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491666">
        <w:rPr>
          <w:rFonts w:ascii="Calibri" w:hAnsi="Calibri" w:cs="Calibri"/>
        </w:rPr>
        <w:t>55</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491666">
        <w:rPr>
          <w:rFonts w:ascii="Calibri" w:hAnsi="Calibri" w:cs="Calibri"/>
        </w:rPr>
        <w:t>55</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491666">
        <w:rPr>
          <w:rFonts w:ascii="Calibri" w:hAnsi="Calibri" w:cs="Calibri"/>
        </w:rPr>
        <w:t>105</w:t>
      </w:r>
      <w:r w:rsidR="009B7B79" w:rsidRPr="00EA48A8">
        <w:rPr>
          <w:rFonts w:ascii="Calibri" w:hAnsi="Calibri" w:cs="Calibri"/>
        </w:rPr>
        <w:t xml:space="preserve"> millones por concepto de IVA y $</w:t>
      </w:r>
      <w:r w:rsidR="009B7B79">
        <w:rPr>
          <w:rFonts w:ascii="Calibri" w:hAnsi="Calibri" w:cs="Calibri"/>
        </w:rPr>
        <w:t xml:space="preserve"> </w:t>
      </w:r>
      <w:r w:rsidR="00491666">
        <w:rPr>
          <w:rFonts w:ascii="Calibri" w:hAnsi="Calibri" w:cs="Calibri"/>
        </w:rPr>
        <w:t>60</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4459494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w:t>
      </w:r>
      <w:proofErr w:type="spellStart"/>
      <w:r w:rsidRPr="00EA48A8">
        <w:rPr>
          <w:rFonts w:ascii="Calibri" w:hAnsi="Calibri" w:cs="Calibri"/>
        </w:rPr>
        <w:t>Bío</w:t>
      </w:r>
      <w:proofErr w:type="spellEnd"/>
      <w:r w:rsidRPr="00EA48A8">
        <w:rPr>
          <w:rFonts w:ascii="Calibri" w:hAnsi="Calibri" w:cs="Calibri"/>
        </w:rPr>
        <w:t xml:space="preserve">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w:t>
      </w:r>
      <w:r w:rsidR="00491666">
        <w:rPr>
          <w:rFonts w:ascii="Calibri" w:hAnsi="Calibri" w:cs="Calibri"/>
        </w:rPr>
        <w:t>299</w:t>
      </w:r>
      <w:r w:rsidRPr="00EA48A8">
        <w:rPr>
          <w:rFonts w:ascii="Calibri" w:hAnsi="Calibri" w:cs="Calibri"/>
        </w:rPr>
        <w:t xml:space="preserve"> millones, de los cuales $</w:t>
      </w:r>
      <w:r w:rsidR="00C60FC7">
        <w:rPr>
          <w:rFonts w:ascii="Calibri" w:hAnsi="Calibri" w:cs="Calibri"/>
        </w:rPr>
        <w:t xml:space="preserve"> </w:t>
      </w:r>
      <w:r w:rsidR="00801D21">
        <w:rPr>
          <w:rFonts w:ascii="Calibri" w:hAnsi="Calibri" w:cs="Calibri"/>
        </w:rPr>
        <w:t>2</w:t>
      </w:r>
      <w:r w:rsidR="00491666">
        <w:rPr>
          <w:rFonts w:ascii="Calibri" w:hAnsi="Calibri" w:cs="Calibri"/>
        </w:rPr>
        <w:t>69</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491666">
        <w:rPr>
          <w:rFonts w:ascii="Calibri" w:hAnsi="Calibri" w:cs="Calibri"/>
        </w:rPr>
        <w:t>37</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3</w:t>
      </w:r>
      <w:r w:rsidR="00491666">
        <w:rPr>
          <w:rFonts w:ascii="Calibri" w:hAnsi="Calibri" w:cs="Calibri"/>
        </w:rPr>
        <w:t>1</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414497">
        <w:rPr>
          <w:rFonts w:ascii="Calibri" w:hAnsi="Calibri" w:cs="Calibri"/>
        </w:rPr>
        <w:t>4</w:t>
      </w:r>
      <w:r w:rsidR="00491666">
        <w:rPr>
          <w:rFonts w:ascii="Calibri" w:hAnsi="Calibri" w:cs="Calibri"/>
        </w:rPr>
        <w:t>83</w:t>
      </w:r>
      <w:r w:rsidRPr="00EA48A8">
        <w:rPr>
          <w:rFonts w:ascii="Calibri" w:hAnsi="Calibri" w:cs="Calibri"/>
        </w:rPr>
        <w:t xml:space="preserve"> millones de por concepto de IVA y $</w:t>
      </w:r>
      <w:r w:rsidR="00C60FC7">
        <w:rPr>
          <w:rFonts w:ascii="Calibri" w:hAnsi="Calibri" w:cs="Calibri"/>
        </w:rPr>
        <w:t xml:space="preserve"> </w:t>
      </w:r>
      <w:r w:rsidR="00414497">
        <w:rPr>
          <w:rFonts w:ascii="Calibri" w:hAnsi="Calibri" w:cs="Calibri"/>
        </w:rPr>
        <w:t>1</w:t>
      </w:r>
      <w:r w:rsidR="00491666">
        <w:rPr>
          <w:rFonts w:ascii="Calibri" w:hAnsi="Calibri" w:cs="Calibri"/>
        </w:rPr>
        <w:t>88</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491666">
        <w:rPr>
          <w:rFonts w:ascii="Calibri" w:hAnsi="Calibri" w:cs="Calibri"/>
        </w:rPr>
        <w:t>61</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491666">
        <w:rPr>
          <w:rFonts w:ascii="Calibri" w:hAnsi="Calibri" w:cs="Calibri"/>
        </w:rPr>
        <w:t>0</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267E9EF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74B36">
        <w:rPr>
          <w:rFonts w:ascii="Calibri" w:hAnsi="Calibri" w:cs="Calibri"/>
        </w:rPr>
        <w:t>6</w:t>
      </w:r>
      <w:r w:rsidR="00491666">
        <w:rPr>
          <w:rFonts w:ascii="Calibri" w:hAnsi="Calibri" w:cs="Calibri"/>
        </w:rPr>
        <w:t>75</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491666">
        <w:rPr>
          <w:rFonts w:ascii="Calibri" w:hAnsi="Calibri" w:cs="Calibri"/>
        </w:rPr>
        <w:t>42</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491666">
        <w:rPr>
          <w:rFonts w:ascii="Calibri" w:hAnsi="Calibri" w:cs="Calibri"/>
        </w:rPr>
        <w:t>42</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w:t>
      </w:r>
      <w:r w:rsidR="00414497">
        <w:rPr>
          <w:rFonts w:ascii="Calibri" w:hAnsi="Calibri" w:cs="Calibri"/>
        </w:rPr>
        <w:t>8</w:t>
      </w:r>
      <w:r w:rsidR="00491666">
        <w:rPr>
          <w:rFonts w:ascii="Calibri" w:hAnsi="Calibri" w:cs="Calibri"/>
        </w:rPr>
        <w:t>2</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414497">
        <w:rPr>
          <w:rFonts w:ascii="Calibri" w:hAnsi="Calibri" w:cs="Calibri"/>
        </w:rPr>
        <w:t>0</w:t>
      </w:r>
      <w:r w:rsidR="00491666">
        <w:rPr>
          <w:rFonts w:ascii="Calibri" w:hAnsi="Calibri" w:cs="Calibri"/>
        </w:rPr>
        <w:t>8</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3FB5731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414497">
        <w:rPr>
          <w:rFonts w:ascii="Calibri" w:hAnsi="Calibri" w:cs="Calibri"/>
        </w:rPr>
        <w:t>2</w:t>
      </w:r>
      <w:r w:rsidR="00491666">
        <w:rPr>
          <w:rFonts w:ascii="Calibri" w:hAnsi="Calibri" w:cs="Calibri"/>
        </w:rPr>
        <w:t>22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491666">
        <w:rPr>
          <w:rFonts w:ascii="Calibri" w:hAnsi="Calibri" w:cs="Calibri"/>
        </w:rPr>
        <w:t>48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491666">
        <w:rPr>
          <w:rFonts w:ascii="Calibri" w:hAnsi="Calibri" w:cs="Calibri"/>
        </w:rPr>
        <w:t>48</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491666">
        <w:rPr>
          <w:rFonts w:ascii="Calibri" w:hAnsi="Calibri" w:cs="Calibri"/>
        </w:rPr>
        <w:t>93</w:t>
      </w:r>
      <w:r w:rsidRPr="00EA48A8">
        <w:rPr>
          <w:rFonts w:ascii="Calibri" w:hAnsi="Calibri" w:cs="Calibri"/>
        </w:rPr>
        <w:t xml:space="preserve"> millones por concepto de IVA y $</w:t>
      </w:r>
      <w:r w:rsidR="00DD3AA0">
        <w:rPr>
          <w:rFonts w:ascii="Calibri" w:hAnsi="Calibri" w:cs="Calibri"/>
        </w:rPr>
        <w:t xml:space="preserve"> </w:t>
      </w:r>
      <w:r w:rsidR="00491666">
        <w:rPr>
          <w:rFonts w:ascii="Calibri" w:hAnsi="Calibri" w:cs="Calibri"/>
        </w:rPr>
        <w:t>33</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2F6558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A74B36">
        <w:rPr>
          <w:rFonts w:ascii="Calibri" w:hAnsi="Calibri" w:cs="Calibri"/>
        </w:rPr>
        <w:t>4</w:t>
      </w:r>
      <w:r w:rsidR="00491666">
        <w:rPr>
          <w:rFonts w:ascii="Calibri" w:hAnsi="Calibri" w:cs="Calibri"/>
        </w:rPr>
        <w:t>47</w:t>
      </w:r>
      <w:r w:rsidR="00801D21">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6F449E">
        <w:rPr>
          <w:rFonts w:ascii="Calibri" w:hAnsi="Calibri" w:cs="Calibri"/>
        </w:rPr>
        <w:t>95</w:t>
      </w:r>
      <w:r w:rsidRPr="00EA48A8">
        <w:rPr>
          <w:rFonts w:ascii="Calibri" w:hAnsi="Calibri" w:cs="Calibri"/>
        </w:rPr>
        <w:t xml:space="preserve"> millones se destinan al Gobierno Regional, en tanto que $</w:t>
      </w:r>
      <w:r w:rsidR="00DD3AA0">
        <w:rPr>
          <w:rFonts w:ascii="Calibri" w:hAnsi="Calibri" w:cs="Calibri"/>
        </w:rPr>
        <w:t xml:space="preserve"> </w:t>
      </w:r>
      <w:r w:rsidR="006F449E">
        <w:rPr>
          <w:rFonts w:ascii="Calibri" w:hAnsi="Calibri" w:cs="Calibri"/>
        </w:rPr>
        <w:t>67</w:t>
      </w:r>
      <w:r w:rsidRPr="00EA48A8">
        <w:rPr>
          <w:rFonts w:ascii="Calibri" w:hAnsi="Calibri" w:cs="Calibri"/>
        </w:rPr>
        <w:t xml:space="preserve"> millones y $</w:t>
      </w:r>
      <w:r w:rsidR="00BE1CDC">
        <w:rPr>
          <w:rFonts w:ascii="Calibri" w:hAnsi="Calibri" w:cs="Calibri"/>
        </w:rPr>
        <w:t xml:space="preserve"> </w:t>
      </w:r>
      <w:r w:rsidR="006F449E">
        <w:rPr>
          <w:rFonts w:ascii="Calibri" w:hAnsi="Calibri" w:cs="Calibri"/>
        </w:rPr>
        <w:t>28</w:t>
      </w:r>
      <w:r w:rsidR="00BE1CDC">
        <w:rPr>
          <w:rFonts w:ascii="Calibri" w:hAnsi="Calibri" w:cs="Calibri"/>
        </w:rPr>
        <w:t xml:space="preserve"> </w:t>
      </w:r>
      <w:r w:rsidRPr="00EA48A8">
        <w:rPr>
          <w:rFonts w:ascii="Calibri" w:hAnsi="Calibri" w:cs="Calibri"/>
        </w:rPr>
        <w:t xml:space="preserve">millones se destinan a los municipios de Osorno y Castro, </w:t>
      </w:r>
      <w:r w:rsidRPr="00EA48A8">
        <w:rPr>
          <w:rFonts w:ascii="Calibri" w:hAnsi="Calibri" w:cs="Calibri"/>
        </w:rPr>
        <w:lastRenderedPageBreak/>
        <w:t>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6F449E">
        <w:rPr>
          <w:rFonts w:ascii="Calibri" w:hAnsi="Calibri" w:cs="Calibri"/>
        </w:rPr>
        <w:t>35</w:t>
      </w:r>
      <w:r w:rsidRPr="00EA48A8">
        <w:rPr>
          <w:rFonts w:ascii="Calibri" w:hAnsi="Calibri" w:cs="Calibri"/>
        </w:rPr>
        <w:t xml:space="preserve"> millones de por concepto de IVA y $</w:t>
      </w:r>
      <w:r w:rsidR="00DD3AA0">
        <w:rPr>
          <w:rFonts w:ascii="Calibri" w:hAnsi="Calibri" w:cs="Calibri"/>
        </w:rPr>
        <w:t xml:space="preserve"> </w:t>
      </w:r>
      <w:r w:rsidR="00414497">
        <w:rPr>
          <w:rFonts w:ascii="Calibri" w:hAnsi="Calibri" w:cs="Calibri"/>
        </w:rPr>
        <w:t>4</w:t>
      </w:r>
      <w:r w:rsidR="006F449E">
        <w:rPr>
          <w:rFonts w:ascii="Calibri" w:hAnsi="Calibri" w:cs="Calibri"/>
        </w:rPr>
        <w:t>9</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414497">
        <w:rPr>
          <w:rFonts w:ascii="Calibri" w:hAnsi="Calibri" w:cs="Calibri"/>
        </w:rPr>
        <w:t>52</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6F449E">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9B0471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A74B36">
        <w:rPr>
          <w:rFonts w:ascii="Calibri" w:hAnsi="Calibri" w:cs="Calibri"/>
        </w:rPr>
        <w:t>5</w:t>
      </w:r>
      <w:r w:rsidR="006F449E">
        <w:rPr>
          <w:rFonts w:ascii="Calibri" w:hAnsi="Calibri" w:cs="Calibri"/>
        </w:rPr>
        <w:t>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6F449E">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6F449E">
        <w:rPr>
          <w:rFonts w:ascii="Calibri" w:hAnsi="Calibri" w:cs="Calibri"/>
        </w:rPr>
        <w:t>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6</w:t>
      </w:r>
      <w:r w:rsidR="006F449E">
        <w:rPr>
          <w:rFonts w:ascii="Calibri" w:hAnsi="Calibri" w:cs="Calibri"/>
        </w:rPr>
        <w:t>3</w:t>
      </w:r>
      <w:r w:rsidR="00A74B36">
        <w:rPr>
          <w:rFonts w:ascii="Calibri" w:hAnsi="Calibri" w:cs="Calibri"/>
        </w:rPr>
        <w:t xml:space="preserve"> </w:t>
      </w:r>
      <w:r w:rsidRPr="00EA48A8">
        <w:rPr>
          <w:rFonts w:ascii="Calibri" w:hAnsi="Calibri" w:cs="Calibri"/>
        </w:rPr>
        <w:t>millones por concepto de IVA y $</w:t>
      </w:r>
      <w:r w:rsidR="00DD3AA0">
        <w:rPr>
          <w:rFonts w:ascii="Calibri" w:hAnsi="Calibri" w:cs="Calibri"/>
        </w:rPr>
        <w:t xml:space="preserve"> </w:t>
      </w:r>
      <w:r w:rsidR="00A74B36">
        <w:rPr>
          <w:rFonts w:ascii="Calibri" w:hAnsi="Calibri" w:cs="Calibri"/>
        </w:rPr>
        <w:t>2</w:t>
      </w:r>
      <w:r w:rsidR="00414497">
        <w:rPr>
          <w:rFonts w:ascii="Calibri" w:hAnsi="Calibri" w:cs="Calibri"/>
        </w:rPr>
        <w:t>6</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206209E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6F449E">
        <w:rPr>
          <w:rFonts w:ascii="Calibri" w:hAnsi="Calibri" w:cs="Calibri"/>
        </w:rPr>
        <w:t>585</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6F449E">
        <w:rPr>
          <w:rFonts w:ascii="Calibri" w:hAnsi="Calibri" w:cs="Calibri"/>
        </w:rPr>
        <w:t>17</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6F449E">
        <w:rPr>
          <w:rFonts w:ascii="Calibri" w:hAnsi="Calibri" w:cs="Calibri"/>
        </w:rPr>
        <w:t>17</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6F449E">
        <w:rPr>
          <w:rFonts w:ascii="Calibri" w:hAnsi="Calibri" w:cs="Calibri"/>
        </w:rPr>
        <w:t>37</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6F449E">
        <w:rPr>
          <w:rFonts w:ascii="Calibri" w:hAnsi="Calibri" w:cs="Calibri"/>
        </w:rPr>
        <w:t>15</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040CA586" w:rsidR="00330D14" w:rsidRDefault="00330D14" w:rsidP="00330D14">
      <w:pPr>
        <w:pStyle w:val="Prrafodelista"/>
        <w:tabs>
          <w:tab w:val="left" w:pos="0"/>
        </w:tabs>
        <w:ind w:left="0"/>
        <w:rPr>
          <w:b/>
        </w:rPr>
      </w:pPr>
      <w:r w:rsidRPr="003D15B6">
        <w:rPr>
          <w:b/>
        </w:rPr>
        <w:t xml:space="preserve">Impuestos, valores nominales: </w:t>
      </w:r>
      <w:r w:rsidR="006F449E">
        <w:rPr>
          <w:b/>
        </w:rPr>
        <w:t>noviembre</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6F449E" w:rsidRPr="006F449E" w14:paraId="45672339" w14:textId="77777777" w:rsidTr="006F449E">
        <w:trPr>
          <w:trHeight w:val="300"/>
        </w:trPr>
        <w:tc>
          <w:tcPr>
            <w:tcW w:w="5000" w:type="pct"/>
            <w:gridSpan w:val="7"/>
            <w:tcBorders>
              <w:top w:val="nil"/>
              <w:left w:val="nil"/>
              <w:bottom w:val="nil"/>
              <w:right w:val="nil"/>
            </w:tcBorders>
            <w:shd w:val="clear" w:color="000000" w:fill="1F497D"/>
            <w:noWrap/>
            <w:vAlign w:val="center"/>
            <w:hideMark/>
          </w:tcPr>
          <w:p w14:paraId="7E2AA775" w14:textId="70A2FA8D"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IMPUESTOS noviembre 2019 ($ Millones)</w:t>
            </w:r>
          </w:p>
        </w:tc>
      </w:tr>
      <w:tr w:rsidR="006F449E" w:rsidRPr="006F449E" w14:paraId="67BA32A8" w14:textId="77777777" w:rsidTr="006F449E">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0BF14F4"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5D93A6E9"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0477236C"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6996937D"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50A51786"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688445D8"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5786B54" w14:textId="77777777"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Total</w:t>
            </w:r>
          </w:p>
        </w:tc>
      </w:tr>
      <w:tr w:rsidR="006F449E" w:rsidRPr="006F449E" w14:paraId="04E597CB"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D363943"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543F9E33"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27A4E2DF" w14:textId="4B82C93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50</w:t>
            </w:r>
          </w:p>
        </w:tc>
        <w:tc>
          <w:tcPr>
            <w:tcW w:w="650" w:type="pct"/>
            <w:tcBorders>
              <w:top w:val="nil"/>
              <w:left w:val="nil"/>
              <w:bottom w:val="single" w:sz="4" w:space="0" w:color="A6A6A6"/>
              <w:right w:val="single" w:sz="4" w:space="0" w:color="A6A6A6"/>
            </w:tcBorders>
            <w:shd w:val="clear" w:color="000000" w:fill="DAEEF3"/>
            <w:noWrap/>
            <w:vAlign w:val="bottom"/>
            <w:hideMark/>
          </w:tcPr>
          <w:p w14:paraId="7BA03E67" w14:textId="421D88FF"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50</w:t>
            </w:r>
          </w:p>
        </w:tc>
        <w:tc>
          <w:tcPr>
            <w:tcW w:w="641" w:type="pct"/>
            <w:tcBorders>
              <w:top w:val="nil"/>
              <w:left w:val="nil"/>
              <w:bottom w:val="single" w:sz="4" w:space="0" w:color="A6A6A6"/>
              <w:right w:val="single" w:sz="4" w:space="0" w:color="A6A6A6"/>
            </w:tcBorders>
            <w:shd w:val="clear" w:color="000000" w:fill="DAEEF3"/>
            <w:noWrap/>
            <w:vAlign w:val="bottom"/>
            <w:hideMark/>
          </w:tcPr>
          <w:p w14:paraId="4D86FADD" w14:textId="40B1E5D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95</w:t>
            </w:r>
          </w:p>
        </w:tc>
        <w:tc>
          <w:tcPr>
            <w:tcW w:w="669" w:type="pct"/>
            <w:tcBorders>
              <w:top w:val="nil"/>
              <w:left w:val="nil"/>
              <w:bottom w:val="single" w:sz="4" w:space="0" w:color="A6A6A6"/>
              <w:right w:val="single" w:sz="4" w:space="0" w:color="A6A6A6"/>
            </w:tcBorders>
            <w:shd w:val="clear" w:color="000000" w:fill="DAEEF3"/>
            <w:noWrap/>
            <w:vAlign w:val="bottom"/>
            <w:hideMark/>
          </w:tcPr>
          <w:p w14:paraId="4E52DD75" w14:textId="2173700C"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71</w:t>
            </w:r>
          </w:p>
        </w:tc>
        <w:tc>
          <w:tcPr>
            <w:tcW w:w="774" w:type="pct"/>
            <w:tcBorders>
              <w:top w:val="nil"/>
              <w:left w:val="nil"/>
              <w:bottom w:val="single" w:sz="4" w:space="0" w:color="A6A6A6"/>
              <w:right w:val="single" w:sz="4" w:space="0" w:color="A6A6A6"/>
            </w:tcBorders>
            <w:shd w:val="clear" w:color="000000" w:fill="DAEEF3"/>
            <w:noWrap/>
            <w:vAlign w:val="bottom"/>
            <w:hideMark/>
          </w:tcPr>
          <w:p w14:paraId="5C069DEE" w14:textId="2807A39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265</w:t>
            </w:r>
          </w:p>
        </w:tc>
      </w:tr>
      <w:tr w:rsidR="006F449E" w:rsidRPr="006F449E" w14:paraId="3F9A8874" w14:textId="77777777" w:rsidTr="006F449E">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6FD0289" w14:textId="481BA8E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63574006"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5400291" w14:textId="0D63166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247</w:t>
            </w:r>
          </w:p>
        </w:tc>
        <w:tc>
          <w:tcPr>
            <w:tcW w:w="650" w:type="pct"/>
            <w:tcBorders>
              <w:top w:val="nil"/>
              <w:left w:val="nil"/>
              <w:bottom w:val="single" w:sz="4" w:space="0" w:color="A6A6A6"/>
              <w:right w:val="single" w:sz="4" w:space="0" w:color="A6A6A6"/>
            </w:tcBorders>
            <w:shd w:val="clear" w:color="auto" w:fill="auto"/>
            <w:noWrap/>
            <w:vAlign w:val="bottom"/>
            <w:hideMark/>
          </w:tcPr>
          <w:p w14:paraId="23AF4D18" w14:textId="5B2C90D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80</w:t>
            </w:r>
          </w:p>
        </w:tc>
        <w:tc>
          <w:tcPr>
            <w:tcW w:w="641" w:type="pct"/>
            <w:tcBorders>
              <w:top w:val="nil"/>
              <w:left w:val="nil"/>
              <w:bottom w:val="single" w:sz="4" w:space="0" w:color="A6A6A6"/>
              <w:right w:val="single" w:sz="4" w:space="0" w:color="A6A6A6"/>
            </w:tcBorders>
            <w:shd w:val="clear" w:color="auto" w:fill="auto"/>
            <w:noWrap/>
            <w:vAlign w:val="bottom"/>
            <w:hideMark/>
          </w:tcPr>
          <w:p w14:paraId="172D5216" w14:textId="1FE6308F"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157</w:t>
            </w:r>
          </w:p>
        </w:tc>
        <w:tc>
          <w:tcPr>
            <w:tcW w:w="669" w:type="pct"/>
            <w:tcBorders>
              <w:top w:val="nil"/>
              <w:left w:val="nil"/>
              <w:bottom w:val="single" w:sz="4" w:space="0" w:color="A6A6A6"/>
              <w:right w:val="single" w:sz="4" w:space="0" w:color="A6A6A6"/>
            </w:tcBorders>
            <w:shd w:val="clear" w:color="auto" w:fill="auto"/>
            <w:noWrap/>
            <w:vAlign w:val="bottom"/>
            <w:hideMark/>
          </w:tcPr>
          <w:p w14:paraId="40B2CA98" w14:textId="57D0AF0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57</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612F054" w14:textId="0EE3752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1.144</w:t>
            </w:r>
          </w:p>
        </w:tc>
      </w:tr>
      <w:tr w:rsidR="006F449E" w:rsidRPr="006F449E" w14:paraId="5517E384" w14:textId="77777777" w:rsidTr="006F449E">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6719DFD"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FC6B033"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346284B2"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4289775B" w14:textId="791CE7F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167</w:t>
            </w:r>
          </w:p>
        </w:tc>
        <w:tc>
          <w:tcPr>
            <w:tcW w:w="641" w:type="pct"/>
            <w:tcBorders>
              <w:top w:val="nil"/>
              <w:left w:val="nil"/>
              <w:bottom w:val="single" w:sz="4" w:space="0" w:color="A6A6A6"/>
              <w:right w:val="single" w:sz="4" w:space="0" w:color="A6A6A6"/>
            </w:tcBorders>
            <w:shd w:val="clear" w:color="auto" w:fill="auto"/>
            <w:noWrap/>
            <w:vAlign w:val="bottom"/>
            <w:hideMark/>
          </w:tcPr>
          <w:p w14:paraId="2EB4BDF8" w14:textId="3174484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323</w:t>
            </w:r>
          </w:p>
        </w:tc>
        <w:tc>
          <w:tcPr>
            <w:tcW w:w="669" w:type="pct"/>
            <w:tcBorders>
              <w:top w:val="nil"/>
              <w:left w:val="nil"/>
              <w:bottom w:val="single" w:sz="4" w:space="0" w:color="A6A6A6"/>
              <w:right w:val="single" w:sz="4" w:space="0" w:color="A6A6A6"/>
            </w:tcBorders>
            <w:shd w:val="clear" w:color="auto" w:fill="auto"/>
            <w:noWrap/>
            <w:vAlign w:val="bottom"/>
            <w:hideMark/>
          </w:tcPr>
          <w:p w14:paraId="66E899C0" w14:textId="529681B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113</w:t>
            </w:r>
          </w:p>
        </w:tc>
        <w:tc>
          <w:tcPr>
            <w:tcW w:w="774" w:type="pct"/>
            <w:vMerge/>
            <w:tcBorders>
              <w:top w:val="nil"/>
              <w:left w:val="single" w:sz="4" w:space="0" w:color="A6A6A6"/>
              <w:bottom w:val="single" w:sz="4" w:space="0" w:color="A6A6A6"/>
              <w:right w:val="single" w:sz="4" w:space="0" w:color="A6A6A6"/>
            </w:tcBorders>
            <w:vAlign w:val="center"/>
            <w:hideMark/>
          </w:tcPr>
          <w:p w14:paraId="045F3F9C"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r>
      <w:tr w:rsidR="006F449E" w:rsidRPr="006F449E" w14:paraId="41C8144B"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1080205D"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1E66485C"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54F2AA37" w14:textId="1C7771D9"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74</w:t>
            </w:r>
          </w:p>
        </w:tc>
        <w:tc>
          <w:tcPr>
            <w:tcW w:w="650" w:type="pct"/>
            <w:tcBorders>
              <w:top w:val="nil"/>
              <w:left w:val="nil"/>
              <w:bottom w:val="single" w:sz="4" w:space="0" w:color="A6A6A6"/>
              <w:right w:val="single" w:sz="4" w:space="0" w:color="A6A6A6"/>
            </w:tcBorders>
            <w:shd w:val="clear" w:color="000000" w:fill="DAEEF3"/>
            <w:noWrap/>
            <w:vAlign w:val="bottom"/>
            <w:hideMark/>
          </w:tcPr>
          <w:p w14:paraId="7C78F40B" w14:textId="0CA5445A"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74</w:t>
            </w:r>
          </w:p>
        </w:tc>
        <w:tc>
          <w:tcPr>
            <w:tcW w:w="641" w:type="pct"/>
            <w:tcBorders>
              <w:top w:val="nil"/>
              <w:left w:val="nil"/>
              <w:bottom w:val="single" w:sz="4" w:space="0" w:color="A6A6A6"/>
              <w:right w:val="single" w:sz="4" w:space="0" w:color="A6A6A6"/>
            </w:tcBorders>
            <w:shd w:val="clear" w:color="000000" w:fill="DAEEF3"/>
            <w:noWrap/>
            <w:vAlign w:val="bottom"/>
            <w:hideMark/>
          </w:tcPr>
          <w:p w14:paraId="473731B2" w14:textId="035CC14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153</w:t>
            </w:r>
          </w:p>
        </w:tc>
        <w:tc>
          <w:tcPr>
            <w:tcW w:w="669" w:type="pct"/>
            <w:tcBorders>
              <w:top w:val="nil"/>
              <w:left w:val="nil"/>
              <w:bottom w:val="single" w:sz="4" w:space="0" w:color="A6A6A6"/>
              <w:right w:val="single" w:sz="4" w:space="0" w:color="A6A6A6"/>
            </w:tcBorders>
            <w:shd w:val="clear" w:color="000000" w:fill="DAEEF3"/>
            <w:noWrap/>
            <w:vAlign w:val="bottom"/>
            <w:hideMark/>
          </w:tcPr>
          <w:p w14:paraId="2B7A627E" w14:textId="0C864AC9"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112133AC" w14:textId="0617305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367</w:t>
            </w:r>
          </w:p>
        </w:tc>
      </w:tr>
      <w:tr w:rsidR="006F449E" w:rsidRPr="006F449E" w14:paraId="3AC886FA"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33BF4DAD"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4D13A3D0"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058044B9" w14:textId="1D8C8F2C"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33</w:t>
            </w:r>
          </w:p>
        </w:tc>
        <w:tc>
          <w:tcPr>
            <w:tcW w:w="650" w:type="pct"/>
            <w:tcBorders>
              <w:top w:val="nil"/>
              <w:left w:val="nil"/>
              <w:bottom w:val="single" w:sz="4" w:space="0" w:color="A6A6A6"/>
              <w:right w:val="single" w:sz="4" w:space="0" w:color="A6A6A6"/>
            </w:tcBorders>
            <w:shd w:val="clear" w:color="auto" w:fill="auto"/>
            <w:noWrap/>
            <w:vAlign w:val="bottom"/>
            <w:hideMark/>
          </w:tcPr>
          <w:p w14:paraId="24D91EBD" w14:textId="78B080D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auto" w:fill="auto"/>
            <w:noWrap/>
            <w:vAlign w:val="bottom"/>
            <w:hideMark/>
          </w:tcPr>
          <w:p w14:paraId="387CEE9C" w14:textId="492B6CE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62</w:t>
            </w:r>
          </w:p>
        </w:tc>
        <w:tc>
          <w:tcPr>
            <w:tcW w:w="669" w:type="pct"/>
            <w:tcBorders>
              <w:top w:val="nil"/>
              <w:left w:val="nil"/>
              <w:bottom w:val="single" w:sz="4" w:space="0" w:color="A6A6A6"/>
              <w:right w:val="single" w:sz="4" w:space="0" w:color="A6A6A6"/>
            </w:tcBorders>
            <w:shd w:val="clear" w:color="auto" w:fill="auto"/>
            <w:noWrap/>
            <w:vAlign w:val="bottom"/>
            <w:hideMark/>
          </w:tcPr>
          <w:p w14:paraId="2BDAA81F" w14:textId="1B9B5A0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40</w:t>
            </w:r>
          </w:p>
        </w:tc>
        <w:tc>
          <w:tcPr>
            <w:tcW w:w="774" w:type="pct"/>
            <w:tcBorders>
              <w:top w:val="nil"/>
              <w:left w:val="nil"/>
              <w:bottom w:val="single" w:sz="4" w:space="0" w:color="A6A6A6"/>
              <w:right w:val="single" w:sz="4" w:space="0" w:color="A6A6A6"/>
            </w:tcBorders>
            <w:shd w:val="clear" w:color="auto" w:fill="auto"/>
            <w:noWrap/>
            <w:vAlign w:val="bottom"/>
            <w:hideMark/>
          </w:tcPr>
          <w:p w14:paraId="7E7071BE" w14:textId="7A2F471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167</w:t>
            </w:r>
          </w:p>
        </w:tc>
      </w:tr>
      <w:tr w:rsidR="006F449E" w:rsidRPr="006F449E" w14:paraId="0642C5CE" w14:textId="77777777" w:rsidTr="006F449E">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9EEEF86"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1E67C531"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E04B6A8" w14:textId="0F29C95E"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270</w:t>
            </w:r>
          </w:p>
        </w:tc>
        <w:tc>
          <w:tcPr>
            <w:tcW w:w="650" w:type="pct"/>
            <w:tcBorders>
              <w:top w:val="nil"/>
              <w:left w:val="nil"/>
              <w:bottom w:val="single" w:sz="4" w:space="0" w:color="A6A6A6"/>
              <w:right w:val="single" w:sz="4" w:space="0" w:color="A6A6A6"/>
            </w:tcBorders>
            <w:shd w:val="clear" w:color="000000" w:fill="DAEEF3"/>
            <w:noWrap/>
            <w:vAlign w:val="bottom"/>
            <w:hideMark/>
          </w:tcPr>
          <w:p w14:paraId="65DFF3F1" w14:textId="292E332B"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000000" w:fill="DAEEF3"/>
            <w:noWrap/>
            <w:vAlign w:val="bottom"/>
            <w:hideMark/>
          </w:tcPr>
          <w:p w14:paraId="5B9E4522" w14:textId="49446C2A"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91</w:t>
            </w:r>
          </w:p>
        </w:tc>
        <w:tc>
          <w:tcPr>
            <w:tcW w:w="669" w:type="pct"/>
            <w:tcBorders>
              <w:top w:val="nil"/>
              <w:left w:val="nil"/>
              <w:bottom w:val="single" w:sz="4" w:space="0" w:color="A6A6A6"/>
              <w:right w:val="single" w:sz="4" w:space="0" w:color="A6A6A6"/>
            </w:tcBorders>
            <w:shd w:val="clear" w:color="000000" w:fill="DAEEF3"/>
            <w:noWrap/>
            <w:vAlign w:val="bottom"/>
            <w:hideMark/>
          </w:tcPr>
          <w:p w14:paraId="61CF085C" w14:textId="6684D2E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43</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E80978C" w14:textId="668720FA"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1.183</w:t>
            </w:r>
          </w:p>
        </w:tc>
      </w:tr>
      <w:tr w:rsidR="006F449E" w:rsidRPr="006F449E" w14:paraId="77821A5B" w14:textId="77777777" w:rsidTr="006F449E">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AAB318C"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498AD2A"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1037EDEA"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4CAEF2B0" w14:textId="18C5C0E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222</w:t>
            </w:r>
          </w:p>
        </w:tc>
        <w:tc>
          <w:tcPr>
            <w:tcW w:w="641" w:type="pct"/>
            <w:tcBorders>
              <w:top w:val="nil"/>
              <w:left w:val="nil"/>
              <w:bottom w:val="single" w:sz="4" w:space="0" w:color="A6A6A6"/>
              <w:right w:val="single" w:sz="4" w:space="0" w:color="A6A6A6"/>
            </w:tcBorders>
            <w:shd w:val="clear" w:color="000000" w:fill="DAEEF3"/>
            <w:noWrap/>
            <w:vAlign w:val="bottom"/>
            <w:hideMark/>
          </w:tcPr>
          <w:p w14:paraId="6EA12B1E" w14:textId="2929D689"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422</w:t>
            </w:r>
          </w:p>
        </w:tc>
        <w:tc>
          <w:tcPr>
            <w:tcW w:w="669" w:type="pct"/>
            <w:tcBorders>
              <w:top w:val="nil"/>
              <w:left w:val="nil"/>
              <w:bottom w:val="single" w:sz="4" w:space="0" w:color="A6A6A6"/>
              <w:right w:val="single" w:sz="4" w:space="0" w:color="A6A6A6"/>
            </w:tcBorders>
            <w:shd w:val="clear" w:color="000000" w:fill="DAEEF3"/>
            <w:noWrap/>
            <w:vAlign w:val="bottom"/>
            <w:hideMark/>
          </w:tcPr>
          <w:p w14:paraId="38000E4B" w14:textId="458DA2DE"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89</w:t>
            </w:r>
          </w:p>
        </w:tc>
        <w:tc>
          <w:tcPr>
            <w:tcW w:w="774" w:type="pct"/>
            <w:vMerge/>
            <w:tcBorders>
              <w:top w:val="nil"/>
              <w:left w:val="single" w:sz="4" w:space="0" w:color="A6A6A6"/>
              <w:bottom w:val="single" w:sz="4" w:space="0" w:color="A6A6A6"/>
              <w:right w:val="single" w:sz="4" w:space="0" w:color="A6A6A6"/>
            </w:tcBorders>
            <w:vAlign w:val="center"/>
            <w:hideMark/>
          </w:tcPr>
          <w:p w14:paraId="75311867"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r>
      <w:tr w:rsidR="006F449E" w:rsidRPr="006F449E" w14:paraId="28940F35" w14:textId="77777777" w:rsidTr="006F449E">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53A0779"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2E3D94E2"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B857979" w14:textId="5CFD724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607</w:t>
            </w:r>
          </w:p>
        </w:tc>
        <w:tc>
          <w:tcPr>
            <w:tcW w:w="650" w:type="pct"/>
            <w:tcBorders>
              <w:top w:val="nil"/>
              <w:left w:val="nil"/>
              <w:bottom w:val="single" w:sz="4" w:space="0" w:color="A6A6A6"/>
              <w:right w:val="single" w:sz="4" w:space="0" w:color="A6A6A6"/>
            </w:tcBorders>
            <w:shd w:val="clear" w:color="auto" w:fill="auto"/>
            <w:noWrap/>
            <w:vAlign w:val="bottom"/>
            <w:hideMark/>
          </w:tcPr>
          <w:p w14:paraId="1A91C27E" w14:textId="1753C95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567</w:t>
            </w:r>
          </w:p>
        </w:tc>
        <w:tc>
          <w:tcPr>
            <w:tcW w:w="641" w:type="pct"/>
            <w:tcBorders>
              <w:top w:val="nil"/>
              <w:left w:val="nil"/>
              <w:bottom w:val="single" w:sz="4" w:space="0" w:color="A6A6A6"/>
              <w:right w:val="single" w:sz="4" w:space="0" w:color="A6A6A6"/>
            </w:tcBorders>
            <w:shd w:val="clear" w:color="auto" w:fill="auto"/>
            <w:noWrap/>
            <w:vAlign w:val="bottom"/>
            <w:hideMark/>
          </w:tcPr>
          <w:p w14:paraId="64DF23B4" w14:textId="0B1E3B4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1.109</w:t>
            </w:r>
          </w:p>
        </w:tc>
        <w:tc>
          <w:tcPr>
            <w:tcW w:w="669" w:type="pct"/>
            <w:tcBorders>
              <w:top w:val="nil"/>
              <w:left w:val="nil"/>
              <w:bottom w:val="single" w:sz="4" w:space="0" w:color="A6A6A6"/>
              <w:right w:val="single" w:sz="4" w:space="0" w:color="A6A6A6"/>
            </w:tcBorders>
            <w:shd w:val="clear" w:color="auto" w:fill="auto"/>
            <w:noWrap/>
            <w:vAlign w:val="bottom"/>
            <w:hideMark/>
          </w:tcPr>
          <w:p w14:paraId="5F69989D" w14:textId="7A9638EF"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232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110B246" w14:textId="2908AF8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2.657</w:t>
            </w:r>
          </w:p>
        </w:tc>
      </w:tr>
      <w:tr w:rsidR="006F449E" w:rsidRPr="006F449E" w14:paraId="1EBD6C24" w14:textId="77777777" w:rsidTr="006F449E">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3182DC2"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1A04C95"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5DA6D98D"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4F4E5DD" w14:textId="6A109D5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40</w:t>
            </w:r>
          </w:p>
        </w:tc>
        <w:tc>
          <w:tcPr>
            <w:tcW w:w="641" w:type="pct"/>
            <w:tcBorders>
              <w:top w:val="nil"/>
              <w:left w:val="nil"/>
              <w:bottom w:val="single" w:sz="4" w:space="0" w:color="A6A6A6"/>
              <w:right w:val="single" w:sz="4" w:space="0" w:color="A6A6A6"/>
            </w:tcBorders>
            <w:shd w:val="clear" w:color="auto" w:fill="auto"/>
            <w:noWrap/>
            <w:vAlign w:val="bottom"/>
            <w:hideMark/>
          </w:tcPr>
          <w:p w14:paraId="222341DA" w14:textId="0055909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79</w:t>
            </w:r>
          </w:p>
        </w:tc>
        <w:tc>
          <w:tcPr>
            <w:tcW w:w="669" w:type="pct"/>
            <w:tcBorders>
              <w:top w:val="nil"/>
              <w:left w:val="nil"/>
              <w:bottom w:val="single" w:sz="4" w:space="0" w:color="A6A6A6"/>
              <w:right w:val="single" w:sz="4" w:space="0" w:color="A6A6A6"/>
            </w:tcBorders>
            <w:shd w:val="clear" w:color="auto" w:fill="auto"/>
            <w:noWrap/>
            <w:vAlign w:val="bottom"/>
            <w:hideMark/>
          </w:tcPr>
          <w:p w14:paraId="3DA2179F" w14:textId="0540CB32"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14:paraId="0E70F6EC"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r>
      <w:tr w:rsidR="006F449E" w:rsidRPr="006F449E" w14:paraId="542EE190"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3EA6197"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31AEC6C2"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190BBF58" w14:textId="5E09380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59</w:t>
            </w:r>
          </w:p>
        </w:tc>
        <w:tc>
          <w:tcPr>
            <w:tcW w:w="650" w:type="pct"/>
            <w:tcBorders>
              <w:top w:val="nil"/>
              <w:left w:val="nil"/>
              <w:bottom w:val="single" w:sz="4" w:space="0" w:color="A6A6A6"/>
              <w:right w:val="single" w:sz="4" w:space="0" w:color="A6A6A6"/>
            </w:tcBorders>
            <w:shd w:val="clear" w:color="000000" w:fill="DAEEF3"/>
            <w:noWrap/>
            <w:vAlign w:val="bottom"/>
            <w:hideMark/>
          </w:tcPr>
          <w:p w14:paraId="72B855A7" w14:textId="6377DCA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59</w:t>
            </w:r>
          </w:p>
        </w:tc>
        <w:tc>
          <w:tcPr>
            <w:tcW w:w="641" w:type="pct"/>
            <w:tcBorders>
              <w:top w:val="nil"/>
              <w:left w:val="nil"/>
              <w:bottom w:val="single" w:sz="4" w:space="0" w:color="A6A6A6"/>
              <w:right w:val="single" w:sz="4" w:space="0" w:color="A6A6A6"/>
            </w:tcBorders>
            <w:shd w:val="clear" w:color="000000" w:fill="DAEEF3"/>
            <w:noWrap/>
            <w:vAlign w:val="bottom"/>
            <w:hideMark/>
          </w:tcPr>
          <w:p w14:paraId="24BADAD6" w14:textId="2E853DB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120</w:t>
            </w:r>
          </w:p>
        </w:tc>
        <w:tc>
          <w:tcPr>
            <w:tcW w:w="669" w:type="pct"/>
            <w:tcBorders>
              <w:top w:val="nil"/>
              <w:left w:val="nil"/>
              <w:bottom w:val="single" w:sz="4" w:space="0" w:color="A6A6A6"/>
              <w:right w:val="single" w:sz="4" w:space="0" w:color="A6A6A6"/>
            </w:tcBorders>
            <w:shd w:val="clear" w:color="000000" w:fill="DAEEF3"/>
            <w:noWrap/>
            <w:vAlign w:val="bottom"/>
            <w:hideMark/>
          </w:tcPr>
          <w:p w14:paraId="2F69FE43" w14:textId="33C82F7B"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49</w:t>
            </w:r>
          </w:p>
        </w:tc>
        <w:tc>
          <w:tcPr>
            <w:tcW w:w="774" w:type="pct"/>
            <w:tcBorders>
              <w:top w:val="nil"/>
              <w:left w:val="nil"/>
              <w:bottom w:val="single" w:sz="4" w:space="0" w:color="A6A6A6"/>
              <w:right w:val="single" w:sz="4" w:space="0" w:color="A6A6A6"/>
            </w:tcBorders>
            <w:shd w:val="clear" w:color="000000" w:fill="DAEEF3"/>
            <w:noWrap/>
            <w:vAlign w:val="bottom"/>
            <w:hideMark/>
          </w:tcPr>
          <w:p w14:paraId="104C24DD" w14:textId="1DCEB833"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286</w:t>
            </w:r>
          </w:p>
        </w:tc>
      </w:tr>
      <w:tr w:rsidR="006F449E" w:rsidRPr="006F449E" w14:paraId="1ADE8763"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59042C2"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2A5DC01B"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699F850D" w14:textId="45ACD0C2"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55</w:t>
            </w:r>
          </w:p>
        </w:tc>
        <w:tc>
          <w:tcPr>
            <w:tcW w:w="650" w:type="pct"/>
            <w:tcBorders>
              <w:top w:val="nil"/>
              <w:left w:val="nil"/>
              <w:bottom w:val="single" w:sz="4" w:space="0" w:color="A6A6A6"/>
              <w:right w:val="single" w:sz="4" w:space="0" w:color="A6A6A6"/>
            </w:tcBorders>
            <w:shd w:val="clear" w:color="000000" w:fill="FFFFFF"/>
            <w:noWrap/>
            <w:vAlign w:val="bottom"/>
            <w:hideMark/>
          </w:tcPr>
          <w:p w14:paraId="27C03B3C" w14:textId="2A9B581F"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55</w:t>
            </w:r>
          </w:p>
        </w:tc>
        <w:tc>
          <w:tcPr>
            <w:tcW w:w="641" w:type="pct"/>
            <w:tcBorders>
              <w:top w:val="nil"/>
              <w:left w:val="nil"/>
              <w:bottom w:val="single" w:sz="4" w:space="0" w:color="A6A6A6"/>
              <w:right w:val="single" w:sz="4" w:space="0" w:color="A6A6A6"/>
            </w:tcBorders>
            <w:shd w:val="clear" w:color="000000" w:fill="FFFFFF"/>
            <w:noWrap/>
            <w:vAlign w:val="bottom"/>
            <w:hideMark/>
          </w:tcPr>
          <w:p w14:paraId="14AD3BC6" w14:textId="50172D1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105</w:t>
            </w:r>
          </w:p>
        </w:tc>
        <w:tc>
          <w:tcPr>
            <w:tcW w:w="669" w:type="pct"/>
            <w:tcBorders>
              <w:top w:val="nil"/>
              <w:left w:val="nil"/>
              <w:bottom w:val="single" w:sz="4" w:space="0" w:color="A6A6A6"/>
              <w:right w:val="single" w:sz="4" w:space="0" w:color="A6A6A6"/>
            </w:tcBorders>
            <w:shd w:val="clear" w:color="000000" w:fill="FFFFFF"/>
            <w:noWrap/>
            <w:vAlign w:val="bottom"/>
            <w:hideMark/>
          </w:tcPr>
          <w:p w14:paraId="54DADFA3" w14:textId="6C8B02A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60</w:t>
            </w:r>
          </w:p>
        </w:tc>
        <w:tc>
          <w:tcPr>
            <w:tcW w:w="774" w:type="pct"/>
            <w:tcBorders>
              <w:top w:val="nil"/>
              <w:left w:val="nil"/>
              <w:bottom w:val="nil"/>
              <w:right w:val="single" w:sz="4" w:space="0" w:color="A6A6A6"/>
            </w:tcBorders>
            <w:shd w:val="clear" w:color="000000" w:fill="FFFFFF"/>
            <w:noWrap/>
            <w:vAlign w:val="bottom"/>
            <w:hideMark/>
          </w:tcPr>
          <w:p w14:paraId="6BC25FB5" w14:textId="661622D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276</w:t>
            </w:r>
          </w:p>
        </w:tc>
      </w:tr>
      <w:tr w:rsidR="006F449E" w:rsidRPr="006F449E" w14:paraId="3386B9DF" w14:textId="77777777" w:rsidTr="006F449E">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5FC9257" w14:textId="7A42633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 xml:space="preserve">Del </w:t>
            </w:r>
            <w:proofErr w:type="spellStart"/>
            <w:r w:rsidRPr="006F449E">
              <w:rPr>
                <w:rFonts w:ascii="Calibri" w:eastAsia="Times New Roman" w:hAnsi="Calibri" w:cs="Calibri"/>
                <w:color w:val="244062"/>
                <w:sz w:val="18"/>
                <w:szCs w:val="18"/>
                <w:lang w:eastAsia="es-CL"/>
              </w:rPr>
              <w:t>Bío</w:t>
            </w:r>
            <w:proofErr w:type="spellEnd"/>
            <w:r w:rsidRPr="006F449E">
              <w:rPr>
                <w:rFonts w:ascii="Calibri" w:eastAsia="Times New Roman" w:hAnsi="Calibri" w:cs="Calibri"/>
                <w:color w:val="244062"/>
                <w:sz w:val="18"/>
                <w:szCs w:val="18"/>
                <w:lang w:eastAsia="es-CL"/>
              </w:rPr>
              <w:t xml:space="preserve"> </w:t>
            </w:r>
            <w:proofErr w:type="spellStart"/>
            <w:r w:rsidRPr="006F449E">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000000" w:fill="DAEEF3"/>
            <w:noWrap/>
            <w:vAlign w:val="bottom"/>
            <w:hideMark/>
          </w:tcPr>
          <w:p w14:paraId="25870858"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857F1A8" w14:textId="7D40983E"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269</w:t>
            </w:r>
          </w:p>
        </w:tc>
        <w:tc>
          <w:tcPr>
            <w:tcW w:w="650" w:type="pct"/>
            <w:tcBorders>
              <w:top w:val="nil"/>
              <w:left w:val="nil"/>
              <w:bottom w:val="single" w:sz="4" w:space="0" w:color="A6A6A6"/>
              <w:right w:val="single" w:sz="4" w:space="0" w:color="A6A6A6"/>
            </w:tcBorders>
            <w:shd w:val="clear" w:color="000000" w:fill="DAEEF3"/>
            <w:noWrap/>
            <w:vAlign w:val="bottom"/>
            <w:hideMark/>
          </w:tcPr>
          <w:p w14:paraId="70DEA421" w14:textId="2D97F48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237</w:t>
            </w:r>
          </w:p>
        </w:tc>
        <w:tc>
          <w:tcPr>
            <w:tcW w:w="641" w:type="pct"/>
            <w:tcBorders>
              <w:top w:val="nil"/>
              <w:left w:val="nil"/>
              <w:bottom w:val="single" w:sz="4" w:space="0" w:color="A6A6A6"/>
              <w:right w:val="single" w:sz="4" w:space="0" w:color="A6A6A6"/>
            </w:tcBorders>
            <w:shd w:val="clear" w:color="000000" w:fill="DAEEF3"/>
            <w:noWrap/>
            <w:vAlign w:val="bottom"/>
            <w:hideMark/>
          </w:tcPr>
          <w:p w14:paraId="284B679F" w14:textId="3A18288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483</w:t>
            </w:r>
          </w:p>
        </w:tc>
        <w:tc>
          <w:tcPr>
            <w:tcW w:w="669" w:type="pct"/>
            <w:tcBorders>
              <w:top w:val="nil"/>
              <w:left w:val="nil"/>
              <w:bottom w:val="single" w:sz="4" w:space="0" w:color="A6A6A6"/>
              <w:right w:val="single" w:sz="4" w:space="0" w:color="A6A6A6"/>
            </w:tcBorders>
            <w:shd w:val="clear" w:color="000000" w:fill="DAEEF3"/>
            <w:noWrap/>
            <w:vAlign w:val="bottom"/>
            <w:hideMark/>
          </w:tcPr>
          <w:p w14:paraId="6FD30C4F" w14:textId="4BAD340C"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188</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E8C32D4" w14:textId="302AD232"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1.299</w:t>
            </w:r>
          </w:p>
        </w:tc>
      </w:tr>
      <w:tr w:rsidR="006F449E" w:rsidRPr="006F449E" w14:paraId="5FD75696" w14:textId="77777777" w:rsidTr="006F449E">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2956518"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485435B1"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619C9753"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4F6624B1" w14:textId="10BFCDD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31</w:t>
            </w:r>
          </w:p>
        </w:tc>
        <w:tc>
          <w:tcPr>
            <w:tcW w:w="641" w:type="pct"/>
            <w:tcBorders>
              <w:top w:val="nil"/>
              <w:left w:val="nil"/>
              <w:bottom w:val="single" w:sz="4" w:space="0" w:color="A6A6A6"/>
              <w:right w:val="single" w:sz="4" w:space="0" w:color="A6A6A6"/>
            </w:tcBorders>
            <w:shd w:val="clear" w:color="000000" w:fill="DAEEF3"/>
            <w:noWrap/>
            <w:vAlign w:val="bottom"/>
            <w:hideMark/>
          </w:tcPr>
          <w:p w14:paraId="1C9A7677" w14:textId="5F85B1E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61</w:t>
            </w:r>
          </w:p>
        </w:tc>
        <w:tc>
          <w:tcPr>
            <w:tcW w:w="669" w:type="pct"/>
            <w:tcBorders>
              <w:top w:val="nil"/>
              <w:left w:val="nil"/>
              <w:bottom w:val="single" w:sz="4" w:space="0" w:color="A6A6A6"/>
              <w:right w:val="single" w:sz="4" w:space="0" w:color="A6A6A6"/>
            </w:tcBorders>
            <w:shd w:val="clear" w:color="000000" w:fill="DAEEF3"/>
            <w:noWrap/>
            <w:vAlign w:val="bottom"/>
            <w:hideMark/>
          </w:tcPr>
          <w:p w14:paraId="6CBF76BD" w14:textId="3FB8CB4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30</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083B23C1"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r>
      <w:tr w:rsidR="006F449E" w:rsidRPr="006F449E" w14:paraId="49098142"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6321B087" w14:textId="2F5A208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14:paraId="1E7E046F"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637CE48C" w14:textId="541840AC"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142</w:t>
            </w:r>
          </w:p>
        </w:tc>
        <w:tc>
          <w:tcPr>
            <w:tcW w:w="650" w:type="pct"/>
            <w:tcBorders>
              <w:top w:val="nil"/>
              <w:left w:val="nil"/>
              <w:bottom w:val="single" w:sz="4" w:space="0" w:color="A6A6A6"/>
              <w:right w:val="single" w:sz="4" w:space="0" w:color="A6A6A6"/>
            </w:tcBorders>
            <w:shd w:val="clear" w:color="000000" w:fill="FFFFFF"/>
            <w:noWrap/>
            <w:vAlign w:val="bottom"/>
            <w:hideMark/>
          </w:tcPr>
          <w:p w14:paraId="4958C0FA" w14:textId="65FFD5B9"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142</w:t>
            </w:r>
          </w:p>
        </w:tc>
        <w:tc>
          <w:tcPr>
            <w:tcW w:w="641" w:type="pct"/>
            <w:tcBorders>
              <w:top w:val="nil"/>
              <w:left w:val="nil"/>
              <w:bottom w:val="single" w:sz="4" w:space="0" w:color="A6A6A6"/>
              <w:right w:val="single" w:sz="4" w:space="0" w:color="A6A6A6"/>
            </w:tcBorders>
            <w:shd w:val="clear" w:color="000000" w:fill="FFFFFF"/>
            <w:noWrap/>
            <w:vAlign w:val="bottom"/>
            <w:hideMark/>
          </w:tcPr>
          <w:p w14:paraId="6CF002CC" w14:textId="61CB4A5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282</w:t>
            </w:r>
          </w:p>
        </w:tc>
        <w:tc>
          <w:tcPr>
            <w:tcW w:w="669" w:type="pct"/>
            <w:tcBorders>
              <w:top w:val="nil"/>
              <w:left w:val="nil"/>
              <w:bottom w:val="single" w:sz="4" w:space="0" w:color="A6A6A6"/>
              <w:right w:val="single" w:sz="4" w:space="0" w:color="A6A6A6"/>
            </w:tcBorders>
            <w:shd w:val="clear" w:color="000000" w:fill="FFFFFF"/>
            <w:noWrap/>
            <w:vAlign w:val="bottom"/>
            <w:hideMark/>
          </w:tcPr>
          <w:p w14:paraId="4EA82CFE" w14:textId="03DAB4F2"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108</w:t>
            </w:r>
          </w:p>
        </w:tc>
        <w:tc>
          <w:tcPr>
            <w:tcW w:w="774" w:type="pct"/>
            <w:tcBorders>
              <w:top w:val="nil"/>
              <w:left w:val="nil"/>
              <w:bottom w:val="single" w:sz="4" w:space="0" w:color="A6A6A6"/>
              <w:right w:val="single" w:sz="4" w:space="0" w:color="A6A6A6"/>
            </w:tcBorders>
            <w:shd w:val="clear" w:color="000000" w:fill="FFFFFF"/>
            <w:noWrap/>
            <w:vAlign w:val="bottom"/>
            <w:hideMark/>
          </w:tcPr>
          <w:p w14:paraId="24D2E0DF" w14:textId="093687FF"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675</w:t>
            </w:r>
          </w:p>
        </w:tc>
      </w:tr>
      <w:tr w:rsidR="006F449E" w:rsidRPr="006F449E" w14:paraId="083FD6EE"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CB0AE4D"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711B73F8"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453CF38B" w14:textId="4279633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48</w:t>
            </w:r>
          </w:p>
        </w:tc>
        <w:tc>
          <w:tcPr>
            <w:tcW w:w="650" w:type="pct"/>
            <w:tcBorders>
              <w:top w:val="nil"/>
              <w:left w:val="nil"/>
              <w:bottom w:val="single" w:sz="4" w:space="0" w:color="A6A6A6"/>
              <w:right w:val="single" w:sz="4" w:space="0" w:color="A6A6A6"/>
            </w:tcBorders>
            <w:shd w:val="clear" w:color="000000" w:fill="DAEEF3"/>
            <w:noWrap/>
            <w:vAlign w:val="bottom"/>
            <w:hideMark/>
          </w:tcPr>
          <w:p w14:paraId="4E57FE7A" w14:textId="194A19BE"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000000" w:fill="DAEEF3"/>
            <w:noWrap/>
            <w:vAlign w:val="bottom"/>
            <w:hideMark/>
          </w:tcPr>
          <w:p w14:paraId="20CA6623" w14:textId="4BE9610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93</w:t>
            </w:r>
          </w:p>
        </w:tc>
        <w:tc>
          <w:tcPr>
            <w:tcW w:w="669" w:type="pct"/>
            <w:tcBorders>
              <w:top w:val="nil"/>
              <w:left w:val="nil"/>
              <w:bottom w:val="single" w:sz="4" w:space="0" w:color="A6A6A6"/>
              <w:right w:val="single" w:sz="4" w:space="0" w:color="A6A6A6"/>
            </w:tcBorders>
            <w:shd w:val="clear" w:color="000000" w:fill="DAEEF3"/>
            <w:noWrap/>
            <w:vAlign w:val="bottom"/>
            <w:hideMark/>
          </w:tcPr>
          <w:p w14:paraId="0FBD2210" w14:textId="68DB1D04"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33</w:t>
            </w:r>
          </w:p>
        </w:tc>
        <w:tc>
          <w:tcPr>
            <w:tcW w:w="774" w:type="pct"/>
            <w:tcBorders>
              <w:top w:val="nil"/>
              <w:left w:val="nil"/>
              <w:bottom w:val="single" w:sz="4" w:space="0" w:color="A6A6A6"/>
              <w:right w:val="single" w:sz="4" w:space="0" w:color="A6A6A6"/>
            </w:tcBorders>
            <w:shd w:val="clear" w:color="000000" w:fill="DAEEF3"/>
            <w:noWrap/>
            <w:vAlign w:val="bottom"/>
            <w:hideMark/>
          </w:tcPr>
          <w:p w14:paraId="65D06F04" w14:textId="2BB8C15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222</w:t>
            </w:r>
          </w:p>
        </w:tc>
      </w:tr>
      <w:tr w:rsidR="006F449E" w:rsidRPr="006F449E" w14:paraId="205C9752" w14:textId="77777777" w:rsidTr="006F449E">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14252036"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6F51707C"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2554015" w14:textId="5AE7C93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95</w:t>
            </w:r>
          </w:p>
        </w:tc>
        <w:tc>
          <w:tcPr>
            <w:tcW w:w="650" w:type="pct"/>
            <w:tcBorders>
              <w:top w:val="nil"/>
              <w:left w:val="nil"/>
              <w:bottom w:val="single" w:sz="4" w:space="0" w:color="A6A6A6"/>
              <w:right w:val="single" w:sz="4" w:space="0" w:color="A6A6A6"/>
            </w:tcBorders>
            <w:shd w:val="clear" w:color="000000" w:fill="FFFFFF"/>
            <w:noWrap/>
            <w:vAlign w:val="bottom"/>
            <w:hideMark/>
          </w:tcPr>
          <w:p w14:paraId="3B8822FF" w14:textId="068259EB"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67</w:t>
            </w:r>
          </w:p>
        </w:tc>
        <w:tc>
          <w:tcPr>
            <w:tcW w:w="641" w:type="pct"/>
            <w:tcBorders>
              <w:top w:val="nil"/>
              <w:left w:val="nil"/>
              <w:bottom w:val="single" w:sz="4" w:space="0" w:color="A6A6A6"/>
              <w:right w:val="single" w:sz="4" w:space="0" w:color="A6A6A6"/>
            </w:tcBorders>
            <w:shd w:val="clear" w:color="000000" w:fill="FFFFFF"/>
            <w:noWrap/>
            <w:vAlign w:val="bottom"/>
            <w:hideMark/>
          </w:tcPr>
          <w:p w14:paraId="70B36168" w14:textId="5683C35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135</w:t>
            </w:r>
          </w:p>
        </w:tc>
        <w:tc>
          <w:tcPr>
            <w:tcW w:w="669" w:type="pct"/>
            <w:tcBorders>
              <w:top w:val="nil"/>
              <w:left w:val="nil"/>
              <w:bottom w:val="single" w:sz="4" w:space="0" w:color="A6A6A6"/>
              <w:right w:val="single" w:sz="4" w:space="0" w:color="A6A6A6"/>
            </w:tcBorders>
            <w:shd w:val="clear" w:color="000000" w:fill="FFFFFF"/>
            <w:noWrap/>
            <w:vAlign w:val="bottom"/>
            <w:hideMark/>
          </w:tcPr>
          <w:p w14:paraId="2CACCBA4" w14:textId="7203336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49</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7C0D2BF7" w14:textId="3B5C901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447</w:t>
            </w:r>
          </w:p>
        </w:tc>
      </w:tr>
      <w:tr w:rsidR="006F449E" w:rsidRPr="006F449E" w14:paraId="47A481D0" w14:textId="77777777" w:rsidTr="006F449E">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1B25F08B"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1989D07A"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570F92D7"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0B8116A1" w14:textId="358B54D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28</w:t>
            </w:r>
          </w:p>
        </w:tc>
        <w:tc>
          <w:tcPr>
            <w:tcW w:w="641" w:type="pct"/>
            <w:tcBorders>
              <w:top w:val="nil"/>
              <w:left w:val="nil"/>
              <w:bottom w:val="single" w:sz="4" w:space="0" w:color="A6A6A6"/>
              <w:right w:val="single" w:sz="4" w:space="0" w:color="A6A6A6"/>
            </w:tcBorders>
            <w:shd w:val="clear" w:color="000000" w:fill="FFFFFF"/>
            <w:noWrap/>
            <w:vAlign w:val="bottom"/>
            <w:hideMark/>
          </w:tcPr>
          <w:p w14:paraId="724DCDC4" w14:textId="15A5CD14"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52</w:t>
            </w:r>
          </w:p>
        </w:tc>
        <w:tc>
          <w:tcPr>
            <w:tcW w:w="669" w:type="pct"/>
            <w:tcBorders>
              <w:top w:val="nil"/>
              <w:left w:val="nil"/>
              <w:bottom w:val="single" w:sz="4" w:space="0" w:color="A6A6A6"/>
              <w:right w:val="single" w:sz="4" w:space="0" w:color="A6A6A6"/>
            </w:tcBorders>
            <w:shd w:val="clear" w:color="000000" w:fill="FFFFFF"/>
            <w:noWrap/>
            <w:vAlign w:val="bottom"/>
            <w:hideMark/>
          </w:tcPr>
          <w:p w14:paraId="2DDBC9A5" w14:textId="1D9977AA"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21</w:t>
            </w:r>
          </w:p>
        </w:tc>
        <w:tc>
          <w:tcPr>
            <w:tcW w:w="774" w:type="pct"/>
            <w:vMerge/>
            <w:tcBorders>
              <w:top w:val="nil"/>
              <w:left w:val="single" w:sz="4" w:space="0" w:color="A6A6A6"/>
              <w:bottom w:val="single" w:sz="4" w:space="0" w:color="A6A6A6"/>
              <w:right w:val="single" w:sz="4" w:space="0" w:color="A6A6A6"/>
            </w:tcBorders>
            <w:vAlign w:val="center"/>
            <w:hideMark/>
          </w:tcPr>
          <w:p w14:paraId="63D39914"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p>
        </w:tc>
      </w:tr>
      <w:tr w:rsidR="006F449E" w:rsidRPr="006F449E" w14:paraId="305B8B63"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D14D179"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72B4B851"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1A0FDF75" w14:textId="795FB069"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33</w:t>
            </w:r>
          </w:p>
        </w:tc>
        <w:tc>
          <w:tcPr>
            <w:tcW w:w="650" w:type="pct"/>
            <w:tcBorders>
              <w:top w:val="nil"/>
              <w:left w:val="nil"/>
              <w:bottom w:val="single" w:sz="4" w:space="0" w:color="A6A6A6"/>
              <w:right w:val="single" w:sz="4" w:space="0" w:color="A6A6A6"/>
            </w:tcBorders>
            <w:shd w:val="clear" w:color="000000" w:fill="DAEEF3"/>
            <w:noWrap/>
            <w:vAlign w:val="bottom"/>
            <w:hideMark/>
          </w:tcPr>
          <w:p w14:paraId="6DFC51DC" w14:textId="76E8C214"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000000" w:fill="DAEEF3"/>
            <w:noWrap/>
            <w:vAlign w:val="bottom"/>
            <w:hideMark/>
          </w:tcPr>
          <w:p w14:paraId="03DD5445" w14:textId="4249DC56"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63</w:t>
            </w:r>
          </w:p>
        </w:tc>
        <w:tc>
          <w:tcPr>
            <w:tcW w:w="669" w:type="pct"/>
            <w:tcBorders>
              <w:top w:val="nil"/>
              <w:left w:val="nil"/>
              <w:bottom w:val="single" w:sz="4" w:space="0" w:color="A6A6A6"/>
              <w:right w:val="single" w:sz="4" w:space="0" w:color="A6A6A6"/>
            </w:tcBorders>
            <w:shd w:val="clear" w:color="000000" w:fill="DAEEF3"/>
            <w:noWrap/>
            <w:vAlign w:val="bottom"/>
            <w:hideMark/>
          </w:tcPr>
          <w:p w14:paraId="5CF68B8B" w14:textId="7E9EE840"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26</w:t>
            </w:r>
          </w:p>
        </w:tc>
        <w:tc>
          <w:tcPr>
            <w:tcW w:w="774" w:type="pct"/>
            <w:tcBorders>
              <w:top w:val="nil"/>
              <w:left w:val="nil"/>
              <w:bottom w:val="single" w:sz="4" w:space="0" w:color="A6A6A6"/>
              <w:right w:val="single" w:sz="4" w:space="0" w:color="A6A6A6"/>
            </w:tcBorders>
            <w:shd w:val="clear" w:color="000000" w:fill="DAEEF3"/>
            <w:noWrap/>
            <w:vAlign w:val="bottom"/>
            <w:hideMark/>
          </w:tcPr>
          <w:p w14:paraId="79544156" w14:textId="22BA8071"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155</w:t>
            </w:r>
          </w:p>
        </w:tc>
      </w:tr>
      <w:tr w:rsidR="006F449E" w:rsidRPr="006F449E" w14:paraId="31A37787" w14:textId="77777777" w:rsidTr="006F449E">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42FF1448"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4EB9D44A" w14:textId="77777777"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4A11F552" w14:textId="52326BF2"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117</w:t>
            </w:r>
          </w:p>
        </w:tc>
        <w:tc>
          <w:tcPr>
            <w:tcW w:w="650" w:type="pct"/>
            <w:tcBorders>
              <w:top w:val="nil"/>
              <w:left w:val="nil"/>
              <w:bottom w:val="single" w:sz="4" w:space="0" w:color="A6A6A6"/>
              <w:right w:val="single" w:sz="4" w:space="0" w:color="A6A6A6"/>
            </w:tcBorders>
            <w:shd w:val="clear" w:color="000000" w:fill="FFFFFF"/>
            <w:noWrap/>
            <w:vAlign w:val="bottom"/>
            <w:hideMark/>
          </w:tcPr>
          <w:p w14:paraId="2DFD2DD8" w14:textId="5C773A35"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117</w:t>
            </w:r>
          </w:p>
        </w:tc>
        <w:tc>
          <w:tcPr>
            <w:tcW w:w="641" w:type="pct"/>
            <w:tcBorders>
              <w:top w:val="nil"/>
              <w:left w:val="nil"/>
              <w:bottom w:val="single" w:sz="4" w:space="0" w:color="A6A6A6"/>
              <w:right w:val="single" w:sz="4" w:space="0" w:color="A6A6A6"/>
            </w:tcBorders>
            <w:shd w:val="clear" w:color="000000" w:fill="FFFFFF"/>
            <w:noWrap/>
            <w:vAlign w:val="bottom"/>
            <w:hideMark/>
          </w:tcPr>
          <w:p w14:paraId="64D49640" w14:textId="70D2097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237</w:t>
            </w:r>
          </w:p>
        </w:tc>
        <w:tc>
          <w:tcPr>
            <w:tcW w:w="669" w:type="pct"/>
            <w:tcBorders>
              <w:top w:val="nil"/>
              <w:left w:val="nil"/>
              <w:bottom w:val="single" w:sz="4" w:space="0" w:color="A6A6A6"/>
              <w:right w:val="single" w:sz="4" w:space="0" w:color="A6A6A6"/>
            </w:tcBorders>
            <w:shd w:val="clear" w:color="000000" w:fill="FFFFFF"/>
            <w:noWrap/>
            <w:vAlign w:val="bottom"/>
            <w:hideMark/>
          </w:tcPr>
          <w:p w14:paraId="4A950CD6" w14:textId="0349CED8"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115</w:t>
            </w:r>
          </w:p>
        </w:tc>
        <w:tc>
          <w:tcPr>
            <w:tcW w:w="774" w:type="pct"/>
            <w:tcBorders>
              <w:top w:val="nil"/>
              <w:left w:val="nil"/>
              <w:bottom w:val="single" w:sz="4" w:space="0" w:color="A6A6A6"/>
              <w:right w:val="single" w:sz="4" w:space="0" w:color="A6A6A6"/>
            </w:tcBorders>
            <w:shd w:val="clear" w:color="000000" w:fill="FFFFFF"/>
            <w:noWrap/>
            <w:vAlign w:val="bottom"/>
            <w:hideMark/>
          </w:tcPr>
          <w:p w14:paraId="531A43AF" w14:textId="6F895BCD" w:rsidR="006F449E" w:rsidRPr="006F449E" w:rsidRDefault="006F449E" w:rsidP="006F449E">
            <w:pPr>
              <w:spacing w:after="0" w:line="240" w:lineRule="auto"/>
              <w:jc w:val="center"/>
              <w:rPr>
                <w:rFonts w:ascii="Calibri" w:eastAsia="Times New Roman" w:hAnsi="Calibri" w:cs="Calibri"/>
                <w:color w:val="244062"/>
                <w:sz w:val="18"/>
                <w:szCs w:val="18"/>
                <w:lang w:eastAsia="es-CL"/>
              </w:rPr>
            </w:pPr>
            <w:r w:rsidRPr="006F449E">
              <w:rPr>
                <w:rFonts w:ascii="Calibri" w:eastAsia="Times New Roman" w:hAnsi="Calibri" w:cs="Calibri"/>
                <w:color w:val="244062"/>
                <w:sz w:val="18"/>
                <w:szCs w:val="18"/>
                <w:lang w:eastAsia="es-CL"/>
              </w:rPr>
              <w:t>585</w:t>
            </w:r>
          </w:p>
        </w:tc>
      </w:tr>
      <w:tr w:rsidR="006F449E" w:rsidRPr="006F449E" w14:paraId="58E5D3A5" w14:textId="77777777" w:rsidTr="006F449E">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672D3F8C" w14:textId="0393B8D8"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4DEBBEF7" w14:textId="5526E333"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2.097</w:t>
            </w:r>
          </w:p>
        </w:tc>
        <w:tc>
          <w:tcPr>
            <w:tcW w:w="650" w:type="pct"/>
            <w:tcBorders>
              <w:top w:val="nil"/>
              <w:left w:val="nil"/>
              <w:bottom w:val="single" w:sz="4" w:space="0" w:color="A6A6A6"/>
              <w:right w:val="single" w:sz="4" w:space="0" w:color="A6A6A6"/>
            </w:tcBorders>
            <w:shd w:val="clear" w:color="000000" w:fill="1F497D"/>
            <w:vAlign w:val="center"/>
            <w:hideMark/>
          </w:tcPr>
          <w:p w14:paraId="6809F327" w14:textId="4FE70639"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2.097</w:t>
            </w:r>
          </w:p>
        </w:tc>
        <w:tc>
          <w:tcPr>
            <w:tcW w:w="641" w:type="pct"/>
            <w:tcBorders>
              <w:top w:val="nil"/>
              <w:left w:val="nil"/>
              <w:bottom w:val="single" w:sz="4" w:space="0" w:color="A6A6A6"/>
              <w:right w:val="single" w:sz="4" w:space="0" w:color="A6A6A6"/>
            </w:tcBorders>
            <w:shd w:val="clear" w:color="000000" w:fill="1F497D"/>
            <w:vAlign w:val="center"/>
            <w:hideMark/>
          </w:tcPr>
          <w:p w14:paraId="60C20ECF" w14:textId="6CE6ABB8"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4.121</w:t>
            </w:r>
          </w:p>
        </w:tc>
        <w:tc>
          <w:tcPr>
            <w:tcW w:w="669" w:type="pct"/>
            <w:tcBorders>
              <w:top w:val="nil"/>
              <w:left w:val="nil"/>
              <w:bottom w:val="single" w:sz="4" w:space="0" w:color="A6A6A6"/>
              <w:right w:val="single" w:sz="4" w:space="0" w:color="A6A6A6"/>
            </w:tcBorders>
            <w:shd w:val="clear" w:color="000000" w:fill="1F497D"/>
            <w:vAlign w:val="center"/>
            <w:hideMark/>
          </w:tcPr>
          <w:p w14:paraId="0FBF0DC5" w14:textId="6856AB13"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1.414</w:t>
            </w:r>
          </w:p>
        </w:tc>
        <w:tc>
          <w:tcPr>
            <w:tcW w:w="774" w:type="pct"/>
            <w:tcBorders>
              <w:top w:val="nil"/>
              <w:left w:val="nil"/>
              <w:bottom w:val="single" w:sz="4" w:space="0" w:color="A6A6A6"/>
              <w:right w:val="single" w:sz="4" w:space="0" w:color="A6A6A6"/>
            </w:tcBorders>
            <w:shd w:val="clear" w:color="000000" w:fill="1F497D"/>
            <w:vAlign w:val="center"/>
            <w:hideMark/>
          </w:tcPr>
          <w:p w14:paraId="2F7FE7A1" w14:textId="5FEDF435" w:rsidR="006F449E" w:rsidRPr="006F449E" w:rsidRDefault="006F449E" w:rsidP="006F449E">
            <w:pPr>
              <w:spacing w:after="0" w:line="240" w:lineRule="auto"/>
              <w:jc w:val="center"/>
              <w:rPr>
                <w:rFonts w:ascii="Calibri" w:eastAsia="Times New Roman" w:hAnsi="Calibri" w:cs="Calibri"/>
                <w:b/>
                <w:bCs/>
                <w:color w:val="FFFFFF"/>
                <w:sz w:val="18"/>
                <w:szCs w:val="18"/>
                <w:lang w:eastAsia="es-CL"/>
              </w:rPr>
            </w:pPr>
            <w:r w:rsidRPr="006F449E">
              <w:rPr>
                <w:rFonts w:ascii="Calibri" w:eastAsia="Times New Roman" w:hAnsi="Calibri" w:cs="Calibri"/>
                <w:b/>
                <w:bCs/>
                <w:color w:val="FFFFFF"/>
                <w:sz w:val="18"/>
                <w:szCs w:val="18"/>
                <w:lang w:eastAsia="es-CL"/>
              </w:rPr>
              <w:t>9.729</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2761C883" w:rsidR="001E65B3" w:rsidRDefault="001E65B3" w:rsidP="00330D14">
      <w:pPr>
        <w:pStyle w:val="Prrafodelista"/>
        <w:tabs>
          <w:tab w:val="left" w:pos="0"/>
        </w:tabs>
        <w:ind w:left="0"/>
        <w:rPr>
          <w:rFonts w:ascii="Calibri" w:hAnsi="Calibri" w:cs="Calibri"/>
        </w:rPr>
      </w:pPr>
    </w:p>
    <w:p w14:paraId="6D56005C" w14:textId="77777777" w:rsidR="0005196B" w:rsidRDefault="0005196B"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38C5BE8D"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C17937">
        <w:t>noviembre</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A55386">
        <w:t>3</w:t>
      </w:r>
      <w:r w:rsidR="006F449E">
        <w:t>5</w:t>
      </w:r>
      <w:r w:rsidR="00AA4471">
        <w:t>.</w:t>
      </w:r>
      <w:r w:rsidR="006F449E">
        <w:t>357</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E3264">
        <w:t>-</w:t>
      </w:r>
      <w:r w:rsidR="006F449E">
        <w:t>6</w:t>
      </w:r>
      <w:r w:rsidR="00C01232">
        <w:t>,</w:t>
      </w:r>
      <w:r w:rsidR="006F449E">
        <w:t>5</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F733DC">
        <w:t>-</w:t>
      </w:r>
      <w:r w:rsidR="006F449E">
        <w:t>4</w:t>
      </w:r>
      <w:r w:rsidR="00877A61">
        <w:t>,</w:t>
      </w:r>
      <w:r w:rsidR="006F449E">
        <w:t>5</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465AFE84" w:rsidR="00070FBD" w:rsidRDefault="00070FBD" w:rsidP="00083908">
      <w:pPr>
        <w:tabs>
          <w:tab w:val="left" w:pos="0"/>
        </w:tabs>
        <w:spacing w:after="0" w:line="240" w:lineRule="auto"/>
      </w:pPr>
      <w:r>
        <w:t xml:space="preserve">Del total de $ </w:t>
      </w:r>
      <w:r w:rsidR="00A55386">
        <w:t>3</w:t>
      </w:r>
      <w:r w:rsidR="006F449E">
        <w:t>5</w:t>
      </w:r>
      <w:r>
        <w:t>.</w:t>
      </w:r>
      <w:r w:rsidR="00A55386">
        <w:t>3</w:t>
      </w:r>
      <w:r w:rsidR="006F449E">
        <w:t>57</w:t>
      </w:r>
      <w:r>
        <w:t xml:space="preserve"> millones de ingresos brutos del juego o win,</w:t>
      </w:r>
      <w:r w:rsidR="00CF3270">
        <w:t xml:space="preserve"> </w:t>
      </w:r>
      <w:r w:rsidR="00010609">
        <w:t xml:space="preserve">Sun Monticello representó el </w:t>
      </w:r>
      <w:r w:rsidR="00692B82">
        <w:t>1</w:t>
      </w:r>
      <w:r w:rsidR="00A55386">
        <w:t>9</w:t>
      </w:r>
      <w:r w:rsidR="00010609">
        <w:t>,</w:t>
      </w:r>
      <w:r w:rsidR="006F449E">
        <w:t>6</w:t>
      </w:r>
      <w:r w:rsidR="00010609">
        <w:t xml:space="preserve">% ($ </w:t>
      </w:r>
      <w:r w:rsidR="006F449E">
        <w:t>6.945</w:t>
      </w:r>
      <w:r w:rsidR="00A55386">
        <w:t xml:space="preserve"> </w:t>
      </w:r>
      <w:r w:rsidR="00010609">
        <w:t>millones),</w:t>
      </w:r>
      <w:r w:rsidR="00EB33ED">
        <w:t xml:space="preserve"> </w:t>
      </w:r>
      <w:r w:rsidR="00F733DC">
        <w:t>Casino Viña del Mar 1</w:t>
      </w:r>
      <w:r w:rsidR="00EE3264">
        <w:t>0</w:t>
      </w:r>
      <w:r w:rsidR="00F733DC">
        <w:t>,</w:t>
      </w:r>
      <w:r w:rsidR="006F449E">
        <w:t>3</w:t>
      </w:r>
      <w:r w:rsidR="00F733DC">
        <w:t xml:space="preserve">% ($ </w:t>
      </w:r>
      <w:r w:rsidR="006F449E">
        <w:t>3.634</w:t>
      </w:r>
      <w:r w:rsidR="00F733DC">
        <w:t xml:space="preserve"> millones),</w:t>
      </w:r>
      <w:r w:rsidR="0090700B">
        <w:t xml:space="preserve"> </w:t>
      </w:r>
      <w:r w:rsidR="00A55386">
        <w:t>Marina del Sol Talcahuano 8,</w:t>
      </w:r>
      <w:r w:rsidR="006F449E">
        <w:t>5</w:t>
      </w:r>
      <w:r w:rsidR="00A55386">
        <w:t xml:space="preserve"> % ($ </w:t>
      </w:r>
      <w:r w:rsidR="006F449E">
        <w:t>3.022</w:t>
      </w:r>
      <w:r w:rsidR="00A55386">
        <w:t xml:space="preserve"> millones), </w:t>
      </w:r>
      <w:r w:rsidR="00EE3264">
        <w:t xml:space="preserve">Casino Rinconada </w:t>
      </w:r>
      <w:r w:rsidR="006F449E">
        <w:t>7</w:t>
      </w:r>
      <w:r w:rsidR="00EE3264">
        <w:t>,</w:t>
      </w:r>
      <w:r w:rsidR="006F449E">
        <w:t>5</w:t>
      </w:r>
      <w:r w:rsidR="00EE3264">
        <w:t xml:space="preserve">% ($ </w:t>
      </w:r>
      <w:r w:rsidR="006F449E">
        <w:t>2.640</w:t>
      </w:r>
      <w:r w:rsidR="00EE3264">
        <w:t xml:space="preserve"> millones), </w:t>
      </w:r>
      <w:r w:rsidR="006F449E">
        <w:t xml:space="preserve">Coquimbo 6,2 % ($ 2.177 millones), Enjoy Antofagasta 5,7 % ($ 2.025 millones),  </w:t>
      </w:r>
      <w:r w:rsidR="00A55386">
        <w:t xml:space="preserve">Dreams Temuco 5,0 % ($ </w:t>
      </w:r>
      <w:r w:rsidR="006F449E">
        <w:t>1.768</w:t>
      </w:r>
      <w:r w:rsidR="00A55386">
        <w:t xml:space="preserve"> millones), Dreams Punta Arenas 4,</w:t>
      </w:r>
      <w:r w:rsidR="006F449E">
        <w:t>2</w:t>
      </w:r>
      <w:r w:rsidR="00A55386">
        <w:t xml:space="preserve"> % ($ </w:t>
      </w:r>
      <w:r w:rsidR="006F449E">
        <w:t>1.483</w:t>
      </w:r>
      <w:r w:rsidR="00A55386">
        <w:t xml:space="preserve"> millones), </w:t>
      </w:r>
      <w:r w:rsidR="0090700B">
        <w:t xml:space="preserve">Casino de Iquique </w:t>
      </w:r>
      <w:r w:rsidR="00EE3264">
        <w:t>3</w:t>
      </w:r>
      <w:r w:rsidR="0090700B">
        <w:t>,</w:t>
      </w:r>
      <w:r w:rsidR="006F449E">
        <w:t>8</w:t>
      </w:r>
      <w:r w:rsidR="0090700B">
        <w:t xml:space="preserve"> % ($ </w:t>
      </w:r>
      <w:r w:rsidR="006F449E">
        <w:t>1.345</w:t>
      </w:r>
      <w:r w:rsidR="0090700B">
        <w:t xml:space="preserve"> millones), </w:t>
      </w:r>
      <w:r w:rsidR="00E15981">
        <w:t>Casino Puerto Varas 3,</w:t>
      </w:r>
      <w:r w:rsidR="006F449E">
        <w:t>4</w:t>
      </w:r>
      <w:r w:rsidR="00E15981">
        <w:t xml:space="preserve"> % ($ </w:t>
      </w:r>
      <w:r w:rsidR="006F449E">
        <w:t>1.208</w:t>
      </w:r>
      <w:r w:rsidR="00E15981">
        <w:t xml:space="preserve"> millones), </w:t>
      </w:r>
      <w:r w:rsidR="00A55386">
        <w:t xml:space="preserve">Marina del Sol Calama 2,8% ($ </w:t>
      </w:r>
      <w:r w:rsidR="006F449E">
        <w:t>984</w:t>
      </w:r>
      <w:r w:rsidR="00A55386">
        <w:t xml:space="preserve"> millones), Antay Casino &amp; Hotel 2,</w:t>
      </w:r>
      <w:r w:rsidR="006F449E">
        <w:t>7</w:t>
      </w:r>
      <w:r w:rsidR="00A55386">
        <w:t xml:space="preserve">% ($ </w:t>
      </w:r>
      <w:r w:rsidR="006F449E">
        <w:t>956</w:t>
      </w:r>
      <w:r w:rsidR="00A55386">
        <w:t xml:space="preserve"> millones), </w:t>
      </w:r>
      <w:r w:rsidR="006F449E">
        <w:t xml:space="preserve">Marina del Sol Osorno 2,4% ($ 848 millones), </w:t>
      </w:r>
      <w:r w:rsidR="00A55386">
        <w:t>Gran Casino de Talca 2,</w:t>
      </w:r>
      <w:r w:rsidR="006F449E">
        <w:t>1</w:t>
      </w:r>
      <w:r w:rsidR="00A55386">
        <w:t xml:space="preserve"> % ($ </w:t>
      </w:r>
      <w:r w:rsidR="006F449E">
        <w:t>749</w:t>
      </w:r>
      <w:r w:rsidR="00A55386">
        <w:t xml:space="preserve"> millones),</w:t>
      </w:r>
      <w:r w:rsidR="006F449E">
        <w:t xml:space="preserve"> Casino de Pucón 2,0 % ($ 694 millones), Marina del Sol Chillán 1,9% ($ 659 millones), Casino Luckia Arica 1,7% ($ 592 millones), </w:t>
      </w:r>
      <w:r w:rsidR="00A55386">
        <w:t xml:space="preserve">  </w:t>
      </w:r>
      <w:r w:rsidR="0090700B">
        <w:t xml:space="preserve">Dreams Valdivia </w:t>
      </w:r>
      <w:r w:rsidR="006F449E">
        <w:t>1</w:t>
      </w:r>
      <w:r w:rsidR="00A55386">
        <w:t>,</w:t>
      </w:r>
      <w:r w:rsidR="006F449E">
        <w:t>7</w:t>
      </w:r>
      <w:r w:rsidR="0090700B">
        <w:t xml:space="preserve"> % ($ </w:t>
      </w:r>
      <w:r w:rsidR="006F449E">
        <w:t>584</w:t>
      </w:r>
      <w:r w:rsidR="0090700B">
        <w:t xml:space="preserve"> millones),</w:t>
      </w:r>
      <w:r w:rsidR="004F674A">
        <w:t xml:space="preserve"> </w:t>
      </w:r>
      <w:r w:rsidR="00A55386">
        <w:t xml:space="preserve"> </w:t>
      </w:r>
      <w:r w:rsidR="00EA4151">
        <w:t>Casino de Juegos del Pacífico 1,</w:t>
      </w:r>
      <w:r w:rsidR="006F449E">
        <w:t>6</w:t>
      </w:r>
      <w:r w:rsidR="00EA4151">
        <w:t xml:space="preserve">% ($ </w:t>
      </w:r>
      <w:r w:rsidR="006F449E">
        <w:t>568</w:t>
      </w:r>
      <w:r w:rsidR="00EA4151">
        <w:t xml:space="preserve"> millones),</w:t>
      </w:r>
      <w:r w:rsidR="00EA4151" w:rsidRPr="005D4916">
        <w:t xml:space="preserve"> </w:t>
      </w:r>
      <w:r w:rsidR="005D4916">
        <w:t>Casino de Colchagua 1,</w:t>
      </w:r>
      <w:r w:rsidR="006F449E">
        <w:t>4</w:t>
      </w:r>
      <w:r w:rsidR="005D4916">
        <w:t>% ($</w:t>
      </w:r>
      <w:r w:rsidR="004F674A">
        <w:t xml:space="preserve"> </w:t>
      </w:r>
      <w:r w:rsidR="006F449E">
        <w:t xml:space="preserve">493 </w:t>
      </w:r>
      <w:r w:rsidR="005D4916">
        <w:t xml:space="preserve">millones), </w:t>
      </w:r>
      <w:r w:rsidR="006F449E">
        <w:t xml:space="preserve">Dreams Coyhaique 1,1 % ($ 395 millones), </w:t>
      </w:r>
      <w:r w:rsidR="00A55386">
        <w:t>Ovalle Casino Resort S.A. 1,</w:t>
      </w:r>
      <w:r w:rsidR="006F449E">
        <w:t>1</w:t>
      </w:r>
      <w:r w:rsidR="00A55386">
        <w:t xml:space="preserve">% ($ </w:t>
      </w:r>
      <w:r w:rsidR="006F449E">
        <w:t>38</w:t>
      </w:r>
      <w:r w:rsidR="000B22E7">
        <w:t>7</w:t>
      </w:r>
      <w:r w:rsidR="00A55386">
        <w:t xml:space="preserve"> millones), </w:t>
      </w:r>
      <w:r w:rsidR="006F449E">
        <w:t xml:space="preserve">Casino Gran Los Ángeles 1,1 % ($ 383 millones) </w:t>
      </w:r>
      <w:r w:rsidR="00A55386">
        <w:t>Casino de Arica 1,0 % ($ 3</w:t>
      </w:r>
      <w:r w:rsidR="006F449E">
        <w:t>40</w:t>
      </w:r>
      <w:r w:rsidR="00A55386">
        <w:t xml:space="preserve"> millones), Enjoy Chiloé </w:t>
      </w:r>
      <w:r w:rsidR="006F449E">
        <w:t>0</w:t>
      </w:r>
      <w:r w:rsidR="00A55386">
        <w:t>,</w:t>
      </w:r>
      <w:r w:rsidR="006F449E">
        <w:t>9</w:t>
      </w:r>
      <w:r w:rsidR="00A55386">
        <w:t xml:space="preserve"> % ($ </w:t>
      </w:r>
      <w:r w:rsidR="006F449E">
        <w:t>328</w:t>
      </w:r>
      <w:r w:rsidR="00A55386">
        <w:t xml:space="preserve"> millones), </w:t>
      </w:r>
      <w:r w:rsidR="004F674A">
        <w:t>y</w:t>
      </w:r>
      <w:r w:rsidR="005D4916">
        <w:t xml:space="preserve"> </w:t>
      </w:r>
      <w:r w:rsidR="00E470DA">
        <w:t>Casino de Natales 0,</w:t>
      </w:r>
      <w:r w:rsidR="00670C50">
        <w:t>4</w:t>
      </w:r>
      <w:r w:rsidR="00E470DA">
        <w:t xml:space="preserve"> % ($ </w:t>
      </w:r>
      <w:r w:rsidR="00480047">
        <w:t>1</w:t>
      </w:r>
      <w:r w:rsidR="00357728">
        <w:t>53</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15EFF0D4"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w:t>
      </w:r>
      <w:r w:rsidR="00357728">
        <w:t>5</w:t>
      </w:r>
      <w:r w:rsidR="00AA4471">
        <w:t>.</w:t>
      </w:r>
      <w:r w:rsidR="00357728">
        <w:t>809</w:t>
      </w:r>
      <w:r w:rsidR="00AA4471" w:rsidRPr="00FD382C">
        <w:t xml:space="preserve"> millones,</w:t>
      </w:r>
      <w:r w:rsidR="00070FBD">
        <w:t xml:space="preserve"> lo que representa un </w:t>
      </w:r>
      <w:r w:rsidR="00480047">
        <w:t>7</w:t>
      </w:r>
      <w:r w:rsidR="00357728">
        <w:t>3</w:t>
      </w:r>
      <w:r w:rsidR="00DE1747">
        <w:t>,</w:t>
      </w:r>
      <w:r w:rsidR="00357728">
        <w:t>0</w:t>
      </w:r>
      <w:r w:rsidR="00070FBD">
        <w:t>%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A55386">
        <w:t>-2</w:t>
      </w:r>
      <w:r w:rsidR="004360E3">
        <w:t>,</w:t>
      </w:r>
      <w:r w:rsidR="00357728">
        <w:t>8</w:t>
      </w:r>
      <w:r w:rsidR="00AA4471">
        <w:t>%</w:t>
      </w:r>
      <w:r w:rsidR="00AA4471" w:rsidRPr="00C8471D">
        <w:rPr>
          <w:rStyle w:val="Refdenotaalpie"/>
          <w:sz w:val="28"/>
          <w:szCs w:val="28"/>
        </w:rPr>
        <w:footnoteReference w:id="6"/>
      </w:r>
      <w:r w:rsidR="00AA4471">
        <w:t xml:space="preserve">, en comparación con </w:t>
      </w:r>
      <w:r w:rsidR="00357728">
        <w:t>noviembre</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A55386">
        <w:t>-2</w:t>
      </w:r>
      <w:r w:rsidR="00AA4471">
        <w:t>,</w:t>
      </w:r>
      <w:r w:rsidR="00357728">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49F9B85D" w:rsidR="00265A30" w:rsidRDefault="00265A30" w:rsidP="00083908">
      <w:pPr>
        <w:tabs>
          <w:tab w:val="left" w:pos="0"/>
        </w:tabs>
        <w:spacing w:after="0" w:line="240" w:lineRule="auto"/>
      </w:pPr>
      <w:r>
        <w:t xml:space="preserve">En los mismos términos, las </w:t>
      </w:r>
      <w:r w:rsidR="00357728">
        <w:t>410</w:t>
      </w:r>
      <w:r>
        <w:t>.</w:t>
      </w:r>
      <w:r w:rsidR="00357728">
        <w:t>202</w:t>
      </w:r>
      <w:r>
        <w:t xml:space="preserve"> visitas registradas equivalen a una variación de </w:t>
      </w:r>
      <w:r w:rsidR="00E701DB">
        <w:t>-</w:t>
      </w:r>
      <w:r w:rsidR="00A55386">
        <w:t>3</w:t>
      </w:r>
      <w:r w:rsidR="004F674A">
        <w:t>,</w:t>
      </w:r>
      <w:r w:rsidR="00357728">
        <w:t>7</w:t>
      </w:r>
      <w:r w:rsidR="003C4894">
        <w:t xml:space="preserve">% </w:t>
      </w:r>
      <w:r>
        <w:t xml:space="preserve">en comparación con </w:t>
      </w:r>
      <w:r w:rsidR="00C17937">
        <w:t>noviembre</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A55386">
        <w:t>1</w:t>
      </w:r>
      <w:r w:rsidR="00C905F9">
        <w:t>,</w:t>
      </w:r>
      <w:r w:rsidR="00357728">
        <w:t>8</w:t>
      </w:r>
      <w:r>
        <w:t>% en los últimos 12 meses.</w:t>
      </w:r>
    </w:p>
    <w:p w14:paraId="5579C75A" w14:textId="7B9E553B" w:rsidR="00265A30" w:rsidRDefault="00265A30" w:rsidP="00083908">
      <w:pPr>
        <w:tabs>
          <w:tab w:val="left" w:pos="0"/>
        </w:tabs>
        <w:spacing w:after="0" w:line="240" w:lineRule="auto"/>
      </w:pPr>
      <w:r>
        <w:lastRenderedPageBreak/>
        <w:t xml:space="preserve">Respecto del gasto de los visitantes, durante el mes de </w:t>
      </w:r>
      <w:r w:rsidR="00C17937">
        <w:t>noviembre</w:t>
      </w:r>
      <w:r w:rsidR="003F05FA">
        <w:t xml:space="preserve"> se</w:t>
      </w:r>
      <w:r>
        <w:t xml:space="preserve"> registró un gasto promedio </w:t>
      </w:r>
      <w:r w:rsidR="00A51CDD">
        <w:t>de $</w:t>
      </w:r>
      <w:r>
        <w:t xml:space="preserve"> </w:t>
      </w:r>
      <w:r w:rsidR="00E701DB">
        <w:t>62</w:t>
      </w:r>
      <w:r w:rsidR="004F674A">
        <w:t>.</w:t>
      </w:r>
      <w:r w:rsidR="00357728">
        <w:t>917</w:t>
      </w:r>
      <w:r>
        <w:t xml:space="preserve"> por visita, lo que </w:t>
      </w:r>
      <w:r w:rsidR="000D6BF6">
        <w:t xml:space="preserve">implica </w:t>
      </w:r>
      <w:r>
        <w:t xml:space="preserve">una variación </w:t>
      </w:r>
      <w:r w:rsidR="004E6E42">
        <w:t xml:space="preserve">real </w:t>
      </w:r>
      <w:r>
        <w:t xml:space="preserve">de </w:t>
      </w:r>
      <w:r w:rsidR="00357728">
        <w:t>0</w:t>
      </w:r>
      <w:r w:rsidR="00E43884">
        <w:t>,</w:t>
      </w:r>
      <w:r w:rsidR="00357728">
        <w:t>9</w:t>
      </w:r>
      <w:r>
        <w:t xml:space="preserve">% respecto de </w:t>
      </w:r>
      <w:r w:rsidR="00357728">
        <w:t>noviembre</w:t>
      </w:r>
      <w:r w:rsidR="00C44D28">
        <w:t xml:space="preserve"> </w:t>
      </w:r>
      <w:r w:rsidR="009A5B96">
        <w:t>de 2018</w:t>
      </w:r>
      <w:r>
        <w:t xml:space="preserve">, alcanzando un crecimiento acumulado real del gasto de </w:t>
      </w:r>
      <w:r w:rsidR="00341575">
        <w:t>-0</w:t>
      </w:r>
      <w:r w:rsidR="00895DCC">
        <w:t>,</w:t>
      </w:r>
      <w:r w:rsidR="00341575">
        <w:t>8</w:t>
      </w:r>
      <w:r>
        <w:t>% en los últimos 12 meses.</w:t>
      </w:r>
    </w:p>
    <w:p w14:paraId="40A7363C" w14:textId="77777777" w:rsidR="00ED60A3" w:rsidRDefault="00ED60A3" w:rsidP="00083908">
      <w:pPr>
        <w:tabs>
          <w:tab w:val="left" w:pos="0"/>
        </w:tabs>
        <w:spacing w:after="0" w:line="240" w:lineRule="auto"/>
      </w:pPr>
    </w:p>
    <w:p w14:paraId="5EE682DF" w14:textId="0E0F7902"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C17937">
        <w:t>noviembre</w:t>
      </w:r>
      <w:r>
        <w:t xml:space="preserve">, en las </w:t>
      </w:r>
      <w:r w:rsidR="004C761E">
        <w:t>1</w:t>
      </w:r>
      <w:r w:rsidR="00A22215">
        <w:t>0</w:t>
      </w:r>
      <w:r>
        <w:t>.</w:t>
      </w:r>
      <w:r w:rsidR="00357728">
        <w:t>709</w:t>
      </w:r>
      <w:r>
        <w:t xml:space="preserve"> máquinas de azar</w:t>
      </w:r>
      <w:r w:rsidR="00F849F9">
        <w:rPr>
          <w:rStyle w:val="Refdenotaalpie"/>
        </w:rPr>
        <w:footnoteReference w:id="9"/>
      </w:r>
      <w:r>
        <w:t xml:space="preserve"> que estuvieron en funcionamiento en los 1</w:t>
      </w:r>
      <w:r w:rsidR="00564571">
        <w:t>9</w:t>
      </w:r>
      <w:r>
        <w:t xml:space="preserve"> casinos regulados ascendió a $ </w:t>
      </w:r>
      <w:r w:rsidR="00E701DB">
        <w:t>3</w:t>
      </w:r>
      <w:r w:rsidR="00357728">
        <w:t>54</w:t>
      </w:r>
      <w:r w:rsidR="00BD5041">
        <w:t>.</w:t>
      </w:r>
      <w:r w:rsidR="00357728">
        <w:t>532</w:t>
      </w:r>
      <w:r>
        <w:t xml:space="preserve"> millones. Los premios pagados a los jugadores alcanzaron los $ </w:t>
      </w:r>
      <w:r w:rsidR="00357728">
        <w:t>332</w:t>
      </w:r>
      <w:r w:rsidR="00480047">
        <w:t>.</w:t>
      </w:r>
      <w:r w:rsidR="00357728">
        <w:t>369</w:t>
      </w:r>
      <w:r>
        <w:t xml:space="preserve"> millones, equivalentes al 9</w:t>
      </w:r>
      <w:r w:rsidR="00EA4151">
        <w:t>3</w:t>
      </w:r>
      <w:r>
        <w:t>,</w:t>
      </w:r>
      <w:r w:rsidR="00357728">
        <w:t>7</w:t>
      </w:r>
      <w:r>
        <w:t>% del total apostado</w:t>
      </w:r>
      <w:r w:rsidR="000D6BF6">
        <w:t xml:space="preserve"> y c</w:t>
      </w:r>
      <w:r>
        <w:t>omo</w:t>
      </w:r>
      <w:r w:rsidR="005B279E">
        <w:t xml:space="preserve"> resultado, el ingreso bruto o w</w:t>
      </w:r>
      <w:r>
        <w:t>in correspondiente al juego en máquinas de azar fue de $</w:t>
      </w:r>
      <w:r w:rsidR="00A14A88">
        <w:t>2</w:t>
      </w:r>
      <w:r w:rsidR="00357728">
        <w:t>2</w:t>
      </w:r>
      <w:r>
        <w:t>.</w:t>
      </w:r>
      <w:r w:rsidR="00357728">
        <w:t>164</w:t>
      </w:r>
      <w:r>
        <w:t xml:space="preserve"> millones</w:t>
      </w:r>
      <w:r w:rsidR="000D6BF6">
        <w:t>,</w:t>
      </w:r>
      <w:r>
        <w:t xml:space="preserve"> que equivale al </w:t>
      </w:r>
      <w:r w:rsidR="00341575">
        <w:t>8</w:t>
      </w:r>
      <w:r w:rsidR="00357728">
        <w:t>5</w:t>
      </w:r>
      <w:r>
        <w:t>,</w:t>
      </w:r>
      <w:r w:rsidR="00357728">
        <w:t>9</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2AA7DA48" w:rsidR="00265A30" w:rsidRDefault="00070FBD" w:rsidP="00083908">
      <w:pPr>
        <w:spacing w:after="0" w:line="240" w:lineRule="auto"/>
      </w:pPr>
      <w:r>
        <w:t xml:space="preserve">Por su parte, </w:t>
      </w:r>
      <w:r w:rsidR="00265A30" w:rsidRPr="00265A30">
        <w:t xml:space="preserve">los casinos municipales obtuvieron un total de $ </w:t>
      </w:r>
      <w:r w:rsidR="00357728">
        <w:t>9</w:t>
      </w:r>
      <w:r w:rsidR="00341575">
        <w:t>.</w:t>
      </w:r>
      <w:r w:rsidR="00357728">
        <w:t>549</w:t>
      </w:r>
      <w:r w:rsidR="00265A30" w:rsidRPr="00265A30">
        <w:t xml:space="preserve"> millones de ingresos brutos del juego o win, </w:t>
      </w:r>
      <w:r>
        <w:t xml:space="preserve">lo que representa un total de </w:t>
      </w:r>
      <w:r w:rsidR="00480047">
        <w:t>2</w:t>
      </w:r>
      <w:r w:rsidR="00357728">
        <w:t>7</w:t>
      </w:r>
      <w:r>
        <w:t>,</w:t>
      </w:r>
      <w:r w:rsidR="00357728">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57728">
        <w:t>15</w:t>
      </w:r>
      <w:r w:rsidR="00265A30" w:rsidRPr="00265A30">
        <w:rPr>
          <w:bCs/>
        </w:rPr>
        <w:t>,</w:t>
      </w:r>
      <w:r w:rsidR="00357728">
        <w:rPr>
          <w:bCs/>
        </w:rPr>
        <w:t>3</w:t>
      </w:r>
      <w:r w:rsidR="00265A30" w:rsidRPr="00265A30">
        <w:rPr>
          <w:bCs/>
        </w:rPr>
        <w:t>%</w:t>
      </w:r>
      <w:r w:rsidR="00265A30" w:rsidRPr="00265A30">
        <w:t xml:space="preserve"> en comparación con </w:t>
      </w:r>
      <w:r w:rsidR="00357728">
        <w:t>noviembre</w:t>
      </w:r>
      <w:r w:rsidR="00C44D28">
        <w:t xml:space="preserve"> </w:t>
      </w:r>
      <w:r w:rsidR="009A5B96">
        <w:t>de 2018</w:t>
      </w:r>
      <w:r w:rsidR="00265A30" w:rsidRPr="00265A30">
        <w:t xml:space="preserve"> y un crecimiento real acumulado de </w:t>
      </w:r>
      <w:r w:rsidR="00E43884">
        <w:t>-</w:t>
      </w:r>
      <w:r w:rsidR="00357728">
        <w:t>8</w:t>
      </w:r>
      <w:r w:rsidR="00265A30" w:rsidRPr="00265A30">
        <w:rPr>
          <w:bCs/>
        </w:rPr>
        <w:t>,</w:t>
      </w:r>
      <w:r w:rsidR="00357728">
        <w:rPr>
          <w:bCs/>
        </w:rPr>
        <w:t>6</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E96F0FD"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341575">
        <w:t>2</w:t>
      </w:r>
      <w:r w:rsidR="00357728">
        <w:t>5</w:t>
      </w:r>
      <w:r w:rsidR="008062BF">
        <w:t>.</w:t>
      </w:r>
      <w:r w:rsidR="00357728">
        <w:t>756</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0ADEA77F" w14:textId="77777777" w:rsidR="00303230" w:rsidRDefault="00303230">
      <w:pPr>
        <w:spacing w:line="259" w:lineRule="auto"/>
        <w:jc w:val="left"/>
        <w:rPr>
          <w:rFonts w:ascii="Calibri" w:hAnsi="Calibri" w:cs="Calibri"/>
          <w:b/>
          <w:sz w:val="21"/>
          <w:szCs w:val="21"/>
        </w:rPr>
      </w:pPr>
      <w:r>
        <w:rPr>
          <w:rFonts w:ascii="Calibri" w:hAnsi="Calibri" w:cs="Calibri"/>
          <w:b/>
          <w:sz w:val="21"/>
          <w:szCs w:val="21"/>
        </w:rPr>
        <w:br w:type="page"/>
      </w:r>
    </w:p>
    <w:p w14:paraId="528ABD30" w14:textId="1E74C3F7"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03230">
        <w:rPr>
          <w:rFonts w:ascii="Calibri" w:hAnsi="Calibri" w:cs="Calibri"/>
          <w:b/>
          <w:sz w:val="21"/>
          <w:szCs w:val="21"/>
        </w:rPr>
        <w:t>NOVIEMBRE</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060DA966" w:rsidR="003C18CD" w:rsidRDefault="00303230"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3349F18F" wp14:editId="11AB9311">
            <wp:extent cx="5805630" cy="3710315"/>
            <wp:effectExtent l="0" t="0" r="508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677" cy="3723766"/>
                    </a:xfrm>
                    <a:prstGeom prst="rect">
                      <a:avLst/>
                    </a:prstGeom>
                    <a:noFill/>
                  </pic:spPr>
                </pic:pic>
              </a:graphicData>
            </a:graphic>
          </wp:inline>
        </w:drawing>
      </w:r>
    </w:p>
    <w:p w14:paraId="214059BA" w14:textId="5FEA95BB" w:rsidR="00480047" w:rsidRDefault="00303230"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255E7807" wp14:editId="43540BFD">
            <wp:extent cx="5278322" cy="4148919"/>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979" cy="4164370"/>
                    </a:xfrm>
                    <a:prstGeom prst="rect">
                      <a:avLst/>
                    </a:prstGeom>
                    <a:noFill/>
                  </pic:spPr>
                </pic:pic>
              </a:graphicData>
            </a:graphic>
          </wp:inline>
        </w:drawing>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B37BD1A"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303230">
        <w:rPr>
          <w:b/>
        </w:rPr>
        <w:t>noviembre</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1288170A" w:rsidR="00FB3D8B" w:rsidRDefault="00303230"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0B33A9F2" wp14:editId="72B5EC31">
            <wp:extent cx="5252886" cy="3690752"/>
            <wp:effectExtent l="0" t="0" r="508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6309" cy="3700183"/>
                    </a:xfrm>
                    <a:prstGeom prst="rect">
                      <a:avLst/>
                    </a:prstGeom>
                    <a:noFill/>
                  </pic:spPr>
                </pic:pic>
              </a:graphicData>
            </a:graphic>
          </wp:inline>
        </w:drawing>
      </w:r>
    </w:p>
    <w:p w14:paraId="7AD39E61" w14:textId="0A5CD03D"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3DDD8FCF" w:rsidR="00FB3D8B" w:rsidRPr="001E2D5F" w:rsidRDefault="00303230" w:rsidP="005B1CCB">
      <w:pPr>
        <w:pStyle w:val="Prrafodelista"/>
        <w:tabs>
          <w:tab w:val="left" w:pos="0"/>
        </w:tabs>
        <w:ind w:left="0" w:hanging="567"/>
        <w:rPr>
          <w:b/>
        </w:rPr>
      </w:pPr>
      <w:r>
        <w:rPr>
          <w:b/>
          <w:noProof/>
          <w:lang w:eastAsia="es-CL"/>
        </w:rPr>
        <w:drawing>
          <wp:inline distT="0" distB="0" distL="0" distR="0" wp14:anchorId="221A2CB8" wp14:editId="3004D830">
            <wp:extent cx="5706167" cy="2088107"/>
            <wp:effectExtent l="0" t="0" r="889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186" cy="2091773"/>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51"/>
        <w:gridCol w:w="76"/>
        <w:gridCol w:w="717"/>
        <w:gridCol w:w="592"/>
        <w:gridCol w:w="581"/>
        <w:gridCol w:w="593"/>
        <w:gridCol w:w="593"/>
        <w:gridCol w:w="581"/>
        <w:gridCol w:w="581"/>
        <w:gridCol w:w="593"/>
        <w:gridCol w:w="581"/>
        <w:gridCol w:w="581"/>
        <w:gridCol w:w="581"/>
        <w:gridCol w:w="593"/>
      </w:tblGrid>
      <w:tr w:rsidR="0030323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303230" w:rsidRPr="00FC76DD" w:rsidRDefault="00303230" w:rsidP="0030323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59F68E8" w:rsidR="00303230" w:rsidRPr="00FC76DD" w:rsidRDefault="00303230" w:rsidP="00303230">
            <w:pPr>
              <w:spacing w:line="240" w:lineRule="auto"/>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7C0AE43A"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3508A136"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2F4E6E3D"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4FF37EED"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373FEECA"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0527CA0F"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4720F9D8"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266C59F2" w:rsidR="00303230" w:rsidRPr="00FC76DD" w:rsidRDefault="00303230" w:rsidP="00303230">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2A0CF9E" w:rsidR="00303230" w:rsidRPr="00FC76DD" w:rsidRDefault="00303230" w:rsidP="00303230">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6DE7C2EA"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40B86E92" w:rsidR="00303230" w:rsidRPr="00FC76DD" w:rsidRDefault="00303230" w:rsidP="00303230">
            <w:pPr>
              <w:jc w:val="center"/>
              <w:rPr>
                <w:rFonts w:ascii="Calibri" w:hAnsi="Calibri"/>
                <w:b/>
                <w:bCs/>
                <w:color w:val="FFFFFF"/>
                <w:sz w:val="10"/>
                <w:szCs w:val="10"/>
              </w:rPr>
            </w:pPr>
            <w:r>
              <w:rPr>
                <w:rFonts w:ascii="Calibri" w:hAnsi="Calibri" w:cs="Calibri"/>
                <w:b/>
                <w:bCs/>
                <w:color w:val="FFFFFF"/>
                <w:sz w:val="12"/>
                <w:szCs w:val="12"/>
              </w:rPr>
              <w:t>Nov</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30323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4562FB84" w:rsidR="00303230" w:rsidRPr="00FC76DD" w:rsidRDefault="00303230" w:rsidP="00303230">
            <w:pPr>
              <w:spacing w:line="240" w:lineRule="auto"/>
              <w:jc w:val="left"/>
              <w:rPr>
                <w:rFonts w:ascii="Calibri" w:hAnsi="Calibri"/>
                <w:color w:val="000000"/>
                <w:sz w:val="10"/>
                <w:szCs w:val="10"/>
              </w:rPr>
            </w:pPr>
            <w:r>
              <w:rPr>
                <w:rFonts w:ascii="Calibri" w:hAnsi="Calibri" w:cs="Calibri"/>
                <w:color w:val="000000"/>
                <w:sz w:val="12"/>
                <w:szCs w:val="12"/>
              </w:rPr>
              <w:t>Win diciembre 2017-noviembre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204AB718" w:rsidR="00303230" w:rsidRPr="00FC76DD" w:rsidRDefault="00303230" w:rsidP="00303230">
            <w:pPr>
              <w:spacing w:line="240" w:lineRule="auto"/>
              <w:jc w:val="center"/>
              <w:rPr>
                <w:rFonts w:ascii="Calibri" w:hAnsi="Calibri"/>
                <w:color w:val="000000"/>
                <w:sz w:val="10"/>
                <w:szCs w:val="10"/>
              </w:rPr>
            </w:pPr>
            <w:r>
              <w:rPr>
                <w:rFonts w:ascii="Calibri" w:hAnsi="Calibri" w:cs="Calibri"/>
                <w:color w:val="000000"/>
                <w:sz w:val="12"/>
                <w:szCs w:val="12"/>
              </w:rPr>
              <w:t xml:space="preserve">                                26.885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6CE38318"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185A16EB"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241F54F0"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5EE67ED7"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5FE938F9"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37973A84"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28.423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6065F9D0"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3C60731"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402EA45"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21BF5C0"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119325C9"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25.916 </w:t>
            </w:r>
          </w:p>
        </w:tc>
      </w:tr>
      <w:tr w:rsidR="0030323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76C4A8F9" w:rsidR="00303230" w:rsidRPr="00FC76DD" w:rsidRDefault="00303230" w:rsidP="00303230">
            <w:pPr>
              <w:jc w:val="left"/>
              <w:rPr>
                <w:rFonts w:ascii="Calibri" w:hAnsi="Calibri"/>
                <w:color w:val="000000"/>
                <w:sz w:val="10"/>
                <w:szCs w:val="10"/>
              </w:rPr>
            </w:pPr>
            <w:r>
              <w:rPr>
                <w:rFonts w:ascii="Calibri" w:hAnsi="Calibri" w:cs="Calibri"/>
                <w:color w:val="000000"/>
                <w:sz w:val="12"/>
                <w:szCs w:val="12"/>
              </w:rPr>
              <w:t>Win diciembre 2018-noviembre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42BAF26D"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4196AA30"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7A08C2E5"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07333607"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3B744269"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70B50ABF"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1802554"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5F28233F"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365E90D4"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0B2F502E"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29.043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42A9EC12"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23.902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1E603534"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 xml:space="preserve">                       25.809 </w:t>
            </w:r>
          </w:p>
        </w:tc>
      </w:tr>
      <w:tr w:rsidR="0030323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B60A2FC" w:rsidR="00303230" w:rsidRPr="00FC76DD" w:rsidRDefault="00303230" w:rsidP="0030323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097BA6B5"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79659060"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406C9BE4"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0C95ECC"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38A16EB2"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0E608683"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492094FA"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58B242BA"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05381BD8"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47CFC4F"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6,2%</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40B465C8"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-19,8%</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2E6455E9" w:rsidR="00303230" w:rsidRPr="00FC76DD" w:rsidRDefault="00303230" w:rsidP="00303230">
            <w:pPr>
              <w:jc w:val="center"/>
              <w:rPr>
                <w:rFonts w:ascii="Calibri" w:hAnsi="Calibri"/>
                <w:color w:val="000000"/>
                <w:sz w:val="10"/>
                <w:szCs w:val="10"/>
              </w:rPr>
            </w:pPr>
            <w:r>
              <w:rPr>
                <w:rFonts w:ascii="Calibri" w:hAnsi="Calibri" w:cs="Calibri"/>
                <w:color w:val="000000"/>
                <w:sz w:val="12"/>
                <w:szCs w:val="12"/>
              </w:rPr>
              <w:t>-0,4%</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6A37BF21" w:rsidR="00FB3D8B" w:rsidRPr="00FC76DD" w:rsidRDefault="00303230" w:rsidP="004843DA">
            <w:pPr>
              <w:jc w:val="center"/>
              <w:rPr>
                <w:rFonts w:ascii="Calibri" w:hAnsi="Calibri"/>
                <w:color w:val="000000"/>
                <w:sz w:val="10"/>
                <w:szCs w:val="10"/>
              </w:rPr>
            </w:pPr>
            <w:r>
              <w:rPr>
                <w:rFonts w:ascii="Calibri" w:hAnsi="Calibri"/>
                <w:color w:val="000000"/>
                <w:sz w:val="12"/>
                <w:szCs w:val="12"/>
              </w:rPr>
              <w:t>-</w:t>
            </w:r>
            <w:r w:rsidR="00341575">
              <w:rPr>
                <w:rFonts w:ascii="Calibri" w:hAnsi="Calibri"/>
                <w:color w:val="000000"/>
                <w:sz w:val="12"/>
                <w:szCs w:val="12"/>
              </w:rPr>
              <w:t>0</w:t>
            </w:r>
            <w:r w:rsidR="005305FC" w:rsidRPr="006E3960">
              <w:rPr>
                <w:rFonts w:ascii="Calibri" w:hAnsi="Calibri"/>
                <w:color w:val="000000"/>
                <w:sz w:val="12"/>
                <w:szCs w:val="12"/>
              </w:rPr>
              <w:t>.</w:t>
            </w:r>
            <w:r>
              <w:rPr>
                <w:rFonts w:ascii="Calibri" w:hAnsi="Calibri"/>
                <w:color w:val="000000"/>
                <w:sz w:val="12"/>
                <w:szCs w:val="12"/>
              </w:rPr>
              <w:t>2</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30323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3FE4F24" w:rsidR="00303230" w:rsidRPr="00303230" w:rsidRDefault="00303230" w:rsidP="00303230">
            <w:pPr>
              <w:spacing w:line="240" w:lineRule="auto"/>
              <w:jc w:val="left"/>
              <w:rPr>
                <w:rFonts w:ascii="Calibri" w:hAnsi="Calibri"/>
                <w:color w:val="000000"/>
                <w:sz w:val="10"/>
                <w:szCs w:val="10"/>
              </w:rPr>
            </w:pPr>
            <w:r w:rsidRPr="00303230">
              <w:rPr>
                <w:rFonts w:ascii="Calibri" w:hAnsi="Calibri" w:cs="Calibri"/>
                <w:color w:val="000000"/>
                <w:sz w:val="10"/>
                <w:szCs w:val="10"/>
              </w:rPr>
              <w:t>Win  Diciembre 2017-Noviembre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0392E86" w:rsidR="00303230" w:rsidRPr="00303230" w:rsidRDefault="00303230" w:rsidP="00303230">
            <w:pPr>
              <w:spacing w:line="240" w:lineRule="auto"/>
              <w:jc w:val="center"/>
              <w:rPr>
                <w:rFonts w:ascii="Calibri" w:hAnsi="Calibri"/>
                <w:color w:val="000000"/>
                <w:sz w:val="10"/>
                <w:szCs w:val="10"/>
              </w:rPr>
            </w:pPr>
            <w:r w:rsidRPr="00303230">
              <w:rPr>
                <w:rFonts w:ascii="Calibri" w:hAnsi="Calibri" w:cs="Calibri"/>
                <w:color w:val="000000"/>
                <w:sz w:val="10"/>
                <w:szCs w:val="10"/>
              </w:rPr>
              <w:t xml:space="preserve">                           1.003.249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02A4AD45"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17ADC0EC"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404779BF"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222E1429"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085647C0"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58CF3089"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1.046.534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6AD5AA34"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1.073.817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7E15E2B0"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12EE082E"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6B159D07"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3093F612"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941.275 </w:t>
            </w:r>
          </w:p>
        </w:tc>
      </w:tr>
      <w:tr w:rsidR="0030323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5682A0C" w:rsidR="00303230" w:rsidRPr="00303230" w:rsidRDefault="00303230" w:rsidP="00303230">
            <w:pPr>
              <w:jc w:val="left"/>
              <w:rPr>
                <w:rFonts w:ascii="Calibri" w:hAnsi="Calibri"/>
                <w:color w:val="000000"/>
                <w:sz w:val="10"/>
                <w:szCs w:val="10"/>
              </w:rPr>
            </w:pPr>
            <w:r w:rsidRPr="00303230">
              <w:rPr>
                <w:rFonts w:ascii="Calibri" w:hAnsi="Calibri" w:cs="Calibri"/>
                <w:color w:val="000000"/>
                <w:sz w:val="10"/>
                <w:szCs w:val="10"/>
              </w:rPr>
              <w:t>Win  Diciembre 2018-Noviembre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34D640BB"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1.042.979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71AFF674"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2E479834"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16869C20"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7DBDBAA4"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C796C2A"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580B8200"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774FD6E9"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5E243F6D"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7A47E639"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1.035.472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5584172E"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851.647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35B0FFAD"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 xml:space="preserve">                      914.481 </w:t>
            </w:r>
          </w:p>
        </w:tc>
      </w:tr>
      <w:tr w:rsidR="0030323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C72526A" w:rsidR="00303230" w:rsidRPr="00303230" w:rsidRDefault="00303230" w:rsidP="00303230">
            <w:pPr>
              <w:jc w:val="left"/>
              <w:rPr>
                <w:rFonts w:ascii="Calibri" w:hAnsi="Calibri"/>
                <w:bCs/>
                <w:color w:val="000000"/>
                <w:sz w:val="10"/>
                <w:szCs w:val="10"/>
              </w:rPr>
            </w:pPr>
            <w:r w:rsidRPr="00303230">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33A7071"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7061DC0E"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4BBCEE87"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6232690D"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4BC11D84"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EDA7511"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6DB4B9DC"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6103F958"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337D3647"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149A47DC"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4DBC0312"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-21,6%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55BCEB1D" w:rsidR="00303230" w:rsidRPr="00303230" w:rsidRDefault="00303230" w:rsidP="00303230">
            <w:pPr>
              <w:jc w:val="center"/>
              <w:rPr>
                <w:rFonts w:ascii="Calibri" w:hAnsi="Calibri"/>
                <w:color w:val="000000"/>
                <w:sz w:val="10"/>
                <w:szCs w:val="10"/>
              </w:rPr>
            </w:pPr>
            <w:r w:rsidRPr="00303230">
              <w:rPr>
                <w:rFonts w:ascii="Calibri" w:hAnsi="Calibri" w:cs="Calibri"/>
                <w:color w:val="000000"/>
                <w:sz w:val="10"/>
                <w:szCs w:val="10"/>
              </w:rPr>
              <w:t>-2,8%</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1C3B3154" w:rsidR="00FB3D8B" w:rsidRPr="006C4C1B" w:rsidRDefault="00341575" w:rsidP="00574797">
            <w:pPr>
              <w:jc w:val="center"/>
              <w:rPr>
                <w:rFonts w:ascii="Calibri" w:hAnsi="Calibri"/>
                <w:color w:val="000000"/>
                <w:sz w:val="10"/>
                <w:szCs w:val="10"/>
              </w:rPr>
            </w:pPr>
            <w:r>
              <w:rPr>
                <w:rFonts w:ascii="Calibri" w:hAnsi="Calibri"/>
                <w:color w:val="000000"/>
                <w:sz w:val="10"/>
                <w:szCs w:val="10"/>
              </w:rPr>
              <w:t>-2</w:t>
            </w:r>
            <w:r w:rsidR="00356EEF" w:rsidRPr="006C4C1B">
              <w:rPr>
                <w:rFonts w:ascii="Calibri" w:hAnsi="Calibri"/>
                <w:color w:val="000000"/>
                <w:sz w:val="10"/>
                <w:szCs w:val="10"/>
              </w:rPr>
              <w:t>,</w:t>
            </w:r>
            <w:r w:rsidR="00303230">
              <w:rPr>
                <w:rFonts w:ascii="Calibri" w:hAnsi="Calibri"/>
                <w:color w:val="000000"/>
                <w:sz w:val="10"/>
                <w:szCs w:val="10"/>
              </w:rPr>
              <w:t>6</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4CE3622F" w:rsidR="00196290" w:rsidRDefault="00303230" w:rsidP="00196290">
      <w:pPr>
        <w:pStyle w:val="Prrafodelista"/>
        <w:tabs>
          <w:tab w:val="left" w:pos="0"/>
          <w:tab w:val="left" w:pos="6285"/>
        </w:tabs>
        <w:ind w:left="0"/>
        <w:jc w:val="left"/>
        <w:rPr>
          <w:b/>
        </w:rPr>
      </w:pPr>
      <w:r>
        <w:rPr>
          <w:b/>
          <w:noProof/>
          <w:lang w:eastAsia="es-CL"/>
        </w:rPr>
        <w:drawing>
          <wp:inline distT="0" distB="0" distL="0" distR="0" wp14:anchorId="4E75FB0E" wp14:editId="506EE2D4">
            <wp:extent cx="5433316" cy="18635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978" cy="1877486"/>
                    </a:xfrm>
                    <a:prstGeom prst="rect">
                      <a:avLst/>
                    </a:prstGeom>
                    <a:noFill/>
                  </pic:spPr>
                </pic:pic>
              </a:graphicData>
            </a:graphic>
          </wp:inline>
        </w:drawing>
      </w:r>
    </w:p>
    <w:p w14:paraId="03560E82" w14:textId="13731F39"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3D6A840E" w:rsidR="00FB3D8B" w:rsidRDefault="00A0576A" w:rsidP="00FB3D8B">
      <w:pPr>
        <w:pStyle w:val="Prrafodelista"/>
        <w:tabs>
          <w:tab w:val="left" w:pos="0"/>
          <w:tab w:val="left" w:pos="6285"/>
        </w:tabs>
        <w:ind w:left="0"/>
        <w:jc w:val="left"/>
      </w:pPr>
      <w:r>
        <w:rPr>
          <w:noProof/>
          <w:lang w:eastAsia="es-CL"/>
        </w:rPr>
        <w:drawing>
          <wp:inline distT="0" distB="0" distL="0" distR="0" wp14:anchorId="5AEF4EE7" wp14:editId="4ACF5D48">
            <wp:extent cx="5302675" cy="181873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0316" cy="1841932"/>
                    </a:xfrm>
                    <a:prstGeom prst="rect">
                      <a:avLst/>
                    </a:prstGeom>
                    <a:noFill/>
                  </pic:spPr>
                </pic:pic>
              </a:graphicData>
            </a:graphic>
          </wp:inline>
        </w:drawing>
      </w:r>
    </w:p>
    <w:p w14:paraId="442EB162" w14:textId="4900B149"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1810C7CA" w:rsidR="00FC76DD" w:rsidRDefault="00303230" w:rsidP="00FB3D8B">
      <w:pPr>
        <w:pStyle w:val="Prrafodelista"/>
        <w:tabs>
          <w:tab w:val="left" w:pos="0"/>
          <w:tab w:val="left" w:pos="6285"/>
        </w:tabs>
        <w:ind w:left="0"/>
        <w:jc w:val="left"/>
        <w:rPr>
          <w:b/>
        </w:rPr>
      </w:pPr>
      <w:r>
        <w:rPr>
          <w:b/>
          <w:noProof/>
          <w:lang w:eastAsia="es-CL"/>
        </w:rPr>
        <w:drawing>
          <wp:inline distT="0" distB="0" distL="0" distR="0" wp14:anchorId="1872B1D6" wp14:editId="22D26FAF">
            <wp:extent cx="5337781" cy="2208010"/>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7695" cy="2216248"/>
                    </a:xfrm>
                    <a:prstGeom prst="rect">
                      <a:avLst/>
                    </a:prstGeom>
                    <a:noFill/>
                  </pic:spPr>
                </pic:pic>
              </a:graphicData>
            </a:graphic>
          </wp:inline>
        </w:drawing>
      </w:r>
    </w:p>
    <w:p w14:paraId="53AA8C7D" w14:textId="2A0FB17B"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C17937">
        <w:rPr>
          <w:b/>
        </w:rPr>
        <w:t>octubre</w:t>
      </w:r>
      <w:r w:rsidR="007F6746">
        <w:rPr>
          <w:b/>
        </w:rPr>
        <w:t xml:space="preserve"> </w:t>
      </w:r>
      <w:r w:rsidRPr="00EA72CD">
        <w:rPr>
          <w:b/>
        </w:rPr>
        <w:t>-</w:t>
      </w:r>
      <w:r w:rsidR="00F038FF">
        <w:rPr>
          <w:b/>
        </w:rPr>
        <w:t xml:space="preserve"> </w:t>
      </w:r>
      <w:r w:rsidR="00C17937">
        <w:rPr>
          <w:b/>
        </w:rPr>
        <w:t>noviem</w:t>
      </w:r>
      <w:r w:rsidR="007A2C4B">
        <w:rPr>
          <w:b/>
        </w:rPr>
        <w:t>bre</w:t>
      </w:r>
      <w:r w:rsidRPr="00EA72CD">
        <w:rPr>
          <w:b/>
        </w:rPr>
        <w:t xml:space="preserve"> 201</w:t>
      </w:r>
      <w:r w:rsidR="00EC56BB">
        <w:rPr>
          <w:b/>
        </w:rPr>
        <w:t>9</w:t>
      </w:r>
    </w:p>
    <w:p w14:paraId="331F9F5D" w14:textId="59C6BCCA" w:rsidR="00FB3D8B" w:rsidRDefault="00303230" w:rsidP="00C73FD0">
      <w:pPr>
        <w:pStyle w:val="Prrafodelista"/>
        <w:tabs>
          <w:tab w:val="left" w:pos="0"/>
          <w:tab w:val="left" w:pos="360"/>
          <w:tab w:val="left" w:pos="6285"/>
        </w:tabs>
        <w:ind w:left="0"/>
        <w:jc w:val="center"/>
        <w:rPr>
          <w:b/>
        </w:rPr>
      </w:pPr>
      <w:r>
        <w:rPr>
          <w:b/>
          <w:noProof/>
          <w:lang w:eastAsia="es-CL"/>
        </w:rPr>
        <w:drawing>
          <wp:inline distT="0" distB="0" distL="0" distR="0" wp14:anchorId="487FA0E0" wp14:editId="04DFC5F2">
            <wp:extent cx="5267675" cy="249933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5809" cy="2507936"/>
                    </a:xfrm>
                    <a:prstGeom prst="rect">
                      <a:avLst/>
                    </a:prstGeom>
                    <a:noFill/>
                  </pic:spPr>
                </pic:pic>
              </a:graphicData>
            </a:graphic>
          </wp:inline>
        </w:drawing>
      </w:r>
    </w:p>
    <w:p w14:paraId="5F31861B" w14:textId="7E13582C" w:rsidR="00FB3D8B" w:rsidRDefault="00FB3D8B" w:rsidP="00FB3D8B">
      <w:pPr>
        <w:pStyle w:val="Prrafodelista"/>
        <w:tabs>
          <w:tab w:val="left" w:pos="0"/>
          <w:tab w:val="left" w:pos="360"/>
          <w:tab w:val="left" w:pos="6285"/>
        </w:tabs>
        <w:ind w:left="0"/>
        <w:jc w:val="left"/>
        <w:rPr>
          <w:b/>
        </w:rPr>
      </w:pPr>
    </w:p>
    <w:p w14:paraId="36B91931" w14:textId="6C94A4C2"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50AB90B7" w:rsidR="0095264F" w:rsidRDefault="0095264F" w:rsidP="00FB3D8B">
      <w:pPr>
        <w:pStyle w:val="Prrafodelista"/>
        <w:tabs>
          <w:tab w:val="left" w:pos="0"/>
          <w:tab w:val="left" w:pos="360"/>
          <w:tab w:val="left" w:pos="6285"/>
        </w:tabs>
        <w:ind w:left="0"/>
        <w:jc w:val="left"/>
        <w:rPr>
          <w:b/>
        </w:rPr>
      </w:pPr>
    </w:p>
    <w:p w14:paraId="60DB932C" w14:textId="77777777" w:rsidR="007A2C4B" w:rsidRDefault="007A2C4B" w:rsidP="00FB3D8B">
      <w:pPr>
        <w:pStyle w:val="Prrafodelista"/>
        <w:tabs>
          <w:tab w:val="left" w:pos="0"/>
          <w:tab w:val="left" w:pos="360"/>
          <w:tab w:val="left" w:pos="6285"/>
        </w:tabs>
        <w:ind w:left="0"/>
        <w:jc w:val="left"/>
        <w:rPr>
          <w:b/>
        </w:rPr>
      </w:pPr>
    </w:p>
    <w:p w14:paraId="3A001A03" w14:textId="65CE2390"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C17937">
        <w:rPr>
          <w:b/>
        </w:rPr>
        <w:t>noviembre</w:t>
      </w:r>
      <w:r>
        <w:rPr>
          <w:b/>
        </w:rPr>
        <w:t xml:space="preserve"> de 201</w:t>
      </w:r>
      <w:r w:rsidR="00EC56BB">
        <w:rPr>
          <w:b/>
        </w:rPr>
        <w:t>9</w:t>
      </w:r>
      <w:r>
        <w:rPr>
          <w:b/>
        </w:rPr>
        <w:t>, valores nominales ($)</w:t>
      </w:r>
    </w:p>
    <w:p w14:paraId="30F2B916" w14:textId="544BDEA2" w:rsidR="00FB3D8B" w:rsidRDefault="00303230" w:rsidP="00FB3D8B">
      <w:pPr>
        <w:tabs>
          <w:tab w:val="left" w:pos="0"/>
          <w:tab w:val="left" w:pos="6285"/>
        </w:tabs>
        <w:jc w:val="center"/>
        <w:rPr>
          <w:szCs w:val="21"/>
        </w:rPr>
      </w:pPr>
      <w:r>
        <w:rPr>
          <w:noProof/>
          <w:szCs w:val="21"/>
          <w:lang w:eastAsia="es-CL"/>
        </w:rPr>
        <w:drawing>
          <wp:inline distT="0" distB="0" distL="0" distR="0" wp14:anchorId="69C7EA97" wp14:editId="7A2038C8">
            <wp:extent cx="4076679" cy="3323192"/>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0511" cy="3334468"/>
                    </a:xfrm>
                    <a:prstGeom prst="rect">
                      <a:avLst/>
                    </a:prstGeom>
                    <a:noFill/>
                  </pic:spPr>
                </pic:pic>
              </a:graphicData>
            </a:graphic>
          </wp:inline>
        </w:drawing>
      </w:r>
    </w:p>
    <w:p w14:paraId="46B45F1F" w14:textId="62F087F7"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C17937">
        <w:rPr>
          <w:b/>
        </w:rPr>
        <w:t>noviembre</w:t>
      </w:r>
      <w:r w:rsidR="000D553D" w:rsidRPr="00804E4B">
        <w:rPr>
          <w:b/>
        </w:rPr>
        <w:t xml:space="preserve"> de 201</w:t>
      </w:r>
      <w:r w:rsidR="00C90A65">
        <w:rPr>
          <w:b/>
        </w:rPr>
        <w:t>9</w:t>
      </w:r>
    </w:p>
    <w:p w14:paraId="312238BC" w14:textId="44EBF33E" w:rsidR="00274F17" w:rsidRDefault="00303230" w:rsidP="00670528">
      <w:pPr>
        <w:pStyle w:val="Prrafodelista"/>
        <w:tabs>
          <w:tab w:val="left" w:pos="0"/>
          <w:tab w:val="left" w:pos="6285"/>
        </w:tabs>
        <w:ind w:left="0"/>
        <w:jc w:val="center"/>
        <w:rPr>
          <w:szCs w:val="21"/>
        </w:rPr>
      </w:pPr>
      <w:r>
        <w:rPr>
          <w:noProof/>
          <w:szCs w:val="21"/>
          <w:lang w:eastAsia="es-CL"/>
        </w:rPr>
        <w:drawing>
          <wp:inline distT="0" distB="0" distL="0" distR="0" wp14:anchorId="51FD20AF" wp14:editId="73E21FD4">
            <wp:extent cx="3481070" cy="457835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578350"/>
                    </a:xfrm>
                    <a:prstGeom prst="rect">
                      <a:avLst/>
                    </a:prstGeom>
                    <a:noFill/>
                  </pic:spPr>
                </pic:pic>
              </a:graphicData>
            </a:graphic>
          </wp:inline>
        </w:drawing>
      </w:r>
    </w:p>
    <w:p w14:paraId="6112525E" w14:textId="38086C5C"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C17937">
        <w:rPr>
          <w:b/>
        </w:rPr>
        <w:t>noviembre</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303230" w:rsidRPr="00303230" w14:paraId="55F47A2E" w14:textId="77777777" w:rsidTr="0030323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A428BA8" w14:textId="64A65B70" w:rsidR="00303230" w:rsidRPr="00303230" w:rsidRDefault="00303230" w:rsidP="00303230">
            <w:pPr>
              <w:spacing w:after="0" w:line="240" w:lineRule="auto"/>
              <w:jc w:val="center"/>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 xml:space="preserve">MÁQUINAS DE AZAR: Montos Apostados y Premios Ganados ($ </w:t>
            </w:r>
            <w:r w:rsidR="00B8365F" w:rsidRPr="00303230">
              <w:rPr>
                <w:rFonts w:ascii="Calibri" w:eastAsia="Times New Roman" w:hAnsi="Calibri" w:cs="Calibri"/>
                <w:b/>
                <w:bCs/>
                <w:color w:val="FFFFFF"/>
                <w:sz w:val="18"/>
                <w:szCs w:val="18"/>
                <w:lang w:eastAsia="es-CL"/>
              </w:rPr>
              <w:t xml:space="preserve">Millones)  </w:t>
            </w:r>
            <w:r w:rsidRPr="00303230">
              <w:rPr>
                <w:rFonts w:ascii="Calibri" w:eastAsia="Times New Roman" w:hAnsi="Calibri" w:cs="Calibri"/>
                <w:b/>
                <w:bCs/>
                <w:color w:val="FFFFFF"/>
                <w:sz w:val="18"/>
                <w:szCs w:val="18"/>
                <w:lang w:eastAsia="es-CL"/>
              </w:rPr>
              <w:t xml:space="preserve">                                                                                                     Noviembre 2019 ($ Millones)</w:t>
            </w:r>
          </w:p>
        </w:tc>
      </w:tr>
      <w:tr w:rsidR="00303230" w:rsidRPr="00303230" w14:paraId="014CE30E" w14:textId="77777777" w:rsidTr="0030323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1F0021DC" w14:textId="77777777" w:rsidR="00303230" w:rsidRPr="00303230" w:rsidRDefault="00303230" w:rsidP="00303230">
            <w:pPr>
              <w:spacing w:after="0" w:line="240" w:lineRule="auto"/>
              <w:jc w:val="center"/>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31FC505" w14:textId="77777777" w:rsidR="00303230" w:rsidRPr="00303230" w:rsidRDefault="00303230" w:rsidP="00303230">
            <w:pPr>
              <w:spacing w:after="0" w:line="240" w:lineRule="auto"/>
              <w:jc w:val="center"/>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54D63153" w14:textId="77777777" w:rsidR="00303230" w:rsidRPr="00303230" w:rsidRDefault="00303230" w:rsidP="00303230">
            <w:pPr>
              <w:spacing w:after="0" w:line="240" w:lineRule="auto"/>
              <w:jc w:val="center"/>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82F1532" w14:textId="77777777" w:rsidR="00303230" w:rsidRPr="00303230" w:rsidRDefault="00303230" w:rsidP="00303230">
            <w:pPr>
              <w:spacing w:after="0" w:line="240" w:lineRule="auto"/>
              <w:jc w:val="center"/>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 xml:space="preserve">Porcentaje de retorno </w:t>
            </w:r>
          </w:p>
        </w:tc>
      </w:tr>
      <w:tr w:rsidR="00303230" w:rsidRPr="00303230" w14:paraId="117A5682" w14:textId="77777777" w:rsidTr="0030323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DAF32ED"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54199B2"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9.355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00B220C1"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8.818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4C9F2C7B"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94,3%</w:t>
            </w:r>
          </w:p>
        </w:tc>
      </w:tr>
      <w:tr w:rsidR="00303230" w:rsidRPr="00303230" w14:paraId="44F61E02"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D5586C8"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75205A0E"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13.027 </w:t>
            </w:r>
          </w:p>
        </w:tc>
        <w:tc>
          <w:tcPr>
            <w:tcW w:w="2528" w:type="dxa"/>
            <w:tcBorders>
              <w:top w:val="nil"/>
              <w:left w:val="nil"/>
              <w:bottom w:val="single" w:sz="4" w:space="0" w:color="808080"/>
              <w:right w:val="single" w:sz="4" w:space="0" w:color="808080"/>
            </w:tcBorders>
            <w:shd w:val="clear" w:color="000000" w:fill="FFFFFF"/>
            <w:noWrap/>
            <w:vAlign w:val="bottom"/>
            <w:hideMark/>
          </w:tcPr>
          <w:p w14:paraId="752BBC2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12.161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9DE01C1"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93,4%</w:t>
            </w:r>
          </w:p>
        </w:tc>
      </w:tr>
      <w:tr w:rsidR="00303230" w:rsidRPr="00303230" w14:paraId="02604113"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0EA04D9" w14:textId="77777777" w:rsidR="00303230" w:rsidRPr="00303230" w:rsidRDefault="00303230" w:rsidP="00303230">
            <w:pPr>
              <w:spacing w:after="0" w:line="240" w:lineRule="auto"/>
              <w:jc w:val="left"/>
              <w:rPr>
                <w:rFonts w:ascii="Calibri" w:eastAsia="Times New Roman" w:hAnsi="Calibri" w:cs="Calibri"/>
                <w:b/>
                <w:bCs/>
                <w:sz w:val="18"/>
                <w:szCs w:val="18"/>
                <w:lang w:eastAsia="es-CL"/>
              </w:rPr>
            </w:pPr>
            <w:r w:rsidRPr="00303230">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1CC8D5AC"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25.846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B9DCFB"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24.103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785F7D8B"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93,3%</w:t>
            </w:r>
          </w:p>
        </w:tc>
      </w:tr>
      <w:tr w:rsidR="00303230" w:rsidRPr="00303230" w14:paraId="18D946F2"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1AD27E1"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2ADFC280"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11.549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35783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10.718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F5206BC"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92,8%</w:t>
            </w:r>
          </w:p>
        </w:tc>
      </w:tr>
      <w:tr w:rsidR="00303230" w:rsidRPr="00303230" w14:paraId="2FC886ED"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28373ED"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680325E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5.721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BD23B2D"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5.409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B351DE4"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94,5%</w:t>
            </w:r>
          </w:p>
        </w:tc>
      </w:tr>
      <w:tr w:rsidR="00303230" w:rsidRPr="00303230" w14:paraId="23572ABC"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AECF66F"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2FB6CCF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7.511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2E265B2"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6.989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640D1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93,1%</w:t>
            </w:r>
          </w:p>
        </w:tc>
      </w:tr>
      <w:tr w:rsidR="00303230" w:rsidRPr="00303230" w14:paraId="66DC4C4A"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20F400B"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E18C65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37.077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177E5B2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34.731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7C2675"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93,7%</w:t>
            </w:r>
          </w:p>
        </w:tc>
      </w:tr>
      <w:tr w:rsidR="00303230" w:rsidRPr="00303230" w14:paraId="7B84D293"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67A167"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EA7C330"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92.353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4F7C8F4"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87.067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0E4FB2D"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94,3%</w:t>
            </w:r>
          </w:p>
        </w:tc>
      </w:tr>
      <w:tr w:rsidR="00303230" w:rsidRPr="00303230" w14:paraId="4F7FF6A0"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18F3A74"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EC24117"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5.908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D47FE1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5.513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DEBF0C1"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93,3%</w:t>
            </w:r>
          </w:p>
        </w:tc>
      </w:tr>
      <w:tr w:rsidR="00303230" w:rsidRPr="00303230" w14:paraId="776F05D5"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B254225"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5F678677"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10.868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19E7B58"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10.171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7EE98F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93,6%</w:t>
            </w:r>
          </w:p>
        </w:tc>
      </w:tr>
      <w:tr w:rsidR="00303230" w:rsidRPr="00303230" w14:paraId="48A9ACB5"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93FAEDE"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1B246978"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7.332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5EEEECF2"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6.861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04DD47"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93,6%</w:t>
            </w:r>
          </w:p>
        </w:tc>
      </w:tr>
      <w:tr w:rsidR="00303230" w:rsidRPr="00303230" w14:paraId="1A4D635B"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0537345"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79FDE7"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45.203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3F0E469B"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42.380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1B7914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93,8%</w:t>
            </w:r>
          </w:p>
        </w:tc>
      </w:tr>
      <w:tr w:rsidR="00303230" w:rsidRPr="00303230" w14:paraId="149B3D29"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E958A0"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 xml:space="preserve">Casino Gran Los </w:t>
            </w:r>
            <w:proofErr w:type="spellStart"/>
            <w:r w:rsidRPr="00303230">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03F9BF4E"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3.913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F2CCA43"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3.688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458254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94,2%</w:t>
            </w:r>
          </w:p>
        </w:tc>
      </w:tr>
      <w:tr w:rsidR="00303230" w:rsidRPr="00303230" w14:paraId="6EC7BEEE"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28606FE" w14:textId="77777777" w:rsidR="00303230" w:rsidRPr="00303230" w:rsidRDefault="00303230" w:rsidP="00303230">
            <w:pPr>
              <w:spacing w:after="0" w:line="240" w:lineRule="auto"/>
              <w:jc w:val="left"/>
              <w:rPr>
                <w:rFonts w:ascii="Calibri" w:eastAsia="Times New Roman" w:hAnsi="Calibri" w:cs="Calibri"/>
                <w:b/>
                <w:bCs/>
                <w:sz w:val="18"/>
                <w:szCs w:val="18"/>
                <w:lang w:eastAsia="es-CL"/>
              </w:rPr>
            </w:pPr>
            <w:r w:rsidRPr="00303230">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AC7017D"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26.377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F90C944"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24.736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85F9A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93,8%</w:t>
            </w:r>
          </w:p>
        </w:tc>
      </w:tr>
      <w:tr w:rsidR="00303230" w:rsidRPr="00303230" w14:paraId="4AAA09D0"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FF497EF"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6575A62E"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9.181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D752460"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8.613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20165C5"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93,8%</w:t>
            </w:r>
          </w:p>
        </w:tc>
      </w:tr>
      <w:tr w:rsidR="00303230" w:rsidRPr="00303230" w14:paraId="7AA8EF68"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4742D5"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0DBD02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10.875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BCD3BDC"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10.077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B7E6301"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92,7%</w:t>
            </w:r>
          </w:p>
        </w:tc>
      </w:tr>
      <w:tr w:rsidR="00303230" w:rsidRPr="00303230" w14:paraId="57B87248"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DF56503"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0A31043A"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4.259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57BDA4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3.957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4B71618E"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92,9%</w:t>
            </w:r>
          </w:p>
        </w:tc>
      </w:tr>
      <w:tr w:rsidR="00303230" w:rsidRPr="00303230" w14:paraId="4554AE1F" w14:textId="77777777" w:rsidTr="0030323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A050AFF"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E83C67C"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5.849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062417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5.469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04763179"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93,5%</w:t>
            </w:r>
          </w:p>
        </w:tc>
      </w:tr>
      <w:tr w:rsidR="00303230" w:rsidRPr="00303230" w14:paraId="68C29F2B" w14:textId="77777777" w:rsidTr="00303230">
        <w:trPr>
          <w:trHeight w:val="300"/>
        </w:trPr>
        <w:tc>
          <w:tcPr>
            <w:tcW w:w="2379" w:type="dxa"/>
            <w:tcBorders>
              <w:top w:val="nil"/>
              <w:left w:val="nil"/>
              <w:bottom w:val="nil"/>
              <w:right w:val="nil"/>
            </w:tcBorders>
            <w:shd w:val="clear" w:color="000000" w:fill="FFFFFF"/>
            <w:noWrap/>
            <w:vAlign w:val="bottom"/>
            <w:hideMark/>
          </w:tcPr>
          <w:p w14:paraId="5CA8B9D2" w14:textId="77777777" w:rsidR="00303230" w:rsidRPr="00303230" w:rsidRDefault="00303230" w:rsidP="00303230">
            <w:pPr>
              <w:spacing w:after="0" w:line="240" w:lineRule="auto"/>
              <w:jc w:val="left"/>
              <w:rPr>
                <w:rFonts w:ascii="Calibri" w:eastAsia="Times New Roman" w:hAnsi="Calibri" w:cs="Calibri"/>
                <w:b/>
                <w:bCs/>
                <w:color w:val="000000"/>
                <w:sz w:val="18"/>
                <w:szCs w:val="18"/>
                <w:lang w:eastAsia="es-CL"/>
              </w:rPr>
            </w:pPr>
            <w:r w:rsidRPr="00303230">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FED8FF8"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22.327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7B8FF66"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 xml:space="preserve">20.910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2AD1E2" w14:textId="77777777" w:rsidR="00303230" w:rsidRPr="00303230" w:rsidRDefault="00303230" w:rsidP="00303230">
            <w:pPr>
              <w:spacing w:after="0" w:line="240" w:lineRule="auto"/>
              <w:jc w:val="right"/>
              <w:rPr>
                <w:rFonts w:ascii="Calibri" w:eastAsia="Times New Roman" w:hAnsi="Calibri" w:cs="Calibri"/>
                <w:sz w:val="18"/>
                <w:szCs w:val="18"/>
                <w:lang w:eastAsia="es-CL"/>
              </w:rPr>
            </w:pPr>
            <w:r w:rsidRPr="00303230">
              <w:rPr>
                <w:rFonts w:ascii="Calibri" w:eastAsia="Times New Roman" w:hAnsi="Calibri" w:cs="Calibri"/>
                <w:sz w:val="18"/>
                <w:szCs w:val="18"/>
                <w:lang w:eastAsia="es-CL"/>
              </w:rPr>
              <w:t>93,7%</w:t>
            </w:r>
          </w:p>
        </w:tc>
      </w:tr>
      <w:tr w:rsidR="00303230" w:rsidRPr="00303230" w14:paraId="50BB8452" w14:textId="77777777" w:rsidTr="0030323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D612D2F" w14:textId="77777777" w:rsidR="00303230" w:rsidRPr="00303230" w:rsidRDefault="00303230" w:rsidP="00303230">
            <w:pPr>
              <w:spacing w:after="0" w:line="240" w:lineRule="auto"/>
              <w:jc w:val="left"/>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640F2183" w14:textId="77777777" w:rsidR="00303230" w:rsidRPr="00303230" w:rsidRDefault="00303230" w:rsidP="00303230">
            <w:pPr>
              <w:spacing w:after="0" w:line="240" w:lineRule="auto"/>
              <w:jc w:val="right"/>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 xml:space="preserve">354.532 </w:t>
            </w:r>
          </w:p>
        </w:tc>
        <w:tc>
          <w:tcPr>
            <w:tcW w:w="2528" w:type="dxa"/>
            <w:tcBorders>
              <w:top w:val="nil"/>
              <w:left w:val="nil"/>
              <w:bottom w:val="single" w:sz="4" w:space="0" w:color="808080"/>
              <w:right w:val="single" w:sz="4" w:space="0" w:color="808080"/>
            </w:tcBorders>
            <w:shd w:val="clear" w:color="000000" w:fill="1F497D"/>
            <w:noWrap/>
            <w:vAlign w:val="bottom"/>
            <w:hideMark/>
          </w:tcPr>
          <w:p w14:paraId="33859CB2" w14:textId="77777777" w:rsidR="00303230" w:rsidRPr="00303230" w:rsidRDefault="00303230" w:rsidP="00303230">
            <w:pPr>
              <w:spacing w:after="0" w:line="240" w:lineRule="auto"/>
              <w:jc w:val="right"/>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 xml:space="preserve">332.369 </w:t>
            </w:r>
          </w:p>
        </w:tc>
        <w:tc>
          <w:tcPr>
            <w:tcW w:w="1177" w:type="dxa"/>
            <w:tcBorders>
              <w:top w:val="nil"/>
              <w:left w:val="nil"/>
              <w:bottom w:val="single" w:sz="4" w:space="0" w:color="808080"/>
              <w:right w:val="single" w:sz="4" w:space="0" w:color="808080"/>
            </w:tcBorders>
            <w:shd w:val="clear" w:color="000000" w:fill="1F497D"/>
            <w:noWrap/>
            <w:vAlign w:val="bottom"/>
            <w:hideMark/>
          </w:tcPr>
          <w:p w14:paraId="27D9270A" w14:textId="77777777" w:rsidR="00303230" w:rsidRPr="00303230" w:rsidRDefault="00303230" w:rsidP="00303230">
            <w:pPr>
              <w:spacing w:after="0" w:line="240" w:lineRule="auto"/>
              <w:jc w:val="right"/>
              <w:rPr>
                <w:rFonts w:ascii="Calibri" w:eastAsia="Times New Roman" w:hAnsi="Calibri" w:cs="Calibri"/>
                <w:b/>
                <w:bCs/>
                <w:color w:val="FFFFFF"/>
                <w:sz w:val="18"/>
                <w:szCs w:val="18"/>
                <w:lang w:eastAsia="es-CL"/>
              </w:rPr>
            </w:pPr>
            <w:r w:rsidRPr="00303230">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A733AF3"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17937">
        <w:rPr>
          <w:b/>
        </w:rPr>
        <w:t>noviembre</w:t>
      </w:r>
      <w:r w:rsidR="00C742BA" w:rsidRPr="00EA72CD">
        <w:rPr>
          <w:b/>
        </w:rPr>
        <w:t xml:space="preserve"> de</w:t>
      </w:r>
      <w:r w:rsidRPr="00EA72CD">
        <w:rPr>
          <w:b/>
        </w:rPr>
        <w:t xml:space="preserve"> 201</w:t>
      </w:r>
      <w:r w:rsidR="00C90A65">
        <w:rPr>
          <w:b/>
        </w:rPr>
        <w:t>9</w:t>
      </w:r>
    </w:p>
    <w:p w14:paraId="6C08C67E" w14:textId="0F009804" w:rsidR="0090460C" w:rsidRDefault="00303230" w:rsidP="00C44D28">
      <w:pPr>
        <w:tabs>
          <w:tab w:val="left" w:pos="0"/>
          <w:tab w:val="left" w:pos="6285"/>
        </w:tabs>
        <w:rPr>
          <w:rFonts w:ascii="Calibri" w:hAnsi="Calibri" w:cs="Arial"/>
          <w:b/>
          <w:sz w:val="20"/>
          <w:szCs w:val="20"/>
        </w:rPr>
      </w:pPr>
      <w:r>
        <w:rPr>
          <w:rFonts w:ascii="Calibri" w:hAnsi="Calibri" w:cs="Arial"/>
          <w:b/>
          <w:noProof/>
          <w:sz w:val="20"/>
          <w:szCs w:val="20"/>
          <w:lang w:eastAsia="es-CL"/>
        </w:rPr>
        <w:drawing>
          <wp:inline distT="0" distB="0" distL="0" distR="0" wp14:anchorId="02AFFAAE" wp14:editId="26E30CD4">
            <wp:extent cx="5302060" cy="1727283"/>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770" cy="1747061"/>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Evolución Mensual ingresos brutos del juego o win, valores reales (UF): Año 201</w:t>
      </w:r>
      <w:r w:rsidR="00C90A65" w:rsidRPr="00C44D28">
        <w:rPr>
          <w:b/>
          <w:color w:val="000000" w:themeColor="text1"/>
        </w:rPr>
        <w:t>7</w:t>
      </w:r>
      <w:r w:rsidRPr="00C44D28">
        <w:rPr>
          <w:b/>
          <w:color w:val="000000" w:themeColor="text1"/>
        </w:rPr>
        <w:t>-201</w:t>
      </w:r>
      <w:r w:rsidR="00C90A65" w:rsidRPr="00C44D28">
        <w:rPr>
          <w:b/>
          <w:color w:val="000000" w:themeColor="text1"/>
        </w:rPr>
        <w:t>9</w:t>
      </w:r>
    </w:p>
    <w:p w14:paraId="134EC264" w14:textId="4C3528AD" w:rsidR="00FB3D8B" w:rsidRDefault="00303230" w:rsidP="007C4E85">
      <w:pPr>
        <w:pStyle w:val="Prrafodelista"/>
        <w:tabs>
          <w:tab w:val="left" w:pos="0"/>
        </w:tabs>
        <w:ind w:left="0"/>
        <w:jc w:val="left"/>
        <w:rPr>
          <w:b/>
        </w:rPr>
      </w:pPr>
      <w:r>
        <w:rPr>
          <w:b/>
          <w:noProof/>
          <w:lang w:eastAsia="es-CL"/>
        </w:rPr>
        <w:drawing>
          <wp:inline distT="0" distB="0" distL="0" distR="0" wp14:anchorId="75653429" wp14:editId="24EF60DE">
            <wp:extent cx="5329451" cy="1523847"/>
            <wp:effectExtent l="0" t="0" r="508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3306" cy="1533527"/>
                    </a:xfrm>
                    <a:prstGeom prst="rect">
                      <a:avLst/>
                    </a:prstGeom>
                    <a:noFill/>
                  </pic:spPr>
                </pic:pic>
              </a:graphicData>
            </a:graphic>
          </wp:inline>
        </w:drawing>
      </w:r>
    </w:p>
    <w:p w14:paraId="0E28759F" w14:textId="6F6FF682"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0483C771"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Ingresos brutos del juego o win en valores nominales ($) y reales (UF): Año 201</w:t>
      </w:r>
      <w:r w:rsidR="00172CAF" w:rsidRPr="004044A8">
        <w:rPr>
          <w:b/>
          <w:color w:val="000000" w:themeColor="text1"/>
          <w:sz w:val="21"/>
          <w:szCs w:val="21"/>
        </w:rPr>
        <w:t>7</w:t>
      </w:r>
      <w:r w:rsidRPr="004044A8">
        <w:rPr>
          <w:b/>
          <w:color w:val="000000" w:themeColor="text1"/>
          <w:sz w:val="21"/>
          <w:szCs w:val="21"/>
        </w:rPr>
        <w:t>-201</w:t>
      </w:r>
      <w:r w:rsidR="00172CAF" w:rsidRPr="004044A8">
        <w:rPr>
          <w:b/>
          <w:color w:val="000000" w:themeColor="text1"/>
          <w:sz w:val="21"/>
          <w:szCs w:val="21"/>
        </w:rPr>
        <w:t>9</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303230"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303230" w:rsidRPr="00CA6263" w:rsidRDefault="00303230" w:rsidP="00303230">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AA6F43C"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2D2097E7"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2C914041"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47308D00"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4A0E73B4"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011E4417"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49BC1AD9"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5E20BC27"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11DC9533"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006E1BA7"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5ED0ABCF"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5D1444FB" w:rsidR="00303230" w:rsidRPr="007C4E85" w:rsidRDefault="00303230" w:rsidP="0030323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303230"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0622C474" w:rsidR="00303230" w:rsidRPr="006E3960" w:rsidRDefault="00303230" w:rsidP="00303230">
            <w:pPr>
              <w:spacing w:line="240" w:lineRule="auto"/>
              <w:jc w:val="left"/>
              <w:rPr>
                <w:rFonts w:ascii="Calibri" w:hAnsi="Calibri"/>
                <w:color w:val="000000"/>
                <w:sz w:val="10"/>
                <w:szCs w:val="10"/>
              </w:rPr>
            </w:pPr>
            <w:r>
              <w:rPr>
                <w:rFonts w:ascii="Calibri" w:hAnsi="Calibri" w:cs="Calibri"/>
                <w:color w:val="000000"/>
                <w:sz w:val="12"/>
                <w:szCs w:val="12"/>
              </w:rPr>
              <w:t>Win diciembre 2017-noviembre 2018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0F2132D9"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11.660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6109EB4B"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15.036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60D04127"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15.907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7992F398"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12.762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045D0332"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11.288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471C2072"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11.542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6130AAB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11.052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3657D4C6"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12.831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7766E126"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11.266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4A8EECD1"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11.945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2CC8A7D5"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10.479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019E71DC"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10.995 </w:t>
            </w:r>
          </w:p>
        </w:tc>
      </w:tr>
      <w:tr w:rsidR="00303230"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56714CB1" w:rsidR="00303230" w:rsidRPr="006E3960" w:rsidRDefault="00303230" w:rsidP="00303230">
            <w:pPr>
              <w:jc w:val="left"/>
              <w:rPr>
                <w:rFonts w:ascii="Calibri" w:hAnsi="Calibri"/>
                <w:color w:val="000000"/>
                <w:sz w:val="10"/>
                <w:szCs w:val="10"/>
              </w:rPr>
            </w:pPr>
            <w:r>
              <w:rPr>
                <w:rFonts w:ascii="Calibri" w:hAnsi="Calibri" w:cs="Calibri"/>
                <w:color w:val="000000"/>
                <w:sz w:val="12"/>
                <w:szCs w:val="12"/>
              </w:rPr>
              <w:t>Win diciembre 2018-noviembre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77492BC6"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11.122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126B9C2B"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14.212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17A2016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14.956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3A0A757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12.256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440F21A9"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11.227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5C2AF99D"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11.239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409031F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10.051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47D68751"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12.055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2AD3EA60"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11.505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290884EE"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11.164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2A578BF6"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8.138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6DF7D6FB"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 xml:space="preserve">                          9.549 </w:t>
            </w:r>
          </w:p>
        </w:tc>
      </w:tr>
      <w:tr w:rsidR="00303230"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79C0BDF3" w:rsidR="00303230" w:rsidRPr="006E3960" w:rsidRDefault="00303230" w:rsidP="00303230">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39BD3B38"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-4,6%</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28FC2BEB"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-5,5%</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0BCB24E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-6,0%</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4569AA68"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-4,0%</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04D0396C"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-0,5%</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458D97C0"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-2,6%</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7440A780"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-9,1%</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549E6409"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-6,0%</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079D079B"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2,1%</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6DB34A80"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-6,5%</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6F283CC2"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-22,3%</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7791246F" w:rsidR="00303230" w:rsidRPr="006E3960" w:rsidRDefault="00303230" w:rsidP="00303230">
            <w:pPr>
              <w:jc w:val="center"/>
              <w:rPr>
                <w:rFonts w:ascii="Calibri" w:hAnsi="Calibri"/>
                <w:color w:val="000000"/>
                <w:sz w:val="10"/>
                <w:szCs w:val="10"/>
              </w:rPr>
            </w:pPr>
            <w:r>
              <w:rPr>
                <w:rFonts w:ascii="Calibri" w:hAnsi="Calibri" w:cs="Calibri"/>
                <w:color w:val="000000"/>
                <w:sz w:val="12"/>
                <w:szCs w:val="12"/>
              </w:rPr>
              <w:t>-13,2%</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12479800"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6</w:t>
            </w:r>
            <w:r w:rsidR="00DA04BC" w:rsidRPr="00274F17">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3</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C17937"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7292ED5C" w:rsidR="00C17937" w:rsidRPr="00C17937" w:rsidRDefault="00C17937" w:rsidP="00C17937">
            <w:pPr>
              <w:spacing w:line="240" w:lineRule="auto"/>
              <w:jc w:val="left"/>
              <w:rPr>
                <w:rFonts w:ascii="Calibri" w:hAnsi="Calibri"/>
                <w:color w:val="000000"/>
                <w:sz w:val="10"/>
                <w:szCs w:val="10"/>
              </w:rPr>
            </w:pPr>
            <w:r w:rsidRPr="00C17937">
              <w:rPr>
                <w:rFonts w:ascii="Calibri" w:hAnsi="Calibri" w:cs="Calibri"/>
                <w:color w:val="000000"/>
                <w:sz w:val="10"/>
                <w:szCs w:val="10"/>
              </w:rPr>
              <w:t>Win  Diciembre 2017-Noviembre 2018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2CC63FFF"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435.107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1575C9A9"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560.528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63D34F65"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590.822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73707237"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472.739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4DF18AB7"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418.006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6FB6F72C"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426.255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6C861876"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406.946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1FAE952F"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471.689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4FA9E97B"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412.859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6CBDD4D1"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436.614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3FDE8DA2"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381.994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2187497C"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399.330 </w:t>
            </w:r>
          </w:p>
        </w:tc>
      </w:tr>
      <w:tr w:rsidR="00C17937"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45CCB988" w:rsidR="00C17937" w:rsidRPr="00C17937" w:rsidRDefault="00C17937" w:rsidP="00C17937">
            <w:pPr>
              <w:jc w:val="left"/>
              <w:rPr>
                <w:rFonts w:ascii="Calibri" w:hAnsi="Calibri"/>
                <w:color w:val="000000"/>
                <w:sz w:val="10"/>
                <w:szCs w:val="10"/>
              </w:rPr>
            </w:pPr>
            <w:r w:rsidRPr="00C17937">
              <w:rPr>
                <w:rFonts w:ascii="Calibri" w:hAnsi="Calibri" w:cs="Calibri"/>
                <w:color w:val="000000"/>
                <w:sz w:val="10"/>
                <w:szCs w:val="10"/>
              </w:rPr>
              <w:t>Win  Diciembre 2018-Noviembre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5F200857"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403.472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1C2864DA"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515.916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4253A8CF"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542.720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2B6D80B4"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444.611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5047E7E7"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405.857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7CA74E71"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404.769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79A53FEA"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360.194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1DC35670"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431.257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1660B429"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410.993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04278866"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398.033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04063F86"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289.951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1BC51BCF"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 xml:space="preserve">                    338.334 </w:t>
            </w:r>
          </w:p>
        </w:tc>
      </w:tr>
      <w:tr w:rsidR="00C17937"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6E51D1CB" w:rsidR="00C17937" w:rsidRPr="00C17937" w:rsidRDefault="00C17937" w:rsidP="00C17937">
            <w:pPr>
              <w:jc w:val="left"/>
              <w:rPr>
                <w:rFonts w:ascii="Calibri" w:hAnsi="Calibri"/>
                <w:color w:val="000000"/>
                <w:sz w:val="10"/>
                <w:szCs w:val="10"/>
              </w:rPr>
            </w:pPr>
            <w:r w:rsidRPr="00C17937">
              <w:rPr>
                <w:rFonts w:ascii="Calibri" w:hAnsi="Calibri" w:cs="Calibri"/>
                <w:color w:val="000000"/>
                <w:sz w:val="10"/>
                <w:szCs w:val="10"/>
              </w:rPr>
              <w:t xml:space="preserve">Crecimiento Win </w:t>
            </w:r>
            <w:r w:rsidRPr="00C17937">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5F9FBCD1"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-7,3%</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5188EC73"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-8,0%</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1A43D3B4"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-8,1%</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7D0747B8"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-6,0%</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207A0CD"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-2,9%</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06B346E9"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-5,0%</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63E5D712"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-11,5%</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492CA9B8"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-8,6%</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7A3B94B2"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-0,5%</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3AFD1F7C"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-8,8%</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719C827D"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-24,1%</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66219E32" w:rsidR="00C17937" w:rsidRPr="00C17937" w:rsidRDefault="00C17937" w:rsidP="00C17937">
            <w:pPr>
              <w:jc w:val="center"/>
              <w:rPr>
                <w:rFonts w:ascii="Calibri" w:hAnsi="Calibri"/>
                <w:color w:val="000000"/>
                <w:sz w:val="10"/>
                <w:szCs w:val="10"/>
              </w:rPr>
            </w:pPr>
            <w:r w:rsidRPr="00C17937">
              <w:rPr>
                <w:rFonts w:ascii="Calibri" w:hAnsi="Calibri" w:cs="Calibri"/>
                <w:color w:val="000000"/>
                <w:sz w:val="10"/>
                <w:szCs w:val="10"/>
              </w:rPr>
              <w:t>-15,3%</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0A24E162"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8</w:t>
            </w:r>
            <w:r w:rsidRPr="00BD07F3">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6</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AD16B9" w14:textId="4ED478DE"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win por </w:t>
      </w:r>
      <w:r w:rsidR="00C44D28" w:rsidRPr="00E80F2B">
        <w:rPr>
          <w:b/>
        </w:rPr>
        <w:t>casino de juego</w:t>
      </w:r>
      <w:r w:rsidR="00C44D28">
        <w:rPr>
          <w:b/>
        </w:rPr>
        <w:t xml:space="preserve">: </w:t>
      </w:r>
      <w:r w:rsidR="00C17937">
        <w:rPr>
          <w:b/>
        </w:rPr>
        <w:t>octubre</w:t>
      </w:r>
      <w:r w:rsidR="00C44D28">
        <w:rPr>
          <w:b/>
        </w:rPr>
        <w:t xml:space="preserve"> </w:t>
      </w:r>
      <w:r w:rsidR="00C44D28" w:rsidRPr="00E80F2B">
        <w:rPr>
          <w:b/>
        </w:rPr>
        <w:t>-</w:t>
      </w:r>
      <w:r w:rsidR="00C44D28">
        <w:rPr>
          <w:b/>
        </w:rPr>
        <w:t xml:space="preserve"> </w:t>
      </w:r>
      <w:r w:rsidR="00C17937">
        <w:rPr>
          <w:b/>
        </w:rPr>
        <w:t>noviem</w:t>
      </w:r>
      <w:r w:rsidR="00C44D28">
        <w:rPr>
          <w:b/>
        </w:rPr>
        <w:t>bre</w:t>
      </w:r>
      <w:r w:rsidR="00C44D28" w:rsidRPr="00E80F2B">
        <w:rPr>
          <w:b/>
        </w:rPr>
        <w:t>201</w:t>
      </w:r>
      <w:r w:rsidR="00C44D28">
        <w:rPr>
          <w:b/>
        </w:rPr>
        <w:t>9</w:t>
      </w:r>
    </w:p>
    <w:p w14:paraId="2C6B8719" w14:textId="64526EC8" w:rsidR="00196290" w:rsidRDefault="00C17937" w:rsidP="004044A8">
      <w:pPr>
        <w:pStyle w:val="Prrafodelista"/>
        <w:tabs>
          <w:tab w:val="left" w:pos="0"/>
          <w:tab w:val="left" w:pos="6285"/>
        </w:tabs>
        <w:ind w:left="0"/>
        <w:jc w:val="center"/>
        <w:rPr>
          <w:rFonts w:ascii="Calibri" w:hAnsi="Calibri" w:cs="Arial"/>
          <w:b/>
          <w:sz w:val="20"/>
          <w:szCs w:val="20"/>
        </w:rPr>
      </w:pPr>
      <w:r>
        <w:rPr>
          <w:rFonts w:ascii="Calibri" w:hAnsi="Calibri" w:cs="Arial"/>
          <w:b/>
          <w:noProof/>
          <w:sz w:val="20"/>
          <w:szCs w:val="20"/>
          <w:lang w:eastAsia="es-CL"/>
        </w:rPr>
        <w:drawing>
          <wp:inline distT="0" distB="0" distL="0" distR="0" wp14:anchorId="54A3D0D1" wp14:editId="3C315781">
            <wp:extent cx="3975077" cy="1890215"/>
            <wp:effectExtent l="0" t="0" r="698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8668" cy="1891922"/>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D6B95" w14:textId="77777777" w:rsidR="00303230" w:rsidRDefault="00303230" w:rsidP="00FD382C">
      <w:r>
        <w:separator/>
      </w:r>
    </w:p>
  </w:endnote>
  <w:endnote w:type="continuationSeparator" w:id="0">
    <w:p w14:paraId="4963B913" w14:textId="77777777" w:rsidR="00303230" w:rsidRDefault="00303230"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303230" w:rsidRDefault="00303230">
    <w:pPr>
      <w:pStyle w:val="Piedepgina"/>
    </w:pPr>
  </w:p>
  <w:p w14:paraId="2E5D0DE2" w14:textId="77777777" w:rsidR="00303230" w:rsidRDefault="00303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0594" w14:textId="77777777" w:rsidR="00303230" w:rsidRDefault="00303230" w:rsidP="00FD382C">
      <w:r>
        <w:separator/>
      </w:r>
    </w:p>
  </w:footnote>
  <w:footnote w:type="continuationSeparator" w:id="0">
    <w:p w14:paraId="0D56B7E7" w14:textId="77777777" w:rsidR="00303230" w:rsidRDefault="00303230" w:rsidP="00FD382C">
      <w:r>
        <w:continuationSeparator/>
      </w:r>
    </w:p>
  </w:footnote>
  <w:footnote w:id="1">
    <w:p w14:paraId="4ED12503" w14:textId="1961D79B" w:rsidR="001B3FC2" w:rsidRPr="0004531A" w:rsidRDefault="001B3FC2" w:rsidP="001B3FC2">
      <w:pPr>
        <w:pStyle w:val="Textonotapie"/>
        <w:rPr>
          <w:lang w:val="es-ES"/>
        </w:rPr>
      </w:pPr>
      <w:r>
        <w:rPr>
          <w:rStyle w:val="Refdenotaalpie"/>
        </w:rPr>
        <w:footnoteRef/>
      </w:r>
      <w:r>
        <w:t xml:space="preserve"> </w:t>
      </w:r>
      <w:r w:rsidRPr="00737931">
        <w:t>De los 19 casinos de juego autorizados al amparo de la Ley N° 1</w:t>
      </w:r>
      <w:r>
        <w:t>9.995, durante el mes de noviembre</w:t>
      </w:r>
      <w:r w:rsidRPr="00737931">
        <w:t xml:space="preserve">, nueve de ellos tuvieron que cerrar sus instalaciones totalmente –entre uno y </w:t>
      </w:r>
      <w:r>
        <w:t>siete</w:t>
      </w:r>
      <w:r w:rsidRPr="00737931">
        <w:t xml:space="preserve"> días</w:t>
      </w:r>
      <w:r>
        <w:t>-,</w:t>
      </w:r>
      <w:r w:rsidRPr="00737931">
        <w:t xml:space="preserve"> lo </w:t>
      </w:r>
      <w:r>
        <w:t>que se tradujo en un total de 17</w:t>
      </w:r>
      <w:r w:rsidRPr="00737931">
        <w:t xml:space="preserve"> días sin funcionamiento.</w:t>
      </w:r>
    </w:p>
  </w:footnote>
  <w:footnote w:id="2">
    <w:p w14:paraId="70CEE1EA" w14:textId="77777777" w:rsidR="00303230" w:rsidRPr="0004531A" w:rsidRDefault="00303230"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3">
    <w:p w14:paraId="43D57593" w14:textId="4EB726FB" w:rsidR="00303230" w:rsidRDefault="00303230"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C17937">
        <w:rPr>
          <w:lang w:val="es-ES"/>
        </w:rPr>
        <w:t>noviembre</w:t>
      </w:r>
      <w:r>
        <w:rPr>
          <w:lang w:val="es-ES"/>
        </w:rPr>
        <w:t xml:space="preserve"> en los años 2018 y 2019.</w:t>
      </w:r>
    </w:p>
  </w:footnote>
  <w:footnote w:id="4">
    <w:p w14:paraId="7DE5319D" w14:textId="4F8E74D8" w:rsidR="00303230" w:rsidRDefault="00303230"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C17937">
        <w:rPr>
          <w:lang w:val="es-ES"/>
        </w:rPr>
        <w:t>diciembre</w:t>
      </w:r>
      <w:r>
        <w:rPr>
          <w:lang w:val="es-ES"/>
        </w:rPr>
        <w:t xml:space="preserve"> de 2018-</w:t>
      </w:r>
      <w:r w:rsidR="00C17937">
        <w:rPr>
          <w:lang w:val="es-ES"/>
        </w:rPr>
        <w:t xml:space="preserve">noviembre </w:t>
      </w:r>
      <w:r>
        <w:rPr>
          <w:lang w:val="es-ES"/>
        </w:rPr>
        <w:t xml:space="preserve">de 2019, y se comparan con los ingresos acumulados del periodo </w:t>
      </w:r>
      <w:r w:rsidR="00C17937">
        <w:rPr>
          <w:lang w:val="es-ES"/>
        </w:rPr>
        <w:t>diciembre</w:t>
      </w:r>
      <w:r>
        <w:rPr>
          <w:lang w:val="es-ES"/>
        </w:rPr>
        <w:t xml:space="preserve"> de 2017 – </w:t>
      </w:r>
      <w:r w:rsidR="00C17937">
        <w:rPr>
          <w:lang w:val="es-ES"/>
        </w:rPr>
        <w:t>noviembre</w:t>
      </w:r>
      <w:r>
        <w:rPr>
          <w:lang w:val="es-ES"/>
        </w:rPr>
        <w:t xml:space="preserve"> de 2018, corregido por la UF del último día del mes.</w:t>
      </w:r>
    </w:p>
  </w:footnote>
  <w:footnote w:id="5">
    <w:p w14:paraId="7051DE0E" w14:textId="78093D65" w:rsidR="00303230" w:rsidRPr="00FD382C" w:rsidRDefault="00303230"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C17937">
        <w:rPr>
          <w:lang w:val="es-ES"/>
        </w:rPr>
        <w:t>noviembre</w:t>
      </w:r>
      <w:r>
        <w:rPr>
          <w:lang w:val="es-ES"/>
        </w:rPr>
        <w:t xml:space="preserve"> en los años 2018-2019.</w:t>
      </w:r>
    </w:p>
  </w:footnote>
  <w:footnote w:id="6">
    <w:p w14:paraId="0FC0AE82" w14:textId="70B2522C" w:rsidR="00303230" w:rsidRPr="00D42C6C" w:rsidRDefault="00303230"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72B43BB6" w:rsidR="00303230" w:rsidRPr="00FD382C" w:rsidRDefault="00303230"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C17937">
        <w:rPr>
          <w:lang w:val="es-ES"/>
        </w:rPr>
        <w:t>diciembre</w:t>
      </w:r>
      <w:r>
        <w:rPr>
          <w:lang w:val="es-ES"/>
        </w:rPr>
        <w:t xml:space="preserve"> de 2018 a </w:t>
      </w:r>
      <w:r w:rsidR="00C17937">
        <w:rPr>
          <w:lang w:val="es-ES"/>
        </w:rPr>
        <w:t>noviembre</w:t>
      </w:r>
      <w:r>
        <w:rPr>
          <w:lang w:val="es-ES"/>
        </w:rPr>
        <w:t xml:space="preserve"> de 2019, y se comparan con los ingresos acumulados de </w:t>
      </w:r>
      <w:r w:rsidR="00C17937">
        <w:rPr>
          <w:lang w:val="es-ES"/>
        </w:rPr>
        <w:t>diciembre</w:t>
      </w:r>
      <w:r>
        <w:rPr>
          <w:lang w:val="es-ES"/>
        </w:rPr>
        <w:t xml:space="preserve"> de 2017 a </w:t>
      </w:r>
      <w:r w:rsidR="00C17937">
        <w:rPr>
          <w:lang w:val="es-ES"/>
        </w:rPr>
        <w:t>noviembre</w:t>
      </w:r>
      <w:r>
        <w:rPr>
          <w:lang w:val="es-ES"/>
        </w:rPr>
        <w:t xml:space="preserve"> de 2018, corregido por la UF del último día del mes.</w:t>
      </w:r>
    </w:p>
  </w:footnote>
  <w:footnote w:id="8">
    <w:p w14:paraId="67E104AA" w14:textId="77777777" w:rsidR="00303230" w:rsidRPr="0004531A" w:rsidRDefault="00303230"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303230" w:rsidRDefault="00303230">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303230" w:rsidRDefault="00303230"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303230" w:rsidRPr="00FD382C" w:rsidRDefault="00303230" w:rsidP="009858E3">
    <w:pPr>
      <w:pStyle w:val="Encabezado"/>
      <w:pBdr>
        <w:bottom w:val="single" w:sz="4" w:space="1" w:color="auto"/>
      </w:pBdr>
      <w:jc w:val="right"/>
      <w:rPr>
        <w:b/>
      </w:rPr>
    </w:pPr>
    <w:r w:rsidRPr="00FD382C">
      <w:rPr>
        <w:b/>
      </w:rPr>
      <w:t>COMUNICADO DE PRENSA</w:t>
    </w:r>
  </w:p>
  <w:p w14:paraId="6D6598B1" w14:textId="3261A597" w:rsidR="00303230" w:rsidRDefault="00303230" w:rsidP="009858E3">
    <w:pPr>
      <w:pStyle w:val="Encabezado"/>
      <w:pBdr>
        <w:bottom w:val="single" w:sz="4" w:space="1" w:color="auto"/>
      </w:pBdr>
      <w:rPr>
        <w:b/>
      </w:rPr>
    </w:pPr>
    <w:r w:rsidRPr="00FD382C">
      <w:rPr>
        <w:b/>
      </w:rPr>
      <w:tab/>
    </w:r>
    <w:r w:rsidRPr="00FD382C">
      <w:rPr>
        <w:b/>
      </w:rPr>
      <w:tab/>
    </w:r>
    <w:r w:rsidR="001B3FC2">
      <w:rPr>
        <w:b/>
      </w:rPr>
      <w:t>Martes 07</w:t>
    </w:r>
    <w:r>
      <w:rPr>
        <w:b/>
      </w:rPr>
      <w:t xml:space="preserve"> de enero de 2020</w:t>
    </w:r>
  </w:p>
  <w:p w14:paraId="6D9F9DFB" w14:textId="77777777" w:rsidR="00303230" w:rsidRPr="00FD382C" w:rsidRDefault="00303230"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B3FC2"/>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92769"/>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03230"/>
    <w:rsid w:val="0031661E"/>
    <w:rsid w:val="00330916"/>
    <w:rsid w:val="00330D14"/>
    <w:rsid w:val="00332200"/>
    <w:rsid w:val="00332EC7"/>
    <w:rsid w:val="003361BC"/>
    <w:rsid w:val="003404EF"/>
    <w:rsid w:val="00341575"/>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7BCD"/>
    <w:rsid w:val="00462DA6"/>
    <w:rsid w:val="0046773A"/>
    <w:rsid w:val="00474076"/>
    <w:rsid w:val="004768DF"/>
    <w:rsid w:val="00480047"/>
    <w:rsid w:val="004830B6"/>
    <w:rsid w:val="004843DA"/>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449E"/>
    <w:rsid w:val="006F6C40"/>
    <w:rsid w:val="00702836"/>
    <w:rsid w:val="00720BD2"/>
    <w:rsid w:val="0072731F"/>
    <w:rsid w:val="00731F65"/>
    <w:rsid w:val="0073400A"/>
    <w:rsid w:val="0073758F"/>
    <w:rsid w:val="00750625"/>
    <w:rsid w:val="007537E1"/>
    <w:rsid w:val="00756B18"/>
    <w:rsid w:val="00773FDD"/>
    <w:rsid w:val="00774921"/>
    <w:rsid w:val="007A2C4B"/>
    <w:rsid w:val="007A3DC5"/>
    <w:rsid w:val="007B3621"/>
    <w:rsid w:val="007B5B90"/>
    <w:rsid w:val="007C4E85"/>
    <w:rsid w:val="007C6AB3"/>
    <w:rsid w:val="007D18AC"/>
    <w:rsid w:val="007D1CD3"/>
    <w:rsid w:val="007D2B56"/>
    <w:rsid w:val="007D6C07"/>
    <w:rsid w:val="007F3AA1"/>
    <w:rsid w:val="007F6746"/>
    <w:rsid w:val="00801D21"/>
    <w:rsid w:val="00804E4B"/>
    <w:rsid w:val="008062BF"/>
    <w:rsid w:val="008161A3"/>
    <w:rsid w:val="0081667E"/>
    <w:rsid w:val="00821C31"/>
    <w:rsid w:val="00826557"/>
    <w:rsid w:val="00831D0C"/>
    <w:rsid w:val="00834D9E"/>
    <w:rsid w:val="00842039"/>
    <w:rsid w:val="00842993"/>
    <w:rsid w:val="00864D11"/>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CDD"/>
    <w:rsid w:val="009E5593"/>
    <w:rsid w:val="00A03BA6"/>
    <w:rsid w:val="00A0576A"/>
    <w:rsid w:val="00A12283"/>
    <w:rsid w:val="00A1369B"/>
    <w:rsid w:val="00A139E6"/>
    <w:rsid w:val="00A148ED"/>
    <w:rsid w:val="00A14A88"/>
    <w:rsid w:val="00A17581"/>
    <w:rsid w:val="00A22215"/>
    <w:rsid w:val="00A27E18"/>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8365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17937"/>
    <w:rsid w:val="00C2062A"/>
    <w:rsid w:val="00C253AC"/>
    <w:rsid w:val="00C44D28"/>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483A"/>
    <w:rsid w:val="00F35AD0"/>
    <w:rsid w:val="00F41C39"/>
    <w:rsid w:val="00F46909"/>
    <w:rsid w:val="00F7324B"/>
    <w:rsid w:val="00F733DC"/>
    <w:rsid w:val="00F762A7"/>
    <w:rsid w:val="00F83B6C"/>
    <w:rsid w:val="00F849F9"/>
    <w:rsid w:val="00F86774"/>
    <w:rsid w:val="00F86F05"/>
    <w:rsid w:val="00F9112E"/>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3614-ECD9-4F8E-89F3-BD909CBC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3216</Words>
  <Characters>17691</Characters>
  <Application>Microsoft Office Word</Application>
  <DocSecurity>4</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2</cp:revision>
  <cp:lastPrinted>2019-08-27T13:47:00Z</cp:lastPrinted>
  <dcterms:created xsi:type="dcterms:W3CDTF">2020-01-06T20:40:00Z</dcterms:created>
  <dcterms:modified xsi:type="dcterms:W3CDTF">2020-01-06T20:40:00Z</dcterms:modified>
</cp:coreProperties>
</file>