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9E" w:rsidRDefault="00265F9E" w:rsidP="00A00077">
      <w:pPr>
        <w:rPr>
          <w:rFonts w:ascii="Calibri" w:hAnsi="Calibri" w:cs="Arial"/>
          <w:b/>
          <w:sz w:val="35"/>
          <w:szCs w:val="3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-607695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343B52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lunes 09 de marzo de 2020</w:t>
                            </w:r>
                          </w:p>
                          <w:p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7.8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" strokecolor="white">
                <v:textbox>
                  <w:txbxContent>
                    <w:p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343B52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lunes 09 de marzo de 2020</w:t>
                      </w:r>
                    </w:p>
                    <w:p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717E" w:rsidRDefault="00343B52" w:rsidP="0047612B">
      <w:pPr>
        <w:jc w:val="center"/>
        <w:rPr>
          <w:rFonts w:ascii="Calibri" w:hAnsi="Calibri" w:cs="Arial"/>
          <w:b/>
          <w:sz w:val="35"/>
          <w:szCs w:val="35"/>
        </w:rPr>
      </w:pPr>
      <w:r>
        <w:rPr>
          <w:rFonts w:ascii="Calibri" w:hAnsi="Calibri" w:cs="Arial"/>
          <w:b/>
          <w:sz w:val="35"/>
          <w:szCs w:val="35"/>
        </w:rPr>
        <w:t xml:space="preserve">Superintendencia </w:t>
      </w:r>
      <w:r w:rsidR="0047612B">
        <w:rPr>
          <w:rFonts w:ascii="Calibri" w:hAnsi="Calibri" w:cs="Arial"/>
          <w:b/>
          <w:sz w:val="35"/>
          <w:szCs w:val="35"/>
        </w:rPr>
        <w:t xml:space="preserve">de Casinos de Juego </w:t>
      </w:r>
      <w:r w:rsidR="00541C71">
        <w:rPr>
          <w:rFonts w:ascii="Calibri" w:hAnsi="Calibri" w:cs="Arial"/>
          <w:b/>
          <w:sz w:val="35"/>
          <w:szCs w:val="35"/>
        </w:rPr>
        <w:t xml:space="preserve">pone en consulta pública las </w:t>
      </w:r>
      <w:r>
        <w:rPr>
          <w:rFonts w:ascii="Calibri" w:hAnsi="Calibri" w:cs="Arial"/>
          <w:b/>
          <w:sz w:val="35"/>
          <w:szCs w:val="35"/>
        </w:rPr>
        <w:t>Bases Técnicas del proceso de otorgamiento de permisos de operación para doce cupos</w:t>
      </w:r>
      <w:r w:rsidR="007735F7">
        <w:rPr>
          <w:rFonts w:ascii="Calibri" w:hAnsi="Calibri" w:cs="Arial"/>
          <w:b/>
          <w:sz w:val="35"/>
          <w:szCs w:val="35"/>
        </w:rPr>
        <w:t xml:space="preserve"> de casino</w:t>
      </w:r>
    </w:p>
    <w:p w:rsidR="00F013C4" w:rsidRPr="00A00077" w:rsidRDefault="00F013C4" w:rsidP="00F013C4">
      <w:pPr>
        <w:pStyle w:val="Listavistosa-nfasis11"/>
        <w:jc w:val="both"/>
        <w:rPr>
          <w:rFonts w:ascii="Calibri" w:hAnsi="Calibri"/>
          <w:sz w:val="20"/>
          <w:szCs w:val="20"/>
        </w:rPr>
      </w:pPr>
    </w:p>
    <w:p w:rsidR="00DA41E3" w:rsidRPr="006A19C8" w:rsidRDefault="00DA41E3" w:rsidP="002167DD">
      <w:pPr>
        <w:pStyle w:val="Listavistosa-nfasis11"/>
        <w:ind w:left="284"/>
        <w:jc w:val="both"/>
        <w:rPr>
          <w:rFonts w:ascii="Calibri" w:hAnsi="Calibri"/>
          <w:sz w:val="20"/>
          <w:szCs w:val="20"/>
        </w:rPr>
      </w:pPr>
    </w:p>
    <w:p w:rsidR="006A19C8" w:rsidRPr="006A19C8" w:rsidRDefault="006A19C8" w:rsidP="00A00077">
      <w:pPr>
        <w:pStyle w:val="Listavistosa-nfasis11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i/>
          <w:sz w:val="20"/>
          <w:szCs w:val="20"/>
        </w:rPr>
      </w:pPr>
      <w:r w:rsidRPr="006A19C8">
        <w:rPr>
          <w:rFonts w:ascii="Calibri" w:hAnsi="Calibri"/>
          <w:b/>
          <w:i/>
          <w:sz w:val="20"/>
          <w:szCs w:val="20"/>
        </w:rPr>
        <w:t xml:space="preserve">En este proceso </w:t>
      </w:r>
      <w:r w:rsidRPr="006A19C8">
        <w:rPr>
          <w:rFonts w:ascii="Calibri" w:hAnsi="Calibri" w:cs="Calibri"/>
          <w:b/>
          <w:i/>
          <w:color w:val="000000"/>
          <w:sz w:val="20"/>
          <w:szCs w:val="20"/>
        </w:rPr>
        <w:t>es posible postular a un permiso de operación en todas las regiones del país, con excepción de la Región Metropolitana y la Región de Valparaíso.</w:t>
      </w:r>
      <w:r>
        <w:rPr>
          <w:rFonts w:ascii="Calibri" w:hAnsi="Calibri" w:cs="Calibri"/>
          <w:b/>
          <w:i/>
          <w:color w:val="000000"/>
          <w:sz w:val="20"/>
          <w:szCs w:val="20"/>
        </w:rPr>
        <w:t xml:space="preserve"> </w:t>
      </w:r>
    </w:p>
    <w:p w:rsidR="00A00077" w:rsidRPr="00A00077" w:rsidRDefault="00A00077" w:rsidP="00A00077">
      <w:pPr>
        <w:pStyle w:val="Listavistosa-nfasis11"/>
        <w:ind w:left="284"/>
        <w:jc w:val="both"/>
        <w:rPr>
          <w:rFonts w:ascii="Calibri" w:hAnsi="Calibri"/>
          <w:sz w:val="20"/>
          <w:szCs w:val="20"/>
        </w:rPr>
      </w:pPr>
    </w:p>
    <w:p w:rsidR="00C010B2" w:rsidRPr="00C010B2" w:rsidRDefault="00465766" w:rsidP="006C3A16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  <w:r w:rsidRPr="00C010B2">
        <w:rPr>
          <w:rFonts w:ascii="Calibri" w:hAnsi="Calibri" w:cs="Calibri"/>
          <w:color w:val="000000"/>
          <w:sz w:val="20"/>
          <w:szCs w:val="20"/>
        </w:rPr>
        <w:t>Previamente a dar inicio al Proceso de Otorgamiento de Permisos de Operación 2020, la Superintendencia de Casinos de Juego (SCJ)</w:t>
      </w:r>
      <w:r w:rsidR="0047612B" w:rsidRPr="00C010B2">
        <w:rPr>
          <w:rFonts w:ascii="Calibri" w:hAnsi="Calibri" w:cs="Calibri"/>
          <w:color w:val="000000"/>
          <w:sz w:val="20"/>
          <w:szCs w:val="20"/>
        </w:rPr>
        <w:t>, a través de su sitio web</w:t>
      </w:r>
      <w:r w:rsidR="0047612B">
        <w:rPr>
          <w:rFonts w:ascii="Calibri" w:hAnsi="Calibri" w:cs="Calibri"/>
          <w:color w:val="000000"/>
          <w:sz w:val="20"/>
          <w:szCs w:val="20"/>
        </w:rPr>
        <w:t>,</w:t>
      </w:r>
      <w:r w:rsidR="0047612B" w:rsidRPr="00C010B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010B2">
        <w:rPr>
          <w:rFonts w:ascii="Calibri" w:hAnsi="Calibri" w:cs="Calibri"/>
          <w:color w:val="000000"/>
          <w:sz w:val="20"/>
          <w:szCs w:val="20"/>
        </w:rPr>
        <w:t xml:space="preserve">pone a disposición </w:t>
      </w:r>
      <w:r w:rsidR="00C010B2" w:rsidRPr="00C010B2">
        <w:rPr>
          <w:rFonts w:ascii="Calibri" w:hAnsi="Calibri" w:cs="Calibri"/>
          <w:color w:val="000000"/>
          <w:sz w:val="20"/>
          <w:szCs w:val="20"/>
        </w:rPr>
        <w:t xml:space="preserve">la etapa de consulta </w:t>
      </w:r>
      <w:r w:rsidR="0047612B">
        <w:rPr>
          <w:rFonts w:ascii="Calibri" w:hAnsi="Calibri" w:cs="Calibri"/>
          <w:color w:val="000000"/>
          <w:sz w:val="20"/>
          <w:szCs w:val="20"/>
        </w:rPr>
        <w:t>d</w:t>
      </w:r>
      <w:r w:rsidR="00C010B2" w:rsidRPr="00C010B2">
        <w:rPr>
          <w:rFonts w:ascii="Calibri" w:hAnsi="Calibri" w:cs="Calibri"/>
          <w:color w:val="000000"/>
          <w:sz w:val="20"/>
          <w:szCs w:val="20"/>
        </w:rPr>
        <w:t>el borrador de las Bases Técnicas del Proceso de Otorgamiento de Permisos de Operación 2020</w:t>
      </w:r>
      <w:r w:rsidRPr="00C010B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41C71" w:rsidRPr="00C010B2">
        <w:rPr>
          <w:rFonts w:ascii="Calibri" w:hAnsi="Calibri" w:cs="Calibri"/>
          <w:color w:val="000000"/>
          <w:sz w:val="20"/>
          <w:szCs w:val="20"/>
        </w:rPr>
        <w:t xml:space="preserve">para comentarios de la industria </w:t>
      </w:r>
      <w:r w:rsidR="00C010B2" w:rsidRPr="00C010B2">
        <w:rPr>
          <w:rFonts w:ascii="Calibri" w:hAnsi="Calibri" w:cs="Calibri"/>
          <w:color w:val="000000"/>
          <w:sz w:val="20"/>
          <w:szCs w:val="20"/>
        </w:rPr>
        <w:t>y de la ciudadanía en general.</w:t>
      </w:r>
    </w:p>
    <w:p w:rsidR="00C010B2" w:rsidRPr="00C010B2" w:rsidRDefault="00C010B2" w:rsidP="006C3A16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C010B2" w:rsidRPr="00C010B2" w:rsidRDefault="00C010B2" w:rsidP="00C010B2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  <w:r w:rsidRPr="00C010B2">
        <w:rPr>
          <w:rFonts w:ascii="Calibri" w:hAnsi="Calibri" w:cs="Calibri"/>
          <w:color w:val="000000"/>
          <w:sz w:val="20"/>
          <w:szCs w:val="20"/>
        </w:rPr>
        <w:t>Los comentarios a la propuesta de bases técnicas serán recibidos hasta el jueves 09 de abril</w:t>
      </w:r>
      <w:r w:rsidR="00597CD6">
        <w:rPr>
          <w:rFonts w:ascii="Calibri" w:hAnsi="Calibri" w:cs="Calibri"/>
          <w:color w:val="000000"/>
          <w:sz w:val="20"/>
          <w:szCs w:val="20"/>
        </w:rPr>
        <w:t xml:space="preserve"> a través de </w:t>
      </w:r>
      <w:r w:rsidRPr="00C010B2">
        <w:rPr>
          <w:rFonts w:ascii="Calibri" w:hAnsi="Calibri" w:cs="Calibri"/>
          <w:color w:val="000000"/>
          <w:sz w:val="20"/>
          <w:szCs w:val="20"/>
        </w:rPr>
        <w:t xml:space="preserve">un formulario web en el sitio </w:t>
      </w:r>
      <w:hyperlink r:id="rId8" w:history="1">
        <w:r w:rsidRPr="00C010B2">
          <w:rPr>
            <w:rStyle w:val="Hipervnculo"/>
            <w:rFonts w:ascii="Calibri" w:hAnsi="Calibri" w:cs="Calibri"/>
            <w:sz w:val="20"/>
            <w:szCs w:val="20"/>
          </w:rPr>
          <w:t>www.scj.gob.cl/betchile</w:t>
        </w:r>
      </w:hyperlink>
      <w:r w:rsidRPr="00C010B2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597CD6">
        <w:rPr>
          <w:rFonts w:ascii="Calibri" w:hAnsi="Calibri" w:cs="Calibri"/>
          <w:color w:val="000000"/>
          <w:sz w:val="20"/>
          <w:szCs w:val="20"/>
        </w:rPr>
        <w:t xml:space="preserve">plataforma </w:t>
      </w:r>
      <w:r w:rsidRPr="00C010B2">
        <w:rPr>
          <w:rFonts w:ascii="Calibri" w:hAnsi="Calibri" w:cs="Calibri"/>
          <w:color w:val="000000"/>
          <w:sz w:val="20"/>
          <w:szCs w:val="20"/>
        </w:rPr>
        <w:t>cread</w:t>
      </w:r>
      <w:r w:rsidR="00597CD6">
        <w:rPr>
          <w:rFonts w:ascii="Calibri" w:hAnsi="Calibri" w:cs="Calibri"/>
          <w:color w:val="000000"/>
          <w:sz w:val="20"/>
          <w:szCs w:val="20"/>
        </w:rPr>
        <w:t>a</w:t>
      </w:r>
      <w:r w:rsidRPr="00C010B2">
        <w:rPr>
          <w:rFonts w:ascii="Calibri" w:hAnsi="Calibri" w:cs="Calibri"/>
          <w:color w:val="000000"/>
          <w:sz w:val="20"/>
          <w:szCs w:val="20"/>
        </w:rPr>
        <w:t xml:space="preserve"> especialmente para este proceso</w:t>
      </w:r>
      <w:r w:rsidR="00597CD6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010B2">
        <w:rPr>
          <w:rFonts w:ascii="Calibri" w:hAnsi="Calibri" w:cs="Calibri"/>
          <w:color w:val="000000"/>
          <w:sz w:val="20"/>
          <w:szCs w:val="20"/>
        </w:rPr>
        <w:t>con el propósito de proveer de información relevante a los interesados en postular a un permiso de operación, dando a conocer de manera oportuna las características y principales hitos de cada una de sus etapas.</w:t>
      </w:r>
    </w:p>
    <w:p w:rsidR="00C010B2" w:rsidRPr="00C010B2" w:rsidRDefault="00C010B2" w:rsidP="00C010B2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541C71" w:rsidRPr="00C010B2" w:rsidRDefault="00C010B2" w:rsidP="006C3A16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  <w:r w:rsidRPr="00C010B2">
        <w:rPr>
          <w:rFonts w:ascii="Calibri" w:hAnsi="Calibri" w:cs="Calibri"/>
          <w:color w:val="000000"/>
          <w:sz w:val="20"/>
          <w:szCs w:val="20"/>
        </w:rPr>
        <w:t>Una vez finalizada la etapa de Consulta Pública se recopilarán las respuestas, se publicará un resumen de las principales aclaraciones junto a las bases definitivas y</w:t>
      </w:r>
      <w:r w:rsidR="00FD2F01">
        <w:rPr>
          <w:rFonts w:ascii="Calibri" w:hAnsi="Calibri" w:cs="Calibri"/>
          <w:color w:val="000000"/>
          <w:sz w:val="20"/>
          <w:szCs w:val="20"/>
        </w:rPr>
        <w:t>, de esta manera,</w:t>
      </w:r>
      <w:r w:rsidRPr="00C010B2">
        <w:rPr>
          <w:rFonts w:ascii="Calibri" w:hAnsi="Calibri" w:cs="Calibri"/>
          <w:color w:val="000000"/>
          <w:sz w:val="20"/>
          <w:szCs w:val="20"/>
        </w:rPr>
        <w:t xml:space="preserve"> se dará inicio oficial al proceso, a través </w:t>
      </w:r>
      <w:r w:rsidR="001214F9" w:rsidRPr="00C010B2">
        <w:rPr>
          <w:rFonts w:ascii="Calibri" w:hAnsi="Calibri" w:cs="Calibri"/>
          <w:color w:val="000000"/>
          <w:sz w:val="20"/>
          <w:szCs w:val="20"/>
        </w:rPr>
        <w:t xml:space="preserve">del </w:t>
      </w:r>
      <w:r w:rsidR="00E039AC">
        <w:rPr>
          <w:rFonts w:ascii="Calibri" w:hAnsi="Calibri" w:cs="Calibri"/>
          <w:color w:val="000000"/>
          <w:sz w:val="20"/>
          <w:szCs w:val="20"/>
        </w:rPr>
        <w:t>cual</w:t>
      </w:r>
      <w:r w:rsidR="001214F9" w:rsidRPr="00C010B2">
        <w:rPr>
          <w:rFonts w:ascii="Calibri" w:hAnsi="Calibri" w:cs="Calibri"/>
          <w:color w:val="000000"/>
          <w:sz w:val="20"/>
          <w:szCs w:val="20"/>
        </w:rPr>
        <w:t xml:space="preserve"> se podrá autorizar hasta un máximo de 12 casinos de juego, </w:t>
      </w:r>
      <w:r w:rsidR="0047612B">
        <w:rPr>
          <w:rFonts w:ascii="Calibri" w:hAnsi="Calibri" w:cs="Calibri"/>
          <w:color w:val="000000"/>
          <w:sz w:val="20"/>
          <w:szCs w:val="20"/>
        </w:rPr>
        <w:t xml:space="preserve">que corresponden a los </w:t>
      </w:r>
      <w:r w:rsidR="001214F9" w:rsidRPr="00C010B2">
        <w:rPr>
          <w:rFonts w:ascii="Calibri" w:hAnsi="Calibri" w:cs="Calibri"/>
          <w:color w:val="000000"/>
          <w:sz w:val="20"/>
          <w:szCs w:val="20"/>
        </w:rPr>
        <w:t xml:space="preserve">cupos que quedarán disponibles </w:t>
      </w:r>
      <w:r w:rsidRPr="00C010B2">
        <w:rPr>
          <w:rFonts w:ascii="Calibri" w:hAnsi="Calibri" w:cs="Calibri"/>
          <w:color w:val="000000"/>
          <w:sz w:val="20"/>
          <w:szCs w:val="20"/>
        </w:rPr>
        <w:t xml:space="preserve">entre el </w:t>
      </w:r>
      <w:r w:rsidR="00A00077" w:rsidRPr="00C010B2">
        <w:rPr>
          <w:rFonts w:ascii="Calibri" w:hAnsi="Calibri" w:cs="Calibri"/>
          <w:color w:val="000000"/>
          <w:sz w:val="20"/>
          <w:szCs w:val="20"/>
        </w:rPr>
        <w:t>28 de julio de 2023 y el 13 de mayo de 2024.</w:t>
      </w:r>
    </w:p>
    <w:p w:rsidR="00C010B2" w:rsidRPr="00C010B2" w:rsidRDefault="00C010B2" w:rsidP="006C3A16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214F9" w:rsidRPr="00C010B2" w:rsidRDefault="00C010B2" w:rsidP="00541C71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  <w:r w:rsidRPr="00C010B2">
        <w:rPr>
          <w:rFonts w:ascii="Calibri" w:hAnsi="Calibri" w:cs="Calibri"/>
          <w:color w:val="000000"/>
          <w:sz w:val="20"/>
          <w:szCs w:val="20"/>
        </w:rPr>
        <w:t>Lo anterior, en consideración a que</w:t>
      </w:r>
      <w:r w:rsidR="007735F7">
        <w:rPr>
          <w:rFonts w:ascii="Calibri" w:hAnsi="Calibri" w:cs="Calibri"/>
          <w:color w:val="000000"/>
          <w:sz w:val="20"/>
          <w:szCs w:val="20"/>
        </w:rPr>
        <w:t>,</w:t>
      </w:r>
      <w:r w:rsidRPr="00C010B2">
        <w:rPr>
          <w:rFonts w:ascii="Calibri" w:hAnsi="Calibri" w:cs="Calibri"/>
          <w:color w:val="000000"/>
          <w:sz w:val="20"/>
          <w:szCs w:val="20"/>
        </w:rPr>
        <w:t xml:space="preserve"> según lo </w:t>
      </w:r>
      <w:r w:rsidR="001214F9" w:rsidRPr="00C010B2">
        <w:rPr>
          <w:rFonts w:ascii="Calibri" w:hAnsi="Calibri" w:cs="Calibri"/>
          <w:color w:val="000000"/>
          <w:sz w:val="20"/>
          <w:szCs w:val="20"/>
        </w:rPr>
        <w:t xml:space="preserve">establecido en la Ley N° 19.995 o Ley de Casinos, la </w:t>
      </w:r>
      <w:r w:rsidR="00341712">
        <w:rPr>
          <w:rFonts w:ascii="Calibri" w:hAnsi="Calibri" w:cs="Calibri"/>
          <w:color w:val="000000"/>
          <w:sz w:val="20"/>
          <w:szCs w:val="20"/>
        </w:rPr>
        <w:t>SCJ</w:t>
      </w:r>
      <w:r w:rsidR="001214F9" w:rsidRPr="00C010B2">
        <w:rPr>
          <w:rFonts w:ascii="Calibri" w:hAnsi="Calibri" w:cs="Calibri"/>
          <w:color w:val="000000"/>
          <w:sz w:val="20"/>
          <w:szCs w:val="20"/>
        </w:rPr>
        <w:t>, con una antelación que no podrá superar los 48 ni ser inferior a 36 meses contados desde la fecha de vencimiento de los permisos en actual explotación, deberá dictar una resolución declarando formalmente abierto el proceso de otorgamiento o de renovación de permisos de operación</w:t>
      </w:r>
      <w:r w:rsidR="00E039AC">
        <w:rPr>
          <w:rFonts w:ascii="Calibri" w:hAnsi="Calibri" w:cs="Calibri"/>
          <w:color w:val="000000"/>
          <w:sz w:val="20"/>
          <w:szCs w:val="20"/>
        </w:rPr>
        <w:t>, según corresponda</w:t>
      </w:r>
      <w:r w:rsidR="001214F9" w:rsidRPr="00C010B2">
        <w:rPr>
          <w:rFonts w:ascii="Calibri" w:hAnsi="Calibri" w:cs="Calibri"/>
          <w:color w:val="000000"/>
          <w:sz w:val="20"/>
          <w:szCs w:val="20"/>
        </w:rPr>
        <w:t>.</w:t>
      </w:r>
      <w:r w:rsidR="00A00077" w:rsidRPr="00C010B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541C71" w:rsidRPr="00C010B2" w:rsidRDefault="00541C71" w:rsidP="006C3A16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A00077" w:rsidRPr="00C010B2" w:rsidRDefault="00FD2F01" w:rsidP="006C3A16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Cabe señalar</w:t>
      </w:r>
      <w:r w:rsidR="00465766" w:rsidRPr="00C010B2">
        <w:rPr>
          <w:rFonts w:ascii="Calibri" w:hAnsi="Calibri" w:cs="Calibri"/>
          <w:color w:val="000000"/>
          <w:sz w:val="20"/>
          <w:szCs w:val="20"/>
        </w:rPr>
        <w:t xml:space="preserve"> que</w:t>
      </w:r>
      <w:r>
        <w:rPr>
          <w:rFonts w:ascii="Calibri" w:hAnsi="Calibri" w:cs="Calibri"/>
          <w:color w:val="000000"/>
          <w:sz w:val="20"/>
          <w:szCs w:val="20"/>
        </w:rPr>
        <w:t>,</w:t>
      </w:r>
      <w:r w:rsidR="00465766" w:rsidRPr="00C010B2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según la normativa</w:t>
      </w:r>
      <w:r w:rsidR="00005EF5">
        <w:rPr>
          <w:rFonts w:ascii="Calibri" w:hAnsi="Calibri" w:cs="Calibri"/>
          <w:color w:val="000000"/>
          <w:sz w:val="20"/>
          <w:szCs w:val="20"/>
        </w:rPr>
        <w:t xml:space="preserve"> vigemte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465766" w:rsidRPr="00C010B2">
        <w:rPr>
          <w:rFonts w:ascii="Calibri" w:hAnsi="Calibri" w:cs="Calibri"/>
          <w:color w:val="000000"/>
          <w:sz w:val="20"/>
          <w:szCs w:val="20"/>
        </w:rPr>
        <w:t>se puede postular a un permiso de operación de casino de juego en todas las regiones del país, con excepción de la Región Metropolitana</w:t>
      </w:r>
      <w:r>
        <w:rPr>
          <w:rFonts w:ascii="Calibri" w:hAnsi="Calibri" w:cs="Calibri"/>
          <w:color w:val="000000"/>
          <w:sz w:val="20"/>
          <w:szCs w:val="20"/>
        </w:rPr>
        <w:t xml:space="preserve"> y que, además, </w:t>
      </w:r>
      <w:r w:rsidR="00465766" w:rsidRPr="00C010B2">
        <w:rPr>
          <w:rFonts w:ascii="Calibri" w:hAnsi="Calibri" w:cs="Calibri"/>
          <w:color w:val="000000"/>
          <w:sz w:val="20"/>
          <w:szCs w:val="20"/>
        </w:rPr>
        <w:t>la Región de Valparaíso</w:t>
      </w:r>
      <w:r>
        <w:rPr>
          <w:rFonts w:ascii="Calibri" w:hAnsi="Calibri" w:cs="Calibri"/>
          <w:color w:val="000000"/>
          <w:sz w:val="20"/>
          <w:szCs w:val="20"/>
        </w:rPr>
        <w:t xml:space="preserve"> se encuentra excluida de este proceso</w:t>
      </w:r>
      <w:r w:rsidR="00465766" w:rsidRPr="00C010B2">
        <w:rPr>
          <w:rFonts w:ascii="Calibri" w:hAnsi="Calibri" w:cs="Calibri"/>
          <w:color w:val="000000"/>
          <w:sz w:val="20"/>
          <w:szCs w:val="20"/>
        </w:rPr>
        <w:t xml:space="preserve">, puesto </w:t>
      </w:r>
      <w:r w:rsidR="00E039AC">
        <w:rPr>
          <w:rFonts w:ascii="Calibri" w:hAnsi="Calibri" w:cs="Calibri"/>
          <w:color w:val="000000"/>
          <w:sz w:val="20"/>
          <w:szCs w:val="20"/>
        </w:rPr>
        <w:t xml:space="preserve">que </w:t>
      </w:r>
      <w:r>
        <w:rPr>
          <w:rFonts w:ascii="Calibri" w:hAnsi="Calibri" w:cs="Calibri"/>
          <w:color w:val="000000"/>
          <w:sz w:val="20"/>
          <w:szCs w:val="20"/>
        </w:rPr>
        <w:t>ya cuenta con</w:t>
      </w:r>
      <w:r w:rsidR="00465766" w:rsidRPr="00C010B2">
        <w:rPr>
          <w:rFonts w:ascii="Calibri" w:hAnsi="Calibri" w:cs="Calibri"/>
          <w:color w:val="000000"/>
          <w:sz w:val="20"/>
          <w:szCs w:val="20"/>
        </w:rPr>
        <w:t xml:space="preserve"> el máximo de tres casinos con permiso de operación vigente.</w:t>
      </w:r>
    </w:p>
    <w:p w:rsidR="00465766" w:rsidRPr="00C010B2" w:rsidRDefault="00465766" w:rsidP="006C3A16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65766" w:rsidRPr="00C010B2" w:rsidRDefault="00265F9E" w:rsidP="00465766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L</w:t>
      </w:r>
      <w:r w:rsidR="00465766" w:rsidRPr="00C010B2">
        <w:rPr>
          <w:rFonts w:ascii="Calibri" w:hAnsi="Calibri" w:cs="Calibri"/>
          <w:color w:val="000000"/>
          <w:sz w:val="20"/>
          <w:szCs w:val="20"/>
        </w:rPr>
        <w:t>as actuales sociedades operadoras de casinos de juego pueden optar a participar de este proceso, postulando a la renovación de sus permisos. Para garantizar que este proceso sea equitativo y transparente tanto para los eventuales casinos renovantes como para los posibles entrantes, las reglas del proceso serán públicas y conocidas por todos los</w:t>
      </w:r>
      <w:r>
        <w:rPr>
          <w:rFonts w:ascii="Calibri" w:hAnsi="Calibri" w:cs="Calibri"/>
          <w:color w:val="000000"/>
          <w:sz w:val="20"/>
          <w:szCs w:val="20"/>
        </w:rPr>
        <w:t xml:space="preserve"> interesados</w:t>
      </w:r>
      <w:r w:rsidR="00465766" w:rsidRPr="00C010B2">
        <w:rPr>
          <w:rFonts w:ascii="Calibri" w:hAnsi="Calibri" w:cs="Calibri"/>
          <w:color w:val="000000"/>
          <w:sz w:val="20"/>
          <w:szCs w:val="20"/>
        </w:rPr>
        <w:t>. Asimismo, serán públicos los expedientes de la evaluación técnica, una vez que haya concluido el proceso, salvo aquella información de carácter reservada de conformidad a la Ley N°20.285</w:t>
      </w:r>
      <w:r w:rsidR="00125B7B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E039AC">
        <w:rPr>
          <w:rFonts w:ascii="Calibri" w:hAnsi="Calibri" w:cs="Calibri"/>
          <w:color w:val="000000"/>
          <w:sz w:val="20"/>
          <w:szCs w:val="20"/>
        </w:rPr>
        <w:t>sobre acceso a la información pública.</w:t>
      </w:r>
      <w:r w:rsidR="00125B7B">
        <w:rPr>
          <w:rFonts w:ascii="Calibri" w:hAnsi="Calibri" w:cs="Calibri"/>
          <w:color w:val="000000"/>
          <w:sz w:val="20"/>
          <w:szCs w:val="20"/>
        </w:rPr>
        <w:t>.</w:t>
      </w:r>
    </w:p>
    <w:p w:rsidR="00465766" w:rsidRDefault="00465766" w:rsidP="0046576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10B2" w:rsidRPr="00C010B2" w:rsidRDefault="00C010B2" w:rsidP="00C010B2">
      <w:pPr>
        <w:ind w:right="49"/>
        <w:jc w:val="both"/>
        <w:rPr>
          <w:rFonts w:ascii="Calibri" w:hAnsi="Calibri" w:cs="Calibri"/>
          <w:color w:val="000000"/>
          <w:sz w:val="20"/>
          <w:szCs w:val="20"/>
        </w:rPr>
      </w:pPr>
      <w:r w:rsidRPr="00C010B2">
        <w:rPr>
          <w:rFonts w:ascii="Calibri" w:hAnsi="Calibri" w:cs="Calibri"/>
          <w:color w:val="000000"/>
          <w:sz w:val="20"/>
          <w:szCs w:val="20"/>
        </w:rPr>
        <w:t>Además, habrá un proceso formal de consultas y aclaraciones durante la etapa de postulación y existirán dos audiencias públicas, una para la presentación de las ofertas técnicas y económicas y otra para la apertura de la oferta económica.</w:t>
      </w:r>
    </w:p>
    <w:p w:rsidR="00C010B2" w:rsidRDefault="00C010B2" w:rsidP="0046576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10B2" w:rsidRDefault="00C010B2" w:rsidP="0046576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10B2" w:rsidRDefault="00C010B2" w:rsidP="0046576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10B2" w:rsidRDefault="00C010B2" w:rsidP="0046576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51"/>
        <w:gridCol w:w="1617"/>
        <w:gridCol w:w="1701"/>
        <w:gridCol w:w="1983"/>
        <w:gridCol w:w="1277"/>
        <w:gridCol w:w="1418"/>
      </w:tblGrid>
      <w:tr w:rsidR="00C010B2" w:rsidRPr="00E847A7" w:rsidTr="00696E3A">
        <w:trPr>
          <w:trHeight w:val="352"/>
        </w:trPr>
        <w:tc>
          <w:tcPr>
            <w:tcW w:w="10207" w:type="dxa"/>
            <w:gridSpan w:val="7"/>
            <w:shd w:val="clear" w:color="auto" w:fill="1F497D" w:themeFill="text2"/>
            <w:vAlign w:val="center"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DA2FEE">
              <w:rPr>
                <w:rFonts w:ascii="Arial Narrow" w:hAnsi="Arial Narrow" w:cs="Calibri"/>
                <w:b/>
                <w:bCs/>
                <w:color w:val="FFFFFF" w:themeColor="background1"/>
                <w:sz w:val="18"/>
                <w:szCs w:val="18"/>
                <w:lang w:eastAsia="es-CL"/>
              </w:rPr>
              <w:lastRenderedPageBreak/>
              <w:t xml:space="preserve">Casinos Ley </w:t>
            </w:r>
            <w:r w:rsidRPr="00A0007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N°19.995 según fecha de inicio de operación de casino de juego con vencimiento de permisos a mayo de 2024</w:t>
            </w:r>
          </w:p>
        </w:tc>
      </w:tr>
      <w:tr w:rsidR="00C010B2" w:rsidRPr="00E847A7" w:rsidTr="00696E3A">
        <w:trPr>
          <w:trHeight w:val="352"/>
        </w:trPr>
        <w:tc>
          <w:tcPr>
            <w:tcW w:w="1560" w:type="dxa"/>
            <w:vMerge w:val="restart"/>
            <w:shd w:val="clear" w:color="auto" w:fill="1F497D" w:themeFill="text2"/>
            <w:vAlign w:val="center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2268" w:type="dxa"/>
            <w:gridSpan w:val="2"/>
            <w:vMerge w:val="restart"/>
            <w:shd w:val="clear" w:color="auto" w:fill="1F497D" w:themeFill="text2"/>
            <w:vAlign w:val="center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Sociedad operadora</w:t>
            </w:r>
          </w:p>
        </w:tc>
        <w:tc>
          <w:tcPr>
            <w:tcW w:w="1701" w:type="dxa"/>
            <w:vMerge w:val="restart"/>
            <w:shd w:val="clear" w:color="auto" w:fill="1F497D" w:themeFill="text2"/>
            <w:vAlign w:val="center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1983" w:type="dxa"/>
            <w:vMerge w:val="restart"/>
            <w:shd w:val="clear" w:color="auto" w:fill="1F497D" w:themeFill="text2"/>
            <w:vAlign w:val="center"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otorgamiento permiso de operación</w:t>
            </w:r>
          </w:p>
        </w:tc>
        <w:tc>
          <w:tcPr>
            <w:tcW w:w="2695" w:type="dxa"/>
            <w:gridSpan w:val="2"/>
            <w:shd w:val="clear" w:color="auto" w:fill="1F497D" w:themeFill="text2"/>
            <w:vAlign w:val="center"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Operación casino de juego</w:t>
            </w:r>
          </w:p>
        </w:tc>
      </w:tr>
      <w:tr w:rsidR="00C010B2" w:rsidRPr="00E847A7" w:rsidTr="00696E3A">
        <w:trPr>
          <w:trHeight w:val="804"/>
        </w:trPr>
        <w:tc>
          <w:tcPr>
            <w:tcW w:w="1560" w:type="dxa"/>
            <w:vMerge/>
            <w:shd w:val="clear" w:color="auto" w:fill="1F497D" w:themeFill="text2"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gridSpan w:val="2"/>
            <w:vMerge/>
            <w:shd w:val="clear" w:color="auto" w:fill="1F497D" w:themeFill="text2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701" w:type="dxa"/>
            <w:vMerge/>
            <w:shd w:val="clear" w:color="auto" w:fill="1F497D" w:themeFill="text2"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983" w:type="dxa"/>
            <w:vMerge/>
            <w:shd w:val="clear" w:color="auto" w:fill="1F497D" w:themeFill="text2"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1277" w:type="dxa"/>
            <w:shd w:val="clear" w:color="auto" w:fill="1F497D" w:themeFill="text2"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Inicio</w:t>
            </w:r>
          </w:p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operaciones </w:t>
            </w:r>
          </w:p>
        </w:tc>
        <w:tc>
          <w:tcPr>
            <w:tcW w:w="1418" w:type="dxa"/>
            <w:shd w:val="clear" w:color="auto" w:fill="1F497D" w:themeFill="text2"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Fecha de Término</w:t>
            </w:r>
          </w:p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p</w:t>
            </w: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ermiso de operaci</w:t>
            </w:r>
            <w:r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>ó</w:t>
            </w:r>
            <w:r w:rsidRPr="00E847A7">
              <w:rPr>
                <w:rFonts w:ascii="Arial Narrow" w:hAnsi="Arial Narrow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n 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Gran Los Ángeles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Gran Los Ángeles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28-jul-23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Atacama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Gran Casino de Copiapó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Antay</w:t>
            </w:r>
            <w:proofErr w:type="spellEnd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Casino &amp; Hotel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07-ago-08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06-ago-23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</w:t>
            </w:r>
            <w:r w:rsidR="00E039AC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l Libertador General Bernardo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O'Higgins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Colchagua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Colchagua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12-sept-08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11-sept-23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</w:t>
            </w:r>
            <w:r w:rsidR="00E039AC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l Libertador General Bernardo</w:t>
            </w: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O'Higgins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  <w:t>San Francisco Investment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Sun</w:t>
            </w:r>
            <w:proofErr w:type="spellEnd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Monticello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08-oct-08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07-oct-23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Operaciones El Escorial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proofErr w:type="spellStart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Enjoy</w:t>
            </w:r>
            <w:proofErr w:type="spellEnd"/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 xml:space="preserve"> Antofagasta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11-nov-08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10-nov-23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Biobío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13-nov-08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12-nov-23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Del Maule</w:t>
            </w:r>
          </w:p>
        </w:tc>
        <w:tc>
          <w:tcPr>
            <w:tcW w:w="2268" w:type="dxa"/>
            <w:gridSpan w:val="2"/>
            <w:shd w:val="clear" w:color="000000" w:fill="FFFFFF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Sociedad Casino de Juego de Talca S.A.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Gran Casino de Talca</w:t>
            </w:r>
          </w:p>
        </w:tc>
        <w:tc>
          <w:tcPr>
            <w:tcW w:w="1983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29-dic-06</w:t>
            </w:r>
          </w:p>
        </w:tc>
        <w:tc>
          <w:tcPr>
            <w:tcW w:w="1277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26-dic-08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25-dic-23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los Lagos</w:t>
            </w:r>
          </w:p>
        </w:tc>
        <w:tc>
          <w:tcPr>
            <w:tcW w:w="2268" w:type="dxa"/>
            <w:gridSpan w:val="2"/>
            <w:shd w:val="clear" w:color="000000" w:fill="auto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  <w:t>Latin Gaming Osorno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Osorno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13-ene-09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12-ene-24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la Araucanía</w:t>
            </w:r>
          </w:p>
        </w:tc>
        <w:tc>
          <w:tcPr>
            <w:tcW w:w="2268" w:type="dxa"/>
            <w:gridSpan w:val="2"/>
            <w:shd w:val="clear" w:color="000000" w:fill="auto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Temuco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 Temuco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14-ene-09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13-ene-24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los Ríos</w:t>
            </w:r>
          </w:p>
        </w:tc>
        <w:tc>
          <w:tcPr>
            <w:tcW w:w="2268" w:type="dxa"/>
            <w:gridSpan w:val="2"/>
            <w:shd w:val="clear" w:color="000000" w:fill="auto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Valdivia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 Valdivia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20-feb-09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19-feb-24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Magallanes</w:t>
            </w:r>
          </w:p>
        </w:tc>
        <w:tc>
          <w:tcPr>
            <w:tcW w:w="2268" w:type="dxa"/>
            <w:gridSpan w:val="2"/>
            <w:shd w:val="clear" w:color="000000" w:fill="auto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Casino de Juegos Punta Arenas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Dreams Punta Arenas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29-jul-06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13-mar-09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12-mar-24</w:t>
            </w:r>
          </w:p>
        </w:tc>
      </w:tr>
      <w:tr w:rsidR="00C010B2" w:rsidRPr="00E847A7" w:rsidTr="00C93F79">
        <w:trPr>
          <w:trHeight w:val="276"/>
        </w:trPr>
        <w:tc>
          <w:tcPr>
            <w:tcW w:w="1560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De Antofagasta</w:t>
            </w:r>
          </w:p>
        </w:tc>
        <w:tc>
          <w:tcPr>
            <w:tcW w:w="2268" w:type="dxa"/>
            <w:gridSpan w:val="2"/>
            <w:shd w:val="clear" w:color="000000" w:fill="auto"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val="en-US" w:eastAsia="es-CL"/>
              </w:rPr>
              <w:t>Latin Gaming Calama S.A.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Marina del Sol Calama</w:t>
            </w:r>
          </w:p>
        </w:tc>
        <w:tc>
          <w:tcPr>
            <w:tcW w:w="1983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21-sept-06</w:t>
            </w:r>
          </w:p>
        </w:tc>
        <w:tc>
          <w:tcPr>
            <w:tcW w:w="1277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14-may-09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C010B2" w:rsidRPr="00E847A7" w:rsidRDefault="00C010B2" w:rsidP="00C93F79">
            <w:pPr>
              <w:spacing w:after="12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</w:pPr>
            <w:r w:rsidRPr="00E847A7">
              <w:rPr>
                <w:rFonts w:ascii="Arial Narrow" w:hAnsi="Arial Narrow" w:cs="Calibri"/>
                <w:color w:val="000000"/>
                <w:sz w:val="16"/>
                <w:szCs w:val="16"/>
                <w:lang w:eastAsia="es-CL"/>
              </w:rPr>
              <w:t>13-may-24</w:t>
            </w:r>
          </w:p>
        </w:tc>
      </w:tr>
      <w:tr w:rsidR="00C010B2" w:rsidRPr="00E847A7" w:rsidTr="00730A66">
        <w:trPr>
          <w:trHeight w:val="268"/>
        </w:trPr>
        <w:tc>
          <w:tcPr>
            <w:tcW w:w="2211" w:type="dxa"/>
            <w:gridSpan w:val="2"/>
            <w:shd w:val="clear" w:color="auto" w:fill="1F497D" w:themeFill="text2"/>
            <w:vAlign w:val="center"/>
          </w:tcPr>
          <w:p w:rsidR="00C010B2" w:rsidRPr="00A0007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</w:p>
        </w:tc>
        <w:tc>
          <w:tcPr>
            <w:tcW w:w="5301" w:type="dxa"/>
            <w:gridSpan w:val="3"/>
            <w:shd w:val="clear" w:color="auto" w:fill="1F497D" w:themeFill="text2"/>
            <w:noWrap/>
            <w:vAlign w:val="center"/>
            <w:hideMark/>
          </w:tcPr>
          <w:p w:rsidR="00C010B2" w:rsidRPr="00A00077" w:rsidRDefault="00C010B2" w:rsidP="00C93F79">
            <w:pPr>
              <w:ind w:left="-1174" w:firstLine="1174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A00077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Total casinos: 12</w:t>
            </w:r>
          </w:p>
        </w:tc>
        <w:tc>
          <w:tcPr>
            <w:tcW w:w="1277" w:type="dxa"/>
            <w:shd w:val="clear" w:color="auto" w:fill="1F497D" w:themeFill="text2"/>
            <w:noWrap/>
            <w:vAlign w:val="center"/>
            <w:hideMark/>
          </w:tcPr>
          <w:p w:rsidR="00C010B2" w:rsidRPr="00A0007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A00077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418" w:type="dxa"/>
            <w:shd w:val="clear" w:color="auto" w:fill="1F497D" w:themeFill="text2"/>
            <w:noWrap/>
            <w:vAlign w:val="center"/>
            <w:hideMark/>
          </w:tcPr>
          <w:p w:rsidR="00C010B2" w:rsidRPr="00A00077" w:rsidRDefault="00C010B2" w:rsidP="00C93F79">
            <w:pPr>
              <w:spacing w:after="120"/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</w:pPr>
            <w:r w:rsidRPr="00A00077">
              <w:rPr>
                <w:rFonts w:ascii="Arial Narrow" w:hAnsi="Arial Narrow" w:cs="Calibri"/>
                <w:b/>
                <w:bCs/>
                <w:color w:val="FFFFFF" w:themeColor="background1"/>
                <w:sz w:val="16"/>
                <w:szCs w:val="16"/>
                <w:lang w:eastAsia="es-CL"/>
              </w:rPr>
              <w:t> </w:t>
            </w:r>
          </w:p>
        </w:tc>
      </w:tr>
    </w:tbl>
    <w:p w:rsidR="00C010B2" w:rsidRDefault="00C010B2" w:rsidP="0046576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5766" w:rsidRDefault="00465766" w:rsidP="006C3A1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5766" w:rsidRDefault="00465766" w:rsidP="006C3A1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00077" w:rsidRDefault="00A00077" w:rsidP="006C3A16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A00077" w:rsidSect="00FE532E">
      <w:headerReference w:type="default" r:id="rId9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FE" w:rsidRDefault="00644DFE" w:rsidP="00B15F33">
      <w:r>
        <w:separator/>
      </w:r>
    </w:p>
  </w:endnote>
  <w:endnote w:type="continuationSeparator" w:id="0">
    <w:p w:rsidR="00644DFE" w:rsidRDefault="00644DFE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FE" w:rsidRDefault="00644DFE" w:rsidP="00B15F33">
      <w:r>
        <w:separator/>
      </w:r>
    </w:p>
  </w:footnote>
  <w:footnote w:type="continuationSeparator" w:id="0">
    <w:p w:rsidR="00644DFE" w:rsidRDefault="00644DFE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3pt;height:2.3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71B63"/>
    <w:multiLevelType w:val="hybridMultilevel"/>
    <w:tmpl w:val="A2260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55DCA"/>
    <w:multiLevelType w:val="hybridMultilevel"/>
    <w:tmpl w:val="CC4A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9F"/>
    <w:rsid w:val="00003E87"/>
    <w:rsid w:val="0000529A"/>
    <w:rsid w:val="00005EF5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631C9"/>
    <w:rsid w:val="000669B6"/>
    <w:rsid w:val="000678EE"/>
    <w:rsid w:val="000719FC"/>
    <w:rsid w:val="00072518"/>
    <w:rsid w:val="00075ECD"/>
    <w:rsid w:val="000770DE"/>
    <w:rsid w:val="00086885"/>
    <w:rsid w:val="00086CD4"/>
    <w:rsid w:val="0009050A"/>
    <w:rsid w:val="0009533D"/>
    <w:rsid w:val="000973A9"/>
    <w:rsid w:val="000A075D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112"/>
    <w:rsid w:val="000E7E94"/>
    <w:rsid w:val="000F0BE5"/>
    <w:rsid w:val="000F3CA4"/>
    <w:rsid w:val="000F472C"/>
    <w:rsid w:val="000F5601"/>
    <w:rsid w:val="000F5780"/>
    <w:rsid w:val="000F726E"/>
    <w:rsid w:val="00102A48"/>
    <w:rsid w:val="0010456A"/>
    <w:rsid w:val="00107D46"/>
    <w:rsid w:val="0011166B"/>
    <w:rsid w:val="00116422"/>
    <w:rsid w:val="0011757E"/>
    <w:rsid w:val="00120E98"/>
    <w:rsid w:val="001214F9"/>
    <w:rsid w:val="00125B7B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ABF"/>
    <w:rsid w:val="00187EB2"/>
    <w:rsid w:val="0019435B"/>
    <w:rsid w:val="00195FA9"/>
    <w:rsid w:val="00196495"/>
    <w:rsid w:val="00196964"/>
    <w:rsid w:val="00197563"/>
    <w:rsid w:val="001A0A26"/>
    <w:rsid w:val="001A50F2"/>
    <w:rsid w:val="001A7C43"/>
    <w:rsid w:val="001A7D2B"/>
    <w:rsid w:val="001B0D2C"/>
    <w:rsid w:val="001B15F5"/>
    <w:rsid w:val="001B24C6"/>
    <w:rsid w:val="001B3169"/>
    <w:rsid w:val="001C09F1"/>
    <w:rsid w:val="001D09F7"/>
    <w:rsid w:val="001D56DF"/>
    <w:rsid w:val="001D720C"/>
    <w:rsid w:val="001E0795"/>
    <w:rsid w:val="001E17A0"/>
    <w:rsid w:val="001E28B2"/>
    <w:rsid w:val="001E7024"/>
    <w:rsid w:val="001F100E"/>
    <w:rsid w:val="00201CFC"/>
    <w:rsid w:val="00201DCE"/>
    <w:rsid w:val="00202E1E"/>
    <w:rsid w:val="00206BA8"/>
    <w:rsid w:val="002167DD"/>
    <w:rsid w:val="00222133"/>
    <w:rsid w:val="00224782"/>
    <w:rsid w:val="00225766"/>
    <w:rsid w:val="002277BC"/>
    <w:rsid w:val="0023635A"/>
    <w:rsid w:val="002365F3"/>
    <w:rsid w:val="00250560"/>
    <w:rsid w:val="00251BFE"/>
    <w:rsid w:val="00252A9B"/>
    <w:rsid w:val="00253365"/>
    <w:rsid w:val="00261CDD"/>
    <w:rsid w:val="00262F82"/>
    <w:rsid w:val="00265F9E"/>
    <w:rsid w:val="00266FCE"/>
    <w:rsid w:val="00267CA8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C9E"/>
    <w:rsid w:val="003240D8"/>
    <w:rsid w:val="003261DB"/>
    <w:rsid w:val="003335EF"/>
    <w:rsid w:val="0033380E"/>
    <w:rsid w:val="00341712"/>
    <w:rsid w:val="00343B52"/>
    <w:rsid w:val="0035714B"/>
    <w:rsid w:val="0036086C"/>
    <w:rsid w:val="00365464"/>
    <w:rsid w:val="003665B8"/>
    <w:rsid w:val="00370C26"/>
    <w:rsid w:val="00380094"/>
    <w:rsid w:val="00380C1F"/>
    <w:rsid w:val="0038167A"/>
    <w:rsid w:val="0038183B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DDE"/>
    <w:rsid w:val="003E236C"/>
    <w:rsid w:val="003F0917"/>
    <w:rsid w:val="003F17D8"/>
    <w:rsid w:val="003F353E"/>
    <w:rsid w:val="003F7AC8"/>
    <w:rsid w:val="00403B1C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5766"/>
    <w:rsid w:val="00466B2D"/>
    <w:rsid w:val="00472FCD"/>
    <w:rsid w:val="004748D5"/>
    <w:rsid w:val="0047612B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E04E2"/>
    <w:rsid w:val="004E1B12"/>
    <w:rsid w:val="004F1266"/>
    <w:rsid w:val="004F1F83"/>
    <w:rsid w:val="004F2787"/>
    <w:rsid w:val="004F51D3"/>
    <w:rsid w:val="005015A7"/>
    <w:rsid w:val="00510B93"/>
    <w:rsid w:val="005209DF"/>
    <w:rsid w:val="005236F9"/>
    <w:rsid w:val="00525B4B"/>
    <w:rsid w:val="00525E9C"/>
    <w:rsid w:val="00526383"/>
    <w:rsid w:val="005317C1"/>
    <w:rsid w:val="00537134"/>
    <w:rsid w:val="0054102E"/>
    <w:rsid w:val="005416B1"/>
    <w:rsid w:val="00541C7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55555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CD6"/>
    <w:rsid w:val="00597F7C"/>
    <w:rsid w:val="005A01DC"/>
    <w:rsid w:val="005B02CE"/>
    <w:rsid w:val="005B3F00"/>
    <w:rsid w:val="005B41A9"/>
    <w:rsid w:val="005B6A3F"/>
    <w:rsid w:val="005B7F84"/>
    <w:rsid w:val="005C3D80"/>
    <w:rsid w:val="005C4D21"/>
    <w:rsid w:val="005C5C17"/>
    <w:rsid w:val="005C5FDA"/>
    <w:rsid w:val="005C7EEA"/>
    <w:rsid w:val="005D4E66"/>
    <w:rsid w:val="005D63FE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5A9F"/>
    <w:rsid w:val="0060673B"/>
    <w:rsid w:val="00606F73"/>
    <w:rsid w:val="00611B7F"/>
    <w:rsid w:val="0061233D"/>
    <w:rsid w:val="00612472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4DFE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C49"/>
    <w:rsid w:val="0066510B"/>
    <w:rsid w:val="006671D4"/>
    <w:rsid w:val="00670AF7"/>
    <w:rsid w:val="00672C19"/>
    <w:rsid w:val="006812EE"/>
    <w:rsid w:val="00681FAD"/>
    <w:rsid w:val="006841FD"/>
    <w:rsid w:val="00685974"/>
    <w:rsid w:val="00685B9F"/>
    <w:rsid w:val="00690D4E"/>
    <w:rsid w:val="00696C86"/>
    <w:rsid w:val="00696E3A"/>
    <w:rsid w:val="00696E7C"/>
    <w:rsid w:val="006A1743"/>
    <w:rsid w:val="006A19C8"/>
    <w:rsid w:val="006A2020"/>
    <w:rsid w:val="006A2B7F"/>
    <w:rsid w:val="006A4223"/>
    <w:rsid w:val="006A46F3"/>
    <w:rsid w:val="006A4CFF"/>
    <w:rsid w:val="006B2530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0A66"/>
    <w:rsid w:val="00731899"/>
    <w:rsid w:val="007333FF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7DC"/>
    <w:rsid w:val="00764873"/>
    <w:rsid w:val="00767E87"/>
    <w:rsid w:val="00771220"/>
    <w:rsid w:val="007730C0"/>
    <w:rsid w:val="007735F7"/>
    <w:rsid w:val="00775477"/>
    <w:rsid w:val="00775BC3"/>
    <w:rsid w:val="00775DCB"/>
    <w:rsid w:val="007817F7"/>
    <w:rsid w:val="00790322"/>
    <w:rsid w:val="00790DF5"/>
    <w:rsid w:val="0079275F"/>
    <w:rsid w:val="00795606"/>
    <w:rsid w:val="007A132A"/>
    <w:rsid w:val="007A3342"/>
    <w:rsid w:val="007B4216"/>
    <w:rsid w:val="007B4801"/>
    <w:rsid w:val="007B54F4"/>
    <w:rsid w:val="007C01C3"/>
    <w:rsid w:val="007C4E84"/>
    <w:rsid w:val="007C5471"/>
    <w:rsid w:val="007D0898"/>
    <w:rsid w:val="007D7E7B"/>
    <w:rsid w:val="007E0A10"/>
    <w:rsid w:val="007E3A9E"/>
    <w:rsid w:val="007E489C"/>
    <w:rsid w:val="007E6A3D"/>
    <w:rsid w:val="007F0F33"/>
    <w:rsid w:val="007F39BE"/>
    <w:rsid w:val="007F69FF"/>
    <w:rsid w:val="007F6D13"/>
    <w:rsid w:val="007F7F96"/>
    <w:rsid w:val="00804EB4"/>
    <w:rsid w:val="0080717E"/>
    <w:rsid w:val="0081425C"/>
    <w:rsid w:val="00814FC9"/>
    <w:rsid w:val="0081611E"/>
    <w:rsid w:val="00817648"/>
    <w:rsid w:val="00817BB3"/>
    <w:rsid w:val="00823186"/>
    <w:rsid w:val="00830B4C"/>
    <w:rsid w:val="00831235"/>
    <w:rsid w:val="008336FE"/>
    <w:rsid w:val="0083457C"/>
    <w:rsid w:val="0083547D"/>
    <w:rsid w:val="00835C8C"/>
    <w:rsid w:val="008364A1"/>
    <w:rsid w:val="0084434F"/>
    <w:rsid w:val="008459BC"/>
    <w:rsid w:val="008465C1"/>
    <w:rsid w:val="008508EB"/>
    <w:rsid w:val="0085130B"/>
    <w:rsid w:val="0085380A"/>
    <w:rsid w:val="00856252"/>
    <w:rsid w:val="00856344"/>
    <w:rsid w:val="00866A83"/>
    <w:rsid w:val="00867861"/>
    <w:rsid w:val="008771B8"/>
    <w:rsid w:val="0088259B"/>
    <w:rsid w:val="0089082D"/>
    <w:rsid w:val="0089404A"/>
    <w:rsid w:val="008A2CA8"/>
    <w:rsid w:val="008A7152"/>
    <w:rsid w:val="008B0AE0"/>
    <w:rsid w:val="008B17EB"/>
    <w:rsid w:val="008B2438"/>
    <w:rsid w:val="008B709D"/>
    <w:rsid w:val="008C191D"/>
    <w:rsid w:val="008C3BC7"/>
    <w:rsid w:val="008D4433"/>
    <w:rsid w:val="008D56CB"/>
    <w:rsid w:val="008D7D78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48AF"/>
    <w:rsid w:val="009657FF"/>
    <w:rsid w:val="009664DF"/>
    <w:rsid w:val="009718D2"/>
    <w:rsid w:val="009807A6"/>
    <w:rsid w:val="00981D25"/>
    <w:rsid w:val="009857C8"/>
    <w:rsid w:val="009858AF"/>
    <w:rsid w:val="00990AB4"/>
    <w:rsid w:val="00993638"/>
    <w:rsid w:val="00993A1A"/>
    <w:rsid w:val="0099692E"/>
    <w:rsid w:val="0099739C"/>
    <w:rsid w:val="009A1949"/>
    <w:rsid w:val="009A1C9B"/>
    <w:rsid w:val="009A3A4D"/>
    <w:rsid w:val="009A780F"/>
    <w:rsid w:val="009B1539"/>
    <w:rsid w:val="009B4FEF"/>
    <w:rsid w:val="009B562A"/>
    <w:rsid w:val="009B6684"/>
    <w:rsid w:val="009B6850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077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23E84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30A"/>
    <w:rsid w:val="00A57648"/>
    <w:rsid w:val="00A60232"/>
    <w:rsid w:val="00A60FD3"/>
    <w:rsid w:val="00A64E9D"/>
    <w:rsid w:val="00A64EAD"/>
    <w:rsid w:val="00A74C26"/>
    <w:rsid w:val="00A75B01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A1549"/>
    <w:rsid w:val="00AA1A9E"/>
    <w:rsid w:val="00AA3F5A"/>
    <w:rsid w:val="00AA4144"/>
    <w:rsid w:val="00AA5811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48E5"/>
    <w:rsid w:val="00B15F33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353B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10B2"/>
    <w:rsid w:val="00C04044"/>
    <w:rsid w:val="00C056BC"/>
    <w:rsid w:val="00C11AA0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7B9E"/>
    <w:rsid w:val="00C72FF3"/>
    <w:rsid w:val="00C74C28"/>
    <w:rsid w:val="00C8674D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6982"/>
    <w:rsid w:val="00CF14E5"/>
    <w:rsid w:val="00D01641"/>
    <w:rsid w:val="00D04ACA"/>
    <w:rsid w:val="00D065D5"/>
    <w:rsid w:val="00D1151D"/>
    <w:rsid w:val="00D11627"/>
    <w:rsid w:val="00D11AD6"/>
    <w:rsid w:val="00D217D9"/>
    <w:rsid w:val="00D22A47"/>
    <w:rsid w:val="00D25390"/>
    <w:rsid w:val="00D27FE6"/>
    <w:rsid w:val="00D27FFD"/>
    <w:rsid w:val="00D3289E"/>
    <w:rsid w:val="00D36004"/>
    <w:rsid w:val="00D4056F"/>
    <w:rsid w:val="00D5491F"/>
    <w:rsid w:val="00D55CDB"/>
    <w:rsid w:val="00D610AB"/>
    <w:rsid w:val="00D61D44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2FEE"/>
    <w:rsid w:val="00DA41E3"/>
    <w:rsid w:val="00DA52AA"/>
    <w:rsid w:val="00DA7802"/>
    <w:rsid w:val="00DB2595"/>
    <w:rsid w:val="00DB2A7D"/>
    <w:rsid w:val="00DB3830"/>
    <w:rsid w:val="00DB4667"/>
    <w:rsid w:val="00DC0A32"/>
    <w:rsid w:val="00DD4455"/>
    <w:rsid w:val="00DD5E75"/>
    <w:rsid w:val="00DD5FC2"/>
    <w:rsid w:val="00DD60E0"/>
    <w:rsid w:val="00DF067F"/>
    <w:rsid w:val="00DF21DD"/>
    <w:rsid w:val="00E039AC"/>
    <w:rsid w:val="00E04E4C"/>
    <w:rsid w:val="00E13F6E"/>
    <w:rsid w:val="00E1493C"/>
    <w:rsid w:val="00E15BD2"/>
    <w:rsid w:val="00E201A8"/>
    <w:rsid w:val="00E2276F"/>
    <w:rsid w:val="00E31B51"/>
    <w:rsid w:val="00E32FBD"/>
    <w:rsid w:val="00E33C85"/>
    <w:rsid w:val="00E415A9"/>
    <w:rsid w:val="00E43F85"/>
    <w:rsid w:val="00E44AE0"/>
    <w:rsid w:val="00E44C34"/>
    <w:rsid w:val="00E607AA"/>
    <w:rsid w:val="00E62403"/>
    <w:rsid w:val="00E65C5C"/>
    <w:rsid w:val="00E7392C"/>
    <w:rsid w:val="00E7491D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7DFB"/>
    <w:rsid w:val="00EE00FC"/>
    <w:rsid w:val="00EE05E2"/>
    <w:rsid w:val="00EE1836"/>
    <w:rsid w:val="00EF0C31"/>
    <w:rsid w:val="00EF276A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228A9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2567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6697"/>
    <w:rsid w:val="00FA1952"/>
    <w:rsid w:val="00FA388E"/>
    <w:rsid w:val="00FA5A0B"/>
    <w:rsid w:val="00FA6941"/>
    <w:rsid w:val="00FB0587"/>
    <w:rsid w:val="00FB074A"/>
    <w:rsid w:val="00FB4692"/>
    <w:rsid w:val="00FB5986"/>
    <w:rsid w:val="00FC43E3"/>
    <w:rsid w:val="00FD2720"/>
    <w:rsid w:val="00FD2F01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16E66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paragraph" w:styleId="Prrafodelista">
    <w:name w:val="List Paragraph"/>
    <w:basedOn w:val="Normal"/>
    <w:uiPriority w:val="67"/>
    <w:rsid w:val="0060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j.gob.cl/betchi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51D2-3C9D-4E3B-BA3A-52D3A9B6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4616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 Acosta</cp:lastModifiedBy>
  <cp:revision>4</cp:revision>
  <cp:lastPrinted>2016-06-17T23:53:00Z</cp:lastPrinted>
  <dcterms:created xsi:type="dcterms:W3CDTF">2020-03-09T13:38:00Z</dcterms:created>
  <dcterms:modified xsi:type="dcterms:W3CDTF">2020-03-09T13:52:00Z</dcterms:modified>
</cp:coreProperties>
</file>