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02DC8" w14:textId="77777777" w:rsidR="00265F9E" w:rsidRDefault="00265F9E" w:rsidP="00A00077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F24BE" wp14:editId="5A3175FF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80BB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69924B2A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3567C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lunes 27 de julio de </w:t>
                            </w:r>
                            <w:r w:rsidR="00343B52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2020</w:t>
                            </w:r>
                          </w:p>
                          <w:p w14:paraId="2C5A842B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278D2D6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6E13A2B4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bGvJ09wAAAAHAQAADwAAAAAAAAAAAAAAAAB/BAAAZHJzL2Rvd25y&#10;ZXYueG1sUEsFBgAAAAAEAAQA8wAAAIgFAAAAAA==&#10;" strokecolor="white">
                <v:textbox>
                  <w:txbxContent>
                    <w:p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3567C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lunes 27 de julio de </w:t>
                      </w:r>
                      <w:r w:rsidR="00343B52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2020</w:t>
                      </w:r>
                    </w:p>
                    <w:p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915FD" w14:textId="77777777" w:rsidR="00DA41E3" w:rsidRDefault="00DA41E3" w:rsidP="002167DD">
      <w:pPr>
        <w:pStyle w:val="Listavistosa-nfasis11"/>
        <w:ind w:left="284"/>
        <w:jc w:val="both"/>
        <w:rPr>
          <w:rFonts w:ascii="Calibri" w:hAnsi="Calibri"/>
          <w:sz w:val="20"/>
          <w:szCs w:val="20"/>
        </w:rPr>
      </w:pPr>
    </w:p>
    <w:p w14:paraId="2D0D7DED" w14:textId="77777777" w:rsidR="003567CA" w:rsidRPr="00E7392C" w:rsidRDefault="00606539" w:rsidP="003567CA">
      <w:pPr>
        <w:jc w:val="both"/>
        <w:rPr>
          <w:rFonts w:ascii="Calibri" w:hAnsi="Calibri" w:cs="Arial"/>
          <w:b/>
          <w:sz w:val="32"/>
          <w:szCs w:val="35"/>
        </w:rPr>
      </w:pPr>
      <w:r>
        <w:rPr>
          <w:rFonts w:ascii="Calibri" w:hAnsi="Calibri" w:cs="Arial"/>
          <w:b/>
          <w:szCs w:val="35"/>
        </w:rPr>
        <w:t>En cumplimiento a lo establecido en la Ley 19.995</w:t>
      </w:r>
    </w:p>
    <w:p w14:paraId="79A4BFF7" w14:textId="74633D65" w:rsidR="003567CA" w:rsidRDefault="003567CA" w:rsidP="003567CA">
      <w:pPr>
        <w:jc w:val="both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 xml:space="preserve">Superintendencia inicia proceso de otorgamiento de </w:t>
      </w:r>
      <w:r w:rsidR="004776AC">
        <w:rPr>
          <w:rFonts w:ascii="Calibri" w:hAnsi="Calibri" w:cs="Arial"/>
          <w:b/>
          <w:sz w:val="35"/>
          <w:szCs w:val="35"/>
        </w:rPr>
        <w:t>permisos de operación para doce</w:t>
      </w:r>
      <w:r>
        <w:rPr>
          <w:rFonts w:ascii="Calibri" w:hAnsi="Calibri" w:cs="Arial"/>
          <w:b/>
          <w:sz w:val="35"/>
          <w:szCs w:val="35"/>
        </w:rPr>
        <w:t xml:space="preserve"> casinos en Chile</w:t>
      </w:r>
    </w:p>
    <w:p w14:paraId="406562E3" w14:textId="77777777" w:rsidR="003567CA" w:rsidRPr="00F013C4" w:rsidRDefault="003567CA" w:rsidP="003567CA">
      <w:pPr>
        <w:pStyle w:val="Listavistosa-nfasis11"/>
        <w:jc w:val="both"/>
        <w:rPr>
          <w:rFonts w:ascii="Calibri" w:hAnsi="Calibri"/>
          <w:sz w:val="22"/>
          <w:szCs w:val="22"/>
        </w:rPr>
      </w:pPr>
    </w:p>
    <w:p w14:paraId="0C8F778F" w14:textId="2AE2A686" w:rsidR="003567CA" w:rsidRDefault="001A7099" w:rsidP="001A709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Luego de la aprobación de las bases técnicas mediante la Resolución Exenta N° 430, del 24 de julio pasado, la Superintendencia de Casinos de Juego (SCJ) dictó la resolución de apertura del proceso de otorgamiento o renovación de permisos de operación, con que se inicia el concurso en virtud d</w:t>
      </w:r>
      <w:r w:rsidRPr="003567CA">
        <w:rPr>
          <w:rFonts w:ascii="Calibri" w:hAnsi="Calibri" w:cs="Calibri"/>
          <w:color w:val="000000"/>
          <w:sz w:val="22"/>
          <w:szCs w:val="22"/>
        </w:rPr>
        <w:t xml:space="preserve">el cual </w:t>
      </w:r>
      <w:r>
        <w:rPr>
          <w:rFonts w:ascii="Calibri" w:hAnsi="Calibri" w:cs="Calibri"/>
          <w:color w:val="000000"/>
          <w:sz w:val="22"/>
          <w:szCs w:val="22"/>
        </w:rPr>
        <w:t xml:space="preserve">la SCJ </w:t>
      </w:r>
      <w:r w:rsidRPr="003567CA">
        <w:rPr>
          <w:rFonts w:ascii="Calibri" w:hAnsi="Calibri" w:cs="Calibri"/>
          <w:color w:val="000000"/>
          <w:sz w:val="22"/>
          <w:szCs w:val="22"/>
        </w:rPr>
        <w:t xml:space="preserve">podrá autorizar hasta un máximo de 12 casinos de juego, que corresponden a los cupos que quedarán disponibles entre el </w:t>
      </w:r>
      <w:r w:rsidR="003567CA" w:rsidRPr="003567CA">
        <w:rPr>
          <w:rFonts w:ascii="Calibri" w:hAnsi="Calibri" w:cs="Calibri"/>
          <w:color w:val="000000"/>
          <w:sz w:val="22"/>
          <w:szCs w:val="22"/>
        </w:rPr>
        <w:t>2</w:t>
      </w:r>
      <w:r w:rsidR="00380E06">
        <w:rPr>
          <w:rFonts w:ascii="Calibri" w:hAnsi="Calibri" w:cs="Calibri"/>
          <w:color w:val="000000"/>
          <w:sz w:val="22"/>
          <w:szCs w:val="22"/>
        </w:rPr>
        <w:t>9</w:t>
      </w:r>
      <w:r w:rsidR="003567CA" w:rsidRPr="003567CA">
        <w:rPr>
          <w:rFonts w:ascii="Calibri" w:hAnsi="Calibri" w:cs="Calibri"/>
          <w:color w:val="000000"/>
          <w:sz w:val="22"/>
          <w:szCs w:val="22"/>
        </w:rPr>
        <w:t xml:space="preserve"> de julio de 2023 y el 1</w:t>
      </w:r>
      <w:r w:rsidR="00380E06">
        <w:rPr>
          <w:rFonts w:ascii="Calibri" w:hAnsi="Calibri" w:cs="Calibri"/>
          <w:color w:val="000000"/>
          <w:sz w:val="22"/>
          <w:szCs w:val="22"/>
        </w:rPr>
        <w:t>4</w:t>
      </w:r>
      <w:r w:rsidR="003567CA" w:rsidRPr="003567CA">
        <w:rPr>
          <w:rFonts w:ascii="Calibri" w:hAnsi="Calibri" w:cs="Calibri"/>
          <w:color w:val="000000"/>
          <w:sz w:val="22"/>
          <w:szCs w:val="22"/>
        </w:rPr>
        <w:t xml:space="preserve"> de mayo de 2024.</w:t>
      </w:r>
    </w:p>
    <w:p w14:paraId="76EA5B4C" w14:textId="77777777" w:rsidR="004E735E" w:rsidRDefault="004E735E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BD7536" w14:textId="6235340D" w:rsidR="004E735E" w:rsidRPr="004E735E" w:rsidRDefault="004E735E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4E735E">
        <w:rPr>
          <w:rFonts w:ascii="Calibri" w:hAnsi="Calibri" w:cs="Calibri"/>
          <w:color w:val="000000"/>
          <w:sz w:val="22"/>
          <w:szCs w:val="22"/>
        </w:rPr>
        <w:t>Lo anterior, en consideración a que, según lo establecido en la Ley N° 19.995 de Casinos, la SCJ, con una antelación que no podrá superar los 48</w:t>
      </w:r>
      <w:r w:rsidR="001A7099">
        <w:rPr>
          <w:rFonts w:ascii="Calibri" w:hAnsi="Calibri" w:cs="Calibri"/>
          <w:color w:val="000000"/>
          <w:sz w:val="22"/>
          <w:szCs w:val="22"/>
        </w:rPr>
        <w:t xml:space="preserve"> meses</w:t>
      </w:r>
      <w:r w:rsidRPr="004E735E">
        <w:rPr>
          <w:rFonts w:ascii="Calibri" w:hAnsi="Calibri" w:cs="Calibri"/>
          <w:color w:val="000000"/>
          <w:sz w:val="22"/>
          <w:szCs w:val="22"/>
        </w:rPr>
        <w:t xml:space="preserve"> ni ser inferior a 36 meses contados desde la fecha de vencimiento de los permisos en actual explotación, deberá dictar una resolución declarando formalmente abierto el proceso de otorgamiento o de renovación de permisos de operación, según corresponda. </w:t>
      </w:r>
    </w:p>
    <w:p w14:paraId="5A46632B" w14:textId="77777777" w:rsidR="004E735E" w:rsidRPr="003567CA" w:rsidRDefault="004E735E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575E8F" w14:textId="1DDE125E" w:rsidR="00054663" w:rsidRDefault="00606539" w:rsidP="00E839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</w:t>
      </w:r>
      <w:r w:rsidR="003567CA">
        <w:rPr>
          <w:rFonts w:ascii="Calibri" w:hAnsi="Calibri" w:cs="Calibri"/>
          <w:color w:val="000000"/>
          <w:sz w:val="22"/>
          <w:szCs w:val="22"/>
        </w:rPr>
        <w:t xml:space="preserve">os oferentes interesados en </w:t>
      </w:r>
      <w:r w:rsidR="00F85E11">
        <w:rPr>
          <w:rFonts w:ascii="Calibri" w:hAnsi="Calibri" w:cs="Calibri"/>
          <w:color w:val="000000"/>
          <w:sz w:val="22"/>
          <w:szCs w:val="22"/>
        </w:rPr>
        <w:t>postular a un permi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="001A7099">
        <w:rPr>
          <w:rFonts w:ascii="Calibri" w:hAnsi="Calibri" w:cs="Calibri"/>
          <w:color w:val="000000"/>
          <w:sz w:val="22"/>
          <w:szCs w:val="22"/>
        </w:rPr>
        <w:t xml:space="preserve">o de operación , o en renovar su permiso vigente, </w:t>
      </w:r>
      <w:r w:rsidR="00F85E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67CA">
        <w:rPr>
          <w:rFonts w:ascii="Calibri" w:hAnsi="Calibri" w:cs="Calibri"/>
          <w:color w:val="000000"/>
          <w:sz w:val="22"/>
          <w:szCs w:val="22"/>
        </w:rPr>
        <w:t xml:space="preserve">podrán descargar las bases técnicas </w:t>
      </w:r>
      <w:r w:rsidR="00E839CA">
        <w:rPr>
          <w:rFonts w:ascii="Calibri" w:hAnsi="Calibri" w:cs="Calibri"/>
          <w:color w:val="000000"/>
          <w:sz w:val="22"/>
          <w:szCs w:val="22"/>
        </w:rPr>
        <w:t xml:space="preserve">de modo íntegro, así como el </w:t>
      </w:r>
      <w:r w:rsidR="003567CA">
        <w:rPr>
          <w:rFonts w:ascii="Calibri" w:hAnsi="Calibri" w:cs="Calibri"/>
          <w:color w:val="000000"/>
          <w:sz w:val="22"/>
          <w:szCs w:val="22"/>
        </w:rPr>
        <w:t xml:space="preserve">Sistema de Postulación </w:t>
      </w:r>
      <w:r w:rsidR="00E839CA">
        <w:rPr>
          <w:rFonts w:ascii="Calibri" w:hAnsi="Calibri" w:cs="Calibri"/>
          <w:color w:val="000000"/>
          <w:sz w:val="22"/>
          <w:szCs w:val="22"/>
        </w:rPr>
        <w:t xml:space="preserve">y el manual de uso de este último, </w:t>
      </w:r>
      <w:r w:rsidR="003567CA">
        <w:rPr>
          <w:rFonts w:ascii="Calibri" w:hAnsi="Calibri" w:cs="Calibri"/>
          <w:color w:val="000000"/>
          <w:sz w:val="22"/>
          <w:szCs w:val="22"/>
        </w:rPr>
        <w:t xml:space="preserve">a través del </w:t>
      </w:r>
      <w:r w:rsidR="00054663">
        <w:rPr>
          <w:rFonts w:ascii="Calibri" w:hAnsi="Calibri" w:cs="Calibri"/>
          <w:color w:val="000000"/>
          <w:sz w:val="22"/>
          <w:szCs w:val="22"/>
        </w:rPr>
        <w:t>siguiente link del sitio web i</w:t>
      </w:r>
      <w:r w:rsidR="003567CA">
        <w:rPr>
          <w:rFonts w:ascii="Calibri" w:hAnsi="Calibri" w:cs="Calibri"/>
          <w:color w:val="000000"/>
          <w:sz w:val="22"/>
          <w:szCs w:val="22"/>
        </w:rPr>
        <w:t xml:space="preserve">nstitucional </w:t>
      </w:r>
      <w:hyperlink r:id="rId8" w:history="1">
        <w:r w:rsidR="00054663" w:rsidRPr="00851B90">
          <w:rPr>
            <w:rStyle w:val="Hipervnculo"/>
            <w:rFonts w:asciiTheme="majorHAnsi" w:hAnsiTheme="majorHAnsi" w:cstheme="majorHAnsi"/>
          </w:rPr>
          <w:t>http://betchile.scj.cl/apertura-del-proceso/</w:t>
        </w:r>
      </w:hyperlink>
      <w:r w:rsidR="00054663" w:rsidRPr="00851B90">
        <w:rPr>
          <w:rFonts w:asciiTheme="majorHAnsi" w:hAnsiTheme="majorHAnsi" w:cstheme="majorHAnsi"/>
        </w:rPr>
        <w:t xml:space="preserve">. </w:t>
      </w:r>
      <w:r w:rsidR="00E839CA" w:rsidRPr="00851B90">
        <w:rPr>
          <w:rFonts w:asciiTheme="majorHAnsi" w:hAnsiTheme="majorHAnsi" w:cstheme="majorHAnsi"/>
          <w:color w:val="000000"/>
          <w:sz w:val="22"/>
          <w:szCs w:val="22"/>
        </w:rPr>
        <w:t>Del</w:t>
      </w:r>
      <w:r w:rsidR="00E839CA" w:rsidRPr="00E839CA">
        <w:rPr>
          <w:rFonts w:ascii="Calibri" w:hAnsi="Calibri" w:cs="Calibri"/>
          <w:color w:val="000000"/>
          <w:sz w:val="22"/>
          <w:szCs w:val="22"/>
        </w:rPr>
        <w:t xml:space="preserve"> mismo modo, </w:t>
      </w:r>
      <w:r w:rsidR="00E839CA">
        <w:rPr>
          <w:rFonts w:ascii="Calibri" w:hAnsi="Calibri" w:cs="Calibri"/>
          <w:color w:val="000000"/>
          <w:sz w:val="22"/>
          <w:szCs w:val="22"/>
        </w:rPr>
        <w:t xml:space="preserve">éstas </w:t>
      </w:r>
      <w:r w:rsidR="00054663">
        <w:rPr>
          <w:rFonts w:ascii="Calibri" w:hAnsi="Calibri" w:cs="Calibri"/>
          <w:color w:val="000000"/>
          <w:sz w:val="22"/>
          <w:szCs w:val="22"/>
        </w:rPr>
        <w:t xml:space="preserve">podrán ser retiradas de manera digital </w:t>
      </w:r>
      <w:r w:rsidR="00E839CA" w:rsidRPr="00E839CA">
        <w:rPr>
          <w:rFonts w:ascii="Calibri" w:hAnsi="Calibri" w:cs="Calibri"/>
          <w:color w:val="000000"/>
          <w:sz w:val="22"/>
          <w:szCs w:val="22"/>
        </w:rPr>
        <w:t>en las</w:t>
      </w:r>
      <w:r w:rsidR="00E839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839CA" w:rsidRPr="00E839CA">
        <w:rPr>
          <w:rFonts w:ascii="Calibri" w:hAnsi="Calibri" w:cs="Calibri"/>
          <w:color w:val="000000"/>
          <w:sz w:val="22"/>
          <w:szCs w:val="22"/>
        </w:rPr>
        <w:t>oficinas de la Superintendencia</w:t>
      </w:r>
      <w:r w:rsidR="00E839C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54663">
        <w:rPr>
          <w:rFonts w:ascii="Calibri" w:hAnsi="Calibri" w:cs="Calibri"/>
          <w:color w:val="000000"/>
          <w:sz w:val="22"/>
          <w:szCs w:val="22"/>
        </w:rPr>
        <w:t xml:space="preserve">ubicadas en </w:t>
      </w:r>
      <w:proofErr w:type="spellStart"/>
      <w:r w:rsidR="00054663">
        <w:rPr>
          <w:rFonts w:ascii="Calibri" w:hAnsi="Calibri" w:cs="Calibri"/>
          <w:color w:val="000000"/>
          <w:sz w:val="22"/>
          <w:szCs w:val="22"/>
        </w:rPr>
        <w:t>Morandé</w:t>
      </w:r>
      <w:proofErr w:type="spellEnd"/>
      <w:r w:rsidR="00054663">
        <w:rPr>
          <w:rFonts w:ascii="Calibri" w:hAnsi="Calibri" w:cs="Calibri"/>
          <w:color w:val="000000"/>
          <w:sz w:val="22"/>
          <w:szCs w:val="22"/>
        </w:rPr>
        <w:t xml:space="preserve"> 360, piso 11, comuna de Santiago, Región Metropolitana. </w:t>
      </w:r>
    </w:p>
    <w:p w14:paraId="07D36A0C" w14:textId="77777777" w:rsidR="00054663" w:rsidRDefault="00054663" w:rsidP="00054663">
      <w:pPr>
        <w:tabs>
          <w:tab w:val="left" w:pos="2127"/>
          <w:tab w:val="left" w:pos="2694"/>
          <w:tab w:val="left" w:pos="3119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97F685" w14:textId="77777777" w:rsidR="00054663" w:rsidRPr="00851B90" w:rsidRDefault="00054663" w:rsidP="00054663">
      <w:pPr>
        <w:tabs>
          <w:tab w:val="left" w:pos="2127"/>
          <w:tab w:val="left" w:pos="2694"/>
          <w:tab w:val="left" w:pos="311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851B90">
        <w:rPr>
          <w:rFonts w:ascii="Calibri" w:hAnsi="Calibri" w:cs="Calibri"/>
          <w:color w:val="000000"/>
          <w:sz w:val="22"/>
          <w:szCs w:val="22"/>
        </w:rPr>
        <w:t>La descarga o el retiro de las bases técnicas</w:t>
      </w:r>
      <w:r w:rsidR="00851B90">
        <w:rPr>
          <w:rFonts w:ascii="Calibri" w:hAnsi="Calibri" w:cs="Calibri"/>
          <w:color w:val="000000"/>
          <w:sz w:val="22"/>
          <w:szCs w:val="22"/>
        </w:rPr>
        <w:t xml:space="preserve"> y </w:t>
      </w:r>
      <w:r w:rsidRPr="00851B90">
        <w:rPr>
          <w:rFonts w:ascii="Calibri" w:hAnsi="Calibri" w:cs="Calibri"/>
          <w:color w:val="000000"/>
          <w:sz w:val="22"/>
          <w:szCs w:val="22"/>
        </w:rPr>
        <w:t xml:space="preserve">del Sistema de Permisos de Operación de Casinos de Juego (SOPO) podrán efectuarse a partir </w:t>
      </w:r>
      <w:r w:rsidR="00606539">
        <w:rPr>
          <w:rFonts w:ascii="Calibri" w:hAnsi="Calibri" w:cs="Calibri"/>
          <w:color w:val="000000"/>
          <w:sz w:val="22"/>
          <w:szCs w:val="22"/>
        </w:rPr>
        <w:t xml:space="preserve">de hoy lunes </w:t>
      </w:r>
      <w:r w:rsidRPr="00851B90">
        <w:rPr>
          <w:rFonts w:ascii="Calibri" w:hAnsi="Calibri" w:cs="Calibri"/>
          <w:color w:val="000000"/>
          <w:sz w:val="22"/>
          <w:szCs w:val="22"/>
        </w:rPr>
        <w:t xml:space="preserve">27 de julio de 2020 y hasta el 17 de enero de 2021. Para ello, los interesados, sean estos sociedades o personas naturales, deberán registrar en </w:t>
      </w:r>
      <w:r w:rsidR="00851B90">
        <w:rPr>
          <w:rFonts w:ascii="Calibri" w:hAnsi="Calibri" w:cs="Calibri"/>
          <w:color w:val="000000"/>
          <w:sz w:val="22"/>
          <w:szCs w:val="22"/>
        </w:rPr>
        <w:t xml:space="preserve">el mismo sitio </w:t>
      </w:r>
      <w:r w:rsidRPr="00851B90">
        <w:rPr>
          <w:rFonts w:ascii="Calibri" w:hAnsi="Calibri" w:cs="Calibri"/>
          <w:color w:val="000000"/>
          <w:sz w:val="22"/>
          <w:szCs w:val="22"/>
        </w:rPr>
        <w:t>web de la Superintendencia, sus datos básicos de identificación.</w:t>
      </w:r>
    </w:p>
    <w:p w14:paraId="64D933F1" w14:textId="77777777" w:rsidR="00054663" w:rsidRPr="003C2C64" w:rsidRDefault="00054663" w:rsidP="00054663">
      <w:pPr>
        <w:tabs>
          <w:tab w:val="left" w:pos="2127"/>
          <w:tab w:val="left" w:pos="2694"/>
          <w:tab w:val="left" w:pos="3119"/>
        </w:tabs>
        <w:ind w:firstLine="3544"/>
        <w:jc w:val="both"/>
        <w:rPr>
          <w:rFonts w:ascii="Arial" w:hAnsi="Arial" w:cs="Arial"/>
          <w:sz w:val="22"/>
          <w:szCs w:val="22"/>
        </w:rPr>
      </w:pPr>
    </w:p>
    <w:p w14:paraId="7BAA8667" w14:textId="7E96E4D6" w:rsidR="00F85E11" w:rsidRDefault="00FA7EAD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 esta manera </w:t>
      </w:r>
      <w:r w:rsidR="0080491A">
        <w:rPr>
          <w:rFonts w:ascii="Calibri" w:hAnsi="Calibri" w:cs="Calibri"/>
          <w:color w:val="000000"/>
          <w:sz w:val="22"/>
          <w:szCs w:val="22"/>
        </w:rPr>
        <w:t xml:space="preserve">comienza </w:t>
      </w:r>
      <w:r w:rsidR="0080491A" w:rsidRPr="0080491A">
        <w:rPr>
          <w:rFonts w:ascii="Calibri" w:hAnsi="Calibri" w:cs="Calibri"/>
          <w:color w:val="000000"/>
          <w:sz w:val="22"/>
          <w:szCs w:val="22"/>
        </w:rPr>
        <w:t xml:space="preserve">la fase de la preparación de las Ofertas Técnicas y Económicas por parte de los interesados </w:t>
      </w:r>
      <w:r w:rsidR="001A7099">
        <w:rPr>
          <w:rFonts w:ascii="Calibri" w:hAnsi="Calibri" w:cs="Calibri"/>
          <w:color w:val="000000"/>
          <w:sz w:val="22"/>
          <w:szCs w:val="22"/>
        </w:rPr>
        <w:t>participar en el proceso</w:t>
      </w:r>
      <w:r w:rsidR="0080491A" w:rsidRPr="0080491A">
        <w:rPr>
          <w:rFonts w:ascii="Calibri" w:hAnsi="Calibri" w:cs="Calibri"/>
          <w:color w:val="000000"/>
          <w:sz w:val="22"/>
          <w:szCs w:val="22"/>
        </w:rPr>
        <w:t>, de acuerdo con los requerimientos establecidos en las referidas bases, para lo cual cuentan con un plazo de 120 días hábile</w:t>
      </w:r>
      <w:r w:rsidR="00376F6B">
        <w:rPr>
          <w:rFonts w:ascii="Calibri" w:hAnsi="Calibri" w:cs="Calibri"/>
          <w:color w:val="000000"/>
          <w:sz w:val="22"/>
          <w:szCs w:val="22"/>
        </w:rPr>
        <w:t>s hasta la entrega de éstas</w:t>
      </w:r>
      <w:r w:rsidR="0080491A" w:rsidRPr="0080491A">
        <w:rPr>
          <w:rFonts w:ascii="Calibri" w:hAnsi="Calibri" w:cs="Calibri"/>
          <w:color w:val="000000"/>
          <w:sz w:val="22"/>
          <w:szCs w:val="22"/>
        </w:rPr>
        <w:t xml:space="preserve"> en la Audiencia de Presentación de</w:t>
      </w:r>
      <w:r w:rsidR="00247753">
        <w:rPr>
          <w:rFonts w:ascii="Calibri" w:hAnsi="Calibri" w:cs="Calibri"/>
          <w:color w:val="000000"/>
          <w:sz w:val="22"/>
          <w:szCs w:val="22"/>
        </w:rPr>
        <w:t xml:space="preserve"> Ofertas Técnicas y Económicas, </w:t>
      </w:r>
      <w:r w:rsidR="00F85E11" w:rsidRPr="00247753">
        <w:rPr>
          <w:rFonts w:ascii="Calibri" w:hAnsi="Calibri" w:cs="Calibri"/>
          <w:color w:val="000000"/>
          <w:sz w:val="22"/>
          <w:szCs w:val="22"/>
        </w:rPr>
        <w:t>la que está programada para el lunes 18 de enero de 2021 a las 10:00 horas, en el Hotel Gran Palace, calle Huérfanos N°1178, comuna de Santiago</w:t>
      </w:r>
      <w:r w:rsidR="00606539">
        <w:rPr>
          <w:rFonts w:ascii="Calibri" w:hAnsi="Calibri" w:cs="Calibri"/>
          <w:color w:val="000000"/>
          <w:sz w:val="22"/>
          <w:szCs w:val="22"/>
        </w:rPr>
        <w:t>.</w:t>
      </w:r>
    </w:p>
    <w:p w14:paraId="57F32629" w14:textId="77777777" w:rsidR="00851B90" w:rsidRDefault="00851B90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0BDFC4" w14:textId="77777777" w:rsidR="003567CA" w:rsidRPr="00F1478D" w:rsidRDefault="003567CA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Asimismo, a contar de hoy y en un plazo de diez días</w:t>
      </w:r>
      <w:r w:rsidR="00247753">
        <w:rPr>
          <w:rFonts w:ascii="Calibri" w:hAnsi="Calibri" w:cs="Calibri"/>
          <w:color w:val="000000"/>
          <w:sz w:val="22"/>
          <w:szCs w:val="22"/>
        </w:rPr>
        <w:t xml:space="preserve"> hábiles</w:t>
      </w:r>
      <w:r>
        <w:rPr>
          <w:rFonts w:ascii="Calibri" w:hAnsi="Calibri" w:cs="Calibri"/>
          <w:color w:val="000000"/>
          <w:sz w:val="22"/>
          <w:szCs w:val="22"/>
        </w:rPr>
        <w:t xml:space="preserve">, se desarrollará el periodo de consultas y solicitud de aclaraciones por parte de los oferentes interesados, las que podrán realizarse </w:t>
      </w:r>
      <w:r w:rsidRPr="00A34A97">
        <w:rPr>
          <w:rFonts w:ascii="Calibri" w:hAnsi="Calibri" w:cs="Calibri"/>
          <w:color w:val="000000"/>
          <w:sz w:val="22"/>
          <w:szCs w:val="22"/>
        </w:rPr>
        <w:t>a través del formulario</w:t>
      </w:r>
      <w:r>
        <w:rPr>
          <w:rFonts w:ascii="Calibri" w:hAnsi="Calibri" w:cs="Calibri"/>
          <w:color w:val="000000"/>
          <w:sz w:val="22"/>
          <w:szCs w:val="22"/>
        </w:rPr>
        <w:t xml:space="preserve"> web</w:t>
      </w:r>
      <w:r w:rsidRPr="00A34A97">
        <w:rPr>
          <w:rFonts w:ascii="Calibri" w:hAnsi="Calibri" w:cs="Calibri"/>
          <w:color w:val="000000"/>
          <w:sz w:val="22"/>
          <w:szCs w:val="22"/>
        </w:rPr>
        <w:t xml:space="preserve"> disponible en la sección</w:t>
      </w:r>
      <w:r w:rsidR="00851B90" w:rsidRPr="00091DA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9" w:history="1">
        <w:r w:rsidR="00851B90" w:rsidRPr="00091DA2">
          <w:rPr>
            <w:rStyle w:val="Hipervnculo"/>
            <w:rFonts w:asciiTheme="majorHAnsi" w:hAnsiTheme="majorHAnsi" w:cstheme="majorHAnsi"/>
          </w:rPr>
          <w:t>http://betchile.scj.cl/consultas-y-solicitudes-de-aclaraciones/</w:t>
        </w:r>
      </w:hyperlink>
      <w:r w:rsidR="00851B90" w:rsidRPr="00091DA2">
        <w:rPr>
          <w:rFonts w:asciiTheme="majorHAnsi" w:hAnsiTheme="majorHAnsi" w:cstheme="majorHAnsi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En tanto, </w:t>
      </w:r>
      <w:r w:rsidRPr="00F1478D">
        <w:rPr>
          <w:rFonts w:ascii="Calibri" w:hAnsi="Calibri" w:cs="Calibri"/>
          <w:color w:val="000000"/>
          <w:sz w:val="22"/>
          <w:szCs w:val="22"/>
        </w:rPr>
        <w:t xml:space="preserve">la Superintendencia </w:t>
      </w:r>
      <w:r>
        <w:rPr>
          <w:rFonts w:ascii="Calibri" w:hAnsi="Calibri" w:cs="Calibri"/>
          <w:color w:val="000000"/>
          <w:sz w:val="22"/>
          <w:szCs w:val="22"/>
        </w:rPr>
        <w:t xml:space="preserve">cuenta con un plazo de quince días para </w:t>
      </w:r>
      <w:r w:rsidR="00376F6B">
        <w:rPr>
          <w:rFonts w:ascii="Calibri" w:hAnsi="Calibri" w:cs="Calibri"/>
          <w:color w:val="000000"/>
          <w:sz w:val="22"/>
          <w:szCs w:val="22"/>
        </w:rPr>
        <w:t>dar respuesta a las mismas.</w:t>
      </w:r>
    </w:p>
    <w:p w14:paraId="3094391F" w14:textId="77777777" w:rsidR="003567CA" w:rsidRDefault="003567CA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06AEC7" w14:textId="77777777" w:rsidR="00376F6B" w:rsidRDefault="00376F6B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6BC7E9" w14:textId="77777777" w:rsidR="00376F6B" w:rsidRDefault="00376F6B" w:rsidP="003567CA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A38F60" w14:textId="77777777" w:rsidR="00376F6B" w:rsidRDefault="00376F6B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4E735E">
        <w:rPr>
          <w:rFonts w:ascii="Calibri" w:hAnsi="Calibri" w:cs="Calibri"/>
          <w:color w:val="000000"/>
          <w:sz w:val="22"/>
          <w:szCs w:val="22"/>
          <w:lang w:val="es-ES" w:eastAsia="es-ES"/>
        </w:rPr>
        <w:lastRenderedPageBreak/>
        <w:t>Dentro de los ciento veinte días hábiles siguientes a la Audiencia de presentación de Ofertas, la Superintendencia debe llevar a cabo el proceso de evaluación de las ofertas técnicas, a través de la aplicación de una metodología</w:t>
      </w:r>
      <w:r w:rsidR="00606539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que se detalla en </w:t>
      </w:r>
      <w:r w:rsidRPr="004E735E">
        <w:rPr>
          <w:rFonts w:ascii="Calibri" w:hAnsi="Calibri" w:cs="Calibri"/>
          <w:color w:val="000000"/>
          <w:sz w:val="22"/>
          <w:szCs w:val="22"/>
          <w:lang w:val="es-ES" w:eastAsia="es-ES"/>
        </w:rPr>
        <w:t>las Bases Técnicas.</w:t>
      </w:r>
    </w:p>
    <w:p w14:paraId="6DC0072D" w14:textId="77777777" w:rsidR="004E735E" w:rsidRDefault="004E735E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C7846D" w14:textId="1BB2D082" w:rsidR="00380E06" w:rsidRDefault="004E735E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4E735E">
        <w:rPr>
          <w:rFonts w:ascii="Calibri" w:hAnsi="Calibri" w:cs="Calibri"/>
          <w:color w:val="000000"/>
          <w:sz w:val="22"/>
          <w:szCs w:val="22"/>
        </w:rPr>
        <w:t>Cabe señalar que, según la normativa vigente, se puede postular a un permiso de operación de casino de juego en todas las regiones del país, con excepción de la Región Metropolitana y que, además, la Región de Valparaíso se encuentra excluida de este proceso, puesto que ya cuenta con el máximo de tres casinos con permiso de operación vigente.</w:t>
      </w:r>
      <w:r w:rsidR="003F2A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E735E">
        <w:rPr>
          <w:rFonts w:ascii="Calibri" w:hAnsi="Calibri" w:cs="Calibri"/>
          <w:color w:val="000000"/>
          <w:sz w:val="22"/>
          <w:szCs w:val="22"/>
        </w:rPr>
        <w:t xml:space="preserve">Las actuales sociedades operadoras de casinos de juego pueden optar a participar de este proceso, postulando a la renovación de sus permisos. </w:t>
      </w:r>
    </w:p>
    <w:p w14:paraId="74300B3B" w14:textId="77777777" w:rsidR="00380E06" w:rsidRDefault="00380E06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2BDB21" w14:textId="77777777" w:rsidR="004E735E" w:rsidRDefault="004E735E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4E735E">
        <w:rPr>
          <w:rFonts w:ascii="Calibri" w:hAnsi="Calibri" w:cs="Calibri"/>
          <w:color w:val="000000"/>
          <w:sz w:val="22"/>
          <w:szCs w:val="22"/>
        </w:rPr>
        <w:t>Para garantizar que este proceso sea equitativo y transparente</w:t>
      </w:r>
      <w:r w:rsidR="00606539">
        <w:rPr>
          <w:rFonts w:ascii="Calibri" w:hAnsi="Calibri" w:cs="Calibri"/>
          <w:color w:val="000000"/>
          <w:sz w:val="22"/>
          <w:szCs w:val="22"/>
        </w:rPr>
        <w:t>,</w:t>
      </w:r>
      <w:r w:rsidRPr="004E735E">
        <w:rPr>
          <w:rFonts w:ascii="Calibri" w:hAnsi="Calibri" w:cs="Calibri"/>
          <w:color w:val="000000"/>
          <w:sz w:val="22"/>
          <w:szCs w:val="22"/>
        </w:rPr>
        <w:t xml:space="preserve"> tanto para los eventuales casinos renovantes como para los posibles entrantes, las reglas del proceso </w:t>
      </w:r>
      <w:r w:rsidR="00606539">
        <w:rPr>
          <w:rFonts w:ascii="Calibri" w:hAnsi="Calibri" w:cs="Calibri"/>
          <w:color w:val="000000"/>
          <w:sz w:val="22"/>
          <w:szCs w:val="22"/>
        </w:rPr>
        <w:t>son de acceso público</w:t>
      </w:r>
      <w:r w:rsidRPr="004E735E">
        <w:rPr>
          <w:rFonts w:ascii="Calibri" w:hAnsi="Calibri" w:cs="Calibri"/>
          <w:color w:val="000000"/>
          <w:sz w:val="22"/>
          <w:szCs w:val="22"/>
        </w:rPr>
        <w:t xml:space="preserve"> y conocidas por todos los interesados. Asimismo, serán públicos los expedientes de la evaluación técnica, una vez que haya concluido el proceso, salvo aquella información de carácter reservada de conformidad a la Ley N°20.285, sobre acceso a la información pública.</w:t>
      </w:r>
    </w:p>
    <w:p w14:paraId="17827534" w14:textId="77777777" w:rsidR="00606539" w:rsidRDefault="00606539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D71B3E" w14:textId="77777777" w:rsidR="00606539" w:rsidRDefault="00606539" w:rsidP="004E735E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Toda la información sobre el proceso se encuentra disponible en el sitio web </w:t>
      </w:r>
      <w:hyperlink r:id="rId10" w:history="1">
        <w:r w:rsidRPr="00886373">
          <w:rPr>
            <w:rStyle w:val="Hipervnculo"/>
            <w:rFonts w:ascii="Calibri" w:hAnsi="Calibri" w:cs="Calibri"/>
            <w:sz w:val="22"/>
            <w:szCs w:val="22"/>
          </w:rPr>
          <w:t>www.betchile.scj.cl</w:t>
        </w:r>
      </w:hyperlink>
    </w:p>
    <w:p w14:paraId="113CDAB7" w14:textId="77777777" w:rsidR="004E735E" w:rsidRDefault="004E735E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669F5301" w14:textId="77777777" w:rsidR="004E735E" w:rsidRDefault="004E735E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>
        <w:rPr>
          <w:rFonts w:ascii="Calibri" w:hAnsi="Calibri" w:cs="Calibri"/>
          <w:color w:val="000000"/>
          <w:sz w:val="22"/>
          <w:szCs w:val="22"/>
          <w:lang w:val="es-ES" w:eastAsia="es-ES"/>
        </w:rPr>
        <w:t>Cupos de casinos que quedarán disponibles, a partir del año 2023.</w:t>
      </w:r>
    </w:p>
    <w:p w14:paraId="09404ADF" w14:textId="77777777" w:rsidR="004E735E" w:rsidRPr="004E735E" w:rsidRDefault="004E735E" w:rsidP="004E735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51"/>
        <w:gridCol w:w="1617"/>
        <w:gridCol w:w="1701"/>
        <w:gridCol w:w="1983"/>
        <w:gridCol w:w="1277"/>
        <w:gridCol w:w="1418"/>
      </w:tblGrid>
      <w:tr w:rsidR="00C010B2" w:rsidRPr="00E847A7" w14:paraId="44DD9CA8" w14:textId="77777777" w:rsidTr="00696E3A">
        <w:trPr>
          <w:trHeight w:val="352"/>
        </w:trPr>
        <w:tc>
          <w:tcPr>
            <w:tcW w:w="10207" w:type="dxa"/>
            <w:gridSpan w:val="7"/>
            <w:shd w:val="clear" w:color="auto" w:fill="1F497D" w:themeFill="text2"/>
            <w:vAlign w:val="center"/>
          </w:tcPr>
          <w:p w14:paraId="02850A02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DA2FEE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Casinos Ley </w:t>
            </w:r>
            <w:r w:rsidRPr="00A0007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N°19.995 según fecha de inicio de operación de casino de juego con vencimiento de permisos a mayo de 2024</w:t>
            </w:r>
          </w:p>
        </w:tc>
      </w:tr>
      <w:tr w:rsidR="00C010B2" w:rsidRPr="00E847A7" w14:paraId="0D28DA2E" w14:textId="77777777" w:rsidTr="00696E3A">
        <w:trPr>
          <w:trHeight w:val="352"/>
        </w:trPr>
        <w:tc>
          <w:tcPr>
            <w:tcW w:w="1560" w:type="dxa"/>
            <w:vMerge w:val="restart"/>
            <w:shd w:val="clear" w:color="auto" w:fill="1F497D" w:themeFill="text2"/>
            <w:vAlign w:val="center"/>
          </w:tcPr>
          <w:p w14:paraId="04CFC024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68" w:type="dxa"/>
            <w:gridSpan w:val="2"/>
            <w:vMerge w:val="restart"/>
            <w:shd w:val="clear" w:color="auto" w:fill="1F497D" w:themeFill="text2"/>
            <w:vAlign w:val="center"/>
          </w:tcPr>
          <w:p w14:paraId="310AC6CC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Sociedad operadora</w:t>
            </w:r>
          </w:p>
        </w:tc>
        <w:tc>
          <w:tcPr>
            <w:tcW w:w="1701" w:type="dxa"/>
            <w:vMerge w:val="restart"/>
            <w:shd w:val="clear" w:color="auto" w:fill="1F497D" w:themeFill="text2"/>
            <w:vAlign w:val="center"/>
          </w:tcPr>
          <w:p w14:paraId="05794FE9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983" w:type="dxa"/>
            <w:vMerge w:val="restart"/>
            <w:shd w:val="clear" w:color="auto" w:fill="1F497D" w:themeFill="text2"/>
            <w:vAlign w:val="center"/>
          </w:tcPr>
          <w:p w14:paraId="19FB6248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otorgamiento permiso de operación</w:t>
            </w:r>
          </w:p>
        </w:tc>
        <w:tc>
          <w:tcPr>
            <w:tcW w:w="2695" w:type="dxa"/>
            <w:gridSpan w:val="2"/>
            <w:shd w:val="clear" w:color="auto" w:fill="1F497D" w:themeFill="text2"/>
            <w:vAlign w:val="center"/>
          </w:tcPr>
          <w:p w14:paraId="5BF62651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Operación casino de juego</w:t>
            </w:r>
          </w:p>
        </w:tc>
      </w:tr>
      <w:tr w:rsidR="00C010B2" w:rsidRPr="00E847A7" w14:paraId="4EE82A64" w14:textId="77777777" w:rsidTr="00696E3A">
        <w:trPr>
          <w:trHeight w:val="804"/>
        </w:trPr>
        <w:tc>
          <w:tcPr>
            <w:tcW w:w="1560" w:type="dxa"/>
            <w:vMerge/>
            <w:shd w:val="clear" w:color="auto" w:fill="1F497D" w:themeFill="text2"/>
            <w:vAlign w:val="center"/>
            <w:hideMark/>
          </w:tcPr>
          <w:p w14:paraId="7346C7A3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gridSpan w:val="2"/>
            <w:vMerge/>
            <w:shd w:val="clear" w:color="auto" w:fill="1F497D" w:themeFill="text2"/>
          </w:tcPr>
          <w:p w14:paraId="7D65A981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Merge/>
            <w:shd w:val="clear" w:color="auto" w:fill="1F497D" w:themeFill="text2"/>
            <w:vAlign w:val="center"/>
            <w:hideMark/>
          </w:tcPr>
          <w:p w14:paraId="4024AC47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983" w:type="dxa"/>
            <w:vMerge/>
            <w:shd w:val="clear" w:color="auto" w:fill="1F497D" w:themeFill="text2"/>
            <w:vAlign w:val="center"/>
            <w:hideMark/>
          </w:tcPr>
          <w:p w14:paraId="59F207B8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77" w:type="dxa"/>
            <w:shd w:val="clear" w:color="auto" w:fill="1F497D" w:themeFill="text2"/>
            <w:vAlign w:val="center"/>
            <w:hideMark/>
          </w:tcPr>
          <w:p w14:paraId="351EF536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Inicio</w:t>
            </w:r>
          </w:p>
          <w:p w14:paraId="7FB1EA83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operaciones </w:t>
            </w:r>
          </w:p>
        </w:tc>
        <w:tc>
          <w:tcPr>
            <w:tcW w:w="1418" w:type="dxa"/>
            <w:shd w:val="clear" w:color="auto" w:fill="1F497D" w:themeFill="text2"/>
            <w:vAlign w:val="center"/>
            <w:hideMark/>
          </w:tcPr>
          <w:p w14:paraId="677E91E2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Término</w:t>
            </w:r>
          </w:p>
          <w:p w14:paraId="7DAF7353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p</w:t>
            </w: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ermiso de operaci</w:t>
            </w: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ó</w:t>
            </w: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n </w:t>
            </w:r>
          </w:p>
        </w:tc>
      </w:tr>
      <w:tr w:rsidR="00C010B2" w:rsidRPr="00E847A7" w14:paraId="7923717B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BAF2641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495B62FB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Gran Los Ángeles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F10914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Gran Los Ángeles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26F63290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DFE802D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7880B3A" w14:textId="35F5CDC4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9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-jul-23</w:t>
            </w:r>
          </w:p>
        </w:tc>
      </w:tr>
      <w:tr w:rsidR="00C010B2" w:rsidRPr="00E847A7" w14:paraId="70F32F96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C56B7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Atacama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33B90176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Gran Casino de Copiapó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B79D30C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Antay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Casino &amp; Hotel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BA262A0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4FAE8A36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07-ago-08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5F91DA5" w14:textId="31E39712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7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-ago-23</w:t>
            </w:r>
          </w:p>
        </w:tc>
      </w:tr>
      <w:tr w:rsidR="00C010B2" w:rsidRPr="00E847A7" w14:paraId="05E89F03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C757605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</w:t>
            </w:r>
            <w:r w:rsidR="00E039AC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 Libertador General Bernardo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O'Higgins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13D6048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Colchagua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A3620E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Colchagua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58F579E5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5C521E1E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12-sept-08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55A57D6" w14:textId="0327503B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-sept-23</w:t>
            </w:r>
          </w:p>
        </w:tc>
      </w:tr>
      <w:tr w:rsidR="00C010B2" w:rsidRPr="00E847A7" w14:paraId="5501678F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28E9A4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</w:t>
            </w:r>
            <w:r w:rsidR="00E039AC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 Libertador General Bernardo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O'Higgins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64981137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  <w:t>San Francisco Investment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8D9669D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Sun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Monticello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74263A4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8F52C73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08-oct-08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B6EF27" w14:textId="163D8DE0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8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-oct-23</w:t>
            </w:r>
          </w:p>
        </w:tc>
      </w:tr>
      <w:tr w:rsidR="00C010B2" w:rsidRPr="00E847A7" w14:paraId="630B3DCA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1EEC23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F9DE66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Operaciones El Escorial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9D44F3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Enjoy Antofagasta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476B1351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71D0D99F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11-nov-08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439A8BD" w14:textId="527884D2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-nov-23</w:t>
            </w:r>
          </w:p>
        </w:tc>
      </w:tr>
      <w:tr w:rsidR="00C010B2" w:rsidRPr="00E847A7" w14:paraId="0907CEBB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14E5436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75016FAF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268522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07CE4D3C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075AF25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13-nov-08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CCE8B3" w14:textId="748C50D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3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-nov-23</w:t>
            </w:r>
          </w:p>
        </w:tc>
      </w:tr>
      <w:tr w:rsidR="00C010B2" w:rsidRPr="00E847A7" w14:paraId="4AFCF3C2" w14:textId="7777777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B929C27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127D2AD6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Sociedad Casino de Juego de Talca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E0FCB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Gran Casino de Talca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604C531F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6B1DA726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26-dic-08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BA2434E" w14:textId="46063F2B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6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-dic-23</w:t>
            </w:r>
          </w:p>
        </w:tc>
      </w:tr>
      <w:tr w:rsidR="00C010B2" w:rsidRPr="00E847A7" w14:paraId="07F2AE0E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65202D05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los Lagos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1E6C06F7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  <w:t>Latin Gaming Osorno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3153E5A8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Osorno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7A9E3326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221D1FD5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13-ene-09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525AFEED" w14:textId="78B22038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3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-ene-24</w:t>
            </w:r>
          </w:p>
        </w:tc>
      </w:tr>
      <w:tr w:rsidR="00C010B2" w:rsidRPr="00E847A7" w14:paraId="5EB2E0B6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040C0E68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5D914B8D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Temuco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2A0C3AA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Temuco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32334873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746F428F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14-ene-09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6B595F88" w14:textId="648B0F1C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4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-ene-24</w:t>
            </w:r>
          </w:p>
        </w:tc>
      </w:tr>
      <w:tr w:rsidR="00C010B2" w:rsidRPr="00E847A7" w14:paraId="4AA16C73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0F638D26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los Ríos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792A94E9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Valdivia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719FB1FE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Valdivia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167C4726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38C2499B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20-feb-09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108EA01F" w14:textId="45CF8E4C" w:rsidR="00C010B2" w:rsidRPr="00E847A7" w:rsidRDefault="003F2ACD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20</w:t>
            </w:r>
            <w:r w:rsidR="00C010B2"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-feb-24</w:t>
            </w:r>
          </w:p>
        </w:tc>
      </w:tr>
      <w:tr w:rsidR="00C010B2" w:rsidRPr="00E847A7" w14:paraId="5AEC6043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2DCA518B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Magallanes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45A70C33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Punta Arenas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348BDE0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Punta Arenas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74D1F37B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3576AB52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13-mar-09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24974986" w14:textId="4692CD61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3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-mar-24</w:t>
            </w:r>
          </w:p>
        </w:tc>
      </w:tr>
      <w:tr w:rsidR="00C010B2" w:rsidRPr="00E847A7" w14:paraId="584BF853" w14:textId="7777777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14:paraId="3935C83A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2268" w:type="dxa"/>
            <w:gridSpan w:val="2"/>
            <w:shd w:val="clear" w:color="000000" w:fill="auto"/>
          </w:tcPr>
          <w:p w14:paraId="5F4F2366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  <w:t>Latin Gaming Calama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14:paraId="7A0DE115" w14:textId="77777777"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Calama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14:paraId="0180EB74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21-sept-06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14:paraId="49D56854" w14:textId="77777777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14-may-09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14:paraId="1B103849" w14:textId="08DDDEEE"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</w:t>
            </w:r>
            <w:r w:rsidR="003F2ACD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4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-may-24</w:t>
            </w:r>
          </w:p>
        </w:tc>
      </w:tr>
      <w:tr w:rsidR="00C010B2" w:rsidRPr="00E847A7" w14:paraId="1382B5D1" w14:textId="77777777" w:rsidTr="00730A66">
        <w:trPr>
          <w:trHeight w:val="268"/>
        </w:trPr>
        <w:tc>
          <w:tcPr>
            <w:tcW w:w="2211" w:type="dxa"/>
            <w:gridSpan w:val="2"/>
            <w:shd w:val="clear" w:color="auto" w:fill="1F497D" w:themeFill="text2"/>
            <w:vAlign w:val="center"/>
          </w:tcPr>
          <w:p w14:paraId="75825DA5" w14:textId="77777777" w:rsidR="00C010B2" w:rsidRPr="00A0007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5301" w:type="dxa"/>
            <w:gridSpan w:val="3"/>
            <w:shd w:val="clear" w:color="auto" w:fill="1F497D" w:themeFill="text2"/>
            <w:noWrap/>
            <w:vAlign w:val="center"/>
            <w:hideMark/>
          </w:tcPr>
          <w:p w14:paraId="254F6673" w14:textId="77777777" w:rsidR="00C010B2" w:rsidRPr="00A00077" w:rsidRDefault="00C010B2" w:rsidP="00C93F79">
            <w:pPr>
              <w:ind w:left="-1174" w:firstLine="1174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A0007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Total casinos: 12</w:t>
            </w:r>
          </w:p>
        </w:tc>
        <w:tc>
          <w:tcPr>
            <w:tcW w:w="1277" w:type="dxa"/>
            <w:shd w:val="clear" w:color="auto" w:fill="1F497D" w:themeFill="text2"/>
            <w:noWrap/>
            <w:vAlign w:val="center"/>
            <w:hideMark/>
          </w:tcPr>
          <w:p w14:paraId="721A05A4" w14:textId="77777777" w:rsidR="00C010B2" w:rsidRPr="00A0007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A0007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shd w:val="clear" w:color="auto" w:fill="1F497D" w:themeFill="text2"/>
            <w:noWrap/>
            <w:vAlign w:val="center"/>
            <w:hideMark/>
          </w:tcPr>
          <w:p w14:paraId="6B5769CC" w14:textId="77777777" w:rsidR="00C010B2" w:rsidRPr="00A0007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A0007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</w:tr>
    </w:tbl>
    <w:p w14:paraId="1885CC66" w14:textId="2875EC1C" w:rsidR="00A00077" w:rsidRDefault="00A00077" w:rsidP="00091DA2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00077" w:rsidSect="00FE532E">
      <w:headerReference w:type="default" r:id="rId11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C1F1D" w14:textId="77777777" w:rsidR="00065F21" w:rsidRDefault="00065F21" w:rsidP="00B15F33">
      <w:r>
        <w:separator/>
      </w:r>
    </w:p>
  </w:endnote>
  <w:endnote w:type="continuationSeparator" w:id="0">
    <w:p w14:paraId="7F00700E" w14:textId="77777777" w:rsidR="00065F21" w:rsidRDefault="00065F21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44D1E" w14:textId="77777777" w:rsidR="00065F21" w:rsidRDefault="00065F21" w:rsidP="00B15F33">
      <w:r>
        <w:separator/>
      </w:r>
    </w:p>
  </w:footnote>
  <w:footnote w:type="continuationSeparator" w:id="0">
    <w:p w14:paraId="5CF4B9BD" w14:textId="77777777" w:rsidR="00065F21" w:rsidRDefault="00065F21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EBA3D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066D717" wp14:editId="2456513E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pt;height:2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E31"/>
    <w:multiLevelType w:val="hybridMultilevel"/>
    <w:tmpl w:val="38A2F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5EF5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4663"/>
    <w:rsid w:val="000631C9"/>
    <w:rsid w:val="00065F21"/>
    <w:rsid w:val="000669B6"/>
    <w:rsid w:val="000678EE"/>
    <w:rsid w:val="000719FC"/>
    <w:rsid w:val="00072518"/>
    <w:rsid w:val="00075ECD"/>
    <w:rsid w:val="000770DE"/>
    <w:rsid w:val="00086885"/>
    <w:rsid w:val="00086CD4"/>
    <w:rsid w:val="0009050A"/>
    <w:rsid w:val="00091DA2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099"/>
    <w:rsid w:val="001A7C43"/>
    <w:rsid w:val="001A7D2B"/>
    <w:rsid w:val="001B0D2C"/>
    <w:rsid w:val="001B15F5"/>
    <w:rsid w:val="001B24C6"/>
    <w:rsid w:val="001B3169"/>
    <w:rsid w:val="001C09F1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7DD"/>
    <w:rsid w:val="00222133"/>
    <w:rsid w:val="00224782"/>
    <w:rsid w:val="00225766"/>
    <w:rsid w:val="002277BC"/>
    <w:rsid w:val="0023635A"/>
    <w:rsid w:val="002365F3"/>
    <w:rsid w:val="00247753"/>
    <w:rsid w:val="00250560"/>
    <w:rsid w:val="00251BFE"/>
    <w:rsid w:val="00252A9B"/>
    <w:rsid w:val="00253365"/>
    <w:rsid w:val="00261CDD"/>
    <w:rsid w:val="00262F82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C9E"/>
    <w:rsid w:val="003240D8"/>
    <w:rsid w:val="003261DB"/>
    <w:rsid w:val="003335EF"/>
    <w:rsid w:val="0033380E"/>
    <w:rsid w:val="00341712"/>
    <w:rsid w:val="00343B52"/>
    <w:rsid w:val="003567CA"/>
    <w:rsid w:val="0035714B"/>
    <w:rsid w:val="0036086C"/>
    <w:rsid w:val="00365464"/>
    <w:rsid w:val="003665B8"/>
    <w:rsid w:val="00370C26"/>
    <w:rsid w:val="00376F6B"/>
    <w:rsid w:val="00380094"/>
    <w:rsid w:val="00380C1F"/>
    <w:rsid w:val="00380E06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2ACD"/>
    <w:rsid w:val="003F353E"/>
    <w:rsid w:val="003F7AC8"/>
    <w:rsid w:val="00403B1C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6B2D"/>
    <w:rsid w:val="00472FCD"/>
    <w:rsid w:val="004748D5"/>
    <w:rsid w:val="0047612B"/>
    <w:rsid w:val="004776AC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E735E"/>
    <w:rsid w:val="004F1266"/>
    <w:rsid w:val="004F1F83"/>
    <w:rsid w:val="004F2787"/>
    <w:rsid w:val="004F51D3"/>
    <w:rsid w:val="005015A7"/>
    <w:rsid w:val="00510B93"/>
    <w:rsid w:val="005209DF"/>
    <w:rsid w:val="005236F9"/>
    <w:rsid w:val="00525B4B"/>
    <w:rsid w:val="00525E9C"/>
    <w:rsid w:val="00526383"/>
    <w:rsid w:val="005317C1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CD6"/>
    <w:rsid w:val="00597F7C"/>
    <w:rsid w:val="005A01DC"/>
    <w:rsid w:val="005A74B9"/>
    <w:rsid w:val="005B02CE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539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510B"/>
    <w:rsid w:val="006671D4"/>
    <w:rsid w:val="00670AF7"/>
    <w:rsid w:val="00672C19"/>
    <w:rsid w:val="006812EE"/>
    <w:rsid w:val="00681FAD"/>
    <w:rsid w:val="006841FD"/>
    <w:rsid w:val="00685974"/>
    <w:rsid w:val="00685B9F"/>
    <w:rsid w:val="00690D4E"/>
    <w:rsid w:val="00696C86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0A66"/>
    <w:rsid w:val="00731899"/>
    <w:rsid w:val="007333FF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6A3D"/>
    <w:rsid w:val="007F0F33"/>
    <w:rsid w:val="007F39BE"/>
    <w:rsid w:val="007F69FF"/>
    <w:rsid w:val="007F6D13"/>
    <w:rsid w:val="007F7F96"/>
    <w:rsid w:val="0080491A"/>
    <w:rsid w:val="00804EB4"/>
    <w:rsid w:val="0080717E"/>
    <w:rsid w:val="0081425C"/>
    <w:rsid w:val="00814FC9"/>
    <w:rsid w:val="0081611E"/>
    <w:rsid w:val="00817648"/>
    <w:rsid w:val="00817BB3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1B90"/>
    <w:rsid w:val="0085380A"/>
    <w:rsid w:val="00856252"/>
    <w:rsid w:val="00856344"/>
    <w:rsid w:val="00866A83"/>
    <w:rsid w:val="00867861"/>
    <w:rsid w:val="008771B8"/>
    <w:rsid w:val="0088259B"/>
    <w:rsid w:val="0089082D"/>
    <w:rsid w:val="0089404A"/>
    <w:rsid w:val="008A2CA8"/>
    <w:rsid w:val="008A7152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807A6"/>
    <w:rsid w:val="00981D25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4A8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23E84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48E5"/>
    <w:rsid w:val="00B15F33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933F5"/>
    <w:rsid w:val="00BA353B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10B2"/>
    <w:rsid w:val="00C04044"/>
    <w:rsid w:val="00C056BC"/>
    <w:rsid w:val="00C11AA0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7B9E"/>
    <w:rsid w:val="00C72FF3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1151D"/>
    <w:rsid w:val="00D11627"/>
    <w:rsid w:val="00D11AD6"/>
    <w:rsid w:val="00D217D9"/>
    <w:rsid w:val="00D22A47"/>
    <w:rsid w:val="00D25390"/>
    <w:rsid w:val="00D27FE6"/>
    <w:rsid w:val="00D27FFD"/>
    <w:rsid w:val="00D3289E"/>
    <w:rsid w:val="00D36004"/>
    <w:rsid w:val="00D4056F"/>
    <w:rsid w:val="00D44D31"/>
    <w:rsid w:val="00D5491F"/>
    <w:rsid w:val="00D55CDB"/>
    <w:rsid w:val="00D610AB"/>
    <w:rsid w:val="00D61D44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969AC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F067F"/>
    <w:rsid w:val="00DF21DD"/>
    <w:rsid w:val="00E039AC"/>
    <w:rsid w:val="00E04E4C"/>
    <w:rsid w:val="00E13F6E"/>
    <w:rsid w:val="00E1493C"/>
    <w:rsid w:val="00E15BD2"/>
    <w:rsid w:val="00E201A8"/>
    <w:rsid w:val="00E2276F"/>
    <w:rsid w:val="00E31B51"/>
    <w:rsid w:val="00E32FBD"/>
    <w:rsid w:val="00E33C85"/>
    <w:rsid w:val="00E415A9"/>
    <w:rsid w:val="00E43F85"/>
    <w:rsid w:val="00E44AE0"/>
    <w:rsid w:val="00E44C34"/>
    <w:rsid w:val="00E607AA"/>
    <w:rsid w:val="00E62403"/>
    <w:rsid w:val="00E65C5C"/>
    <w:rsid w:val="00E7392C"/>
    <w:rsid w:val="00E7491D"/>
    <w:rsid w:val="00E829B3"/>
    <w:rsid w:val="00E839CA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2567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5E11"/>
    <w:rsid w:val="00F86697"/>
    <w:rsid w:val="00FA1952"/>
    <w:rsid w:val="00FA388E"/>
    <w:rsid w:val="00FA5A0B"/>
    <w:rsid w:val="00FA6941"/>
    <w:rsid w:val="00FA7EAD"/>
    <w:rsid w:val="00FB0587"/>
    <w:rsid w:val="00FB074A"/>
    <w:rsid w:val="00FB4692"/>
    <w:rsid w:val="00FB5986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77CD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5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F6B"/>
    <w:pPr>
      <w:spacing w:before="100" w:beforeAutospacing="1" w:after="100" w:afterAutospacing="1"/>
    </w:pPr>
    <w:rPr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8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chile.scj.cl/apertura-del-proces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tchile.scj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tchile.scj.cl/consultas-y-solicitudes-de-aclaracio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EB79-4F18-4586-BF3C-1302B457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5865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</cp:lastModifiedBy>
  <cp:revision>2</cp:revision>
  <cp:lastPrinted>2016-06-17T23:53:00Z</cp:lastPrinted>
  <dcterms:created xsi:type="dcterms:W3CDTF">2020-07-27T22:22:00Z</dcterms:created>
  <dcterms:modified xsi:type="dcterms:W3CDTF">2020-07-27T22:22:00Z</dcterms:modified>
</cp:coreProperties>
</file>