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F14F3" w14:textId="23F76C84" w:rsidR="00D71BC1" w:rsidRDefault="00D71BC1" w:rsidP="00F1510B">
      <w:pPr>
        <w:jc w:val="both"/>
        <w:rPr>
          <w:sz w:val="24"/>
          <w:szCs w:val="24"/>
        </w:rPr>
      </w:pPr>
    </w:p>
    <w:p w14:paraId="660ACFB4" w14:textId="11A77F2F" w:rsidR="0094122F" w:rsidRDefault="0094122F" w:rsidP="0094122F">
      <w:pPr>
        <w:jc w:val="center"/>
        <w:rPr>
          <w:b/>
          <w:bCs/>
          <w:sz w:val="24"/>
          <w:szCs w:val="24"/>
        </w:rPr>
      </w:pPr>
      <w:r w:rsidRPr="006007E5">
        <w:rPr>
          <w:b/>
          <w:bCs/>
          <w:sz w:val="24"/>
          <w:szCs w:val="24"/>
        </w:rPr>
        <w:t>SCJ SUSPENDE POR 90 DIAS EL PROCESO DE OTORGAMIENTO DE PERMISOS DE</w:t>
      </w:r>
      <w:r w:rsidR="006007E5" w:rsidRPr="006007E5">
        <w:rPr>
          <w:b/>
          <w:bCs/>
          <w:sz w:val="24"/>
          <w:szCs w:val="24"/>
        </w:rPr>
        <w:t xml:space="preserve"> </w:t>
      </w:r>
      <w:r w:rsidRPr="006007E5">
        <w:rPr>
          <w:b/>
          <w:bCs/>
          <w:sz w:val="24"/>
          <w:szCs w:val="24"/>
        </w:rPr>
        <w:t>OPERACION DE CASINOS DE JUEGO</w:t>
      </w:r>
    </w:p>
    <w:p w14:paraId="61C6DCC1" w14:textId="77777777" w:rsidR="006007E5" w:rsidRPr="006007E5" w:rsidRDefault="006007E5" w:rsidP="0094122F">
      <w:pPr>
        <w:jc w:val="center"/>
        <w:rPr>
          <w:b/>
          <w:bCs/>
          <w:sz w:val="24"/>
          <w:szCs w:val="24"/>
        </w:rPr>
      </w:pPr>
    </w:p>
    <w:p w14:paraId="62A11E4A" w14:textId="44A42E0D" w:rsidR="0094122F" w:rsidRDefault="0094122F" w:rsidP="006007E5">
      <w:pPr>
        <w:pStyle w:val="Prrafodelista"/>
        <w:numPr>
          <w:ilvl w:val="0"/>
          <w:numId w:val="5"/>
        </w:numPr>
        <w:jc w:val="both"/>
        <w:rPr>
          <w:b/>
          <w:bCs/>
          <w:sz w:val="24"/>
          <w:szCs w:val="24"/>
        </w:rPr>
      </w:pPr>
      <w:r w:rsidRPr="006007E5">
        <w:rPr>
          <w:b/>
          <w:bCs/>
          <w:sz w:val="24"/>
          <w:szCs w:val="24"/>
        </w:rPr>
        <w:t xml:space="preserve">Decisión se adoptó en consideración a las difíciles condiciones económicas y sanitarias en que se enmarca el proceso iniciado el </w:t>
      </w:r>
      <w:r w:rsidR="006007E5">
        <w:rPr>
          <w:b/>
          <w:bCs/>
          <w:sz w:val="24"/>
          <w:szCs w:val="24"/>
        </w:rPr>
        <w:t xml:space="preserve">pasado </w:t>
      </w:r>
      <w:r w:rsidRPr="006007E5">
        <w:rPr>
          <w:b/>
          <w:bCs/>
          <w:sz w:val="24"/>
          <w:szCs w:val="24"/>
        </w:rPr>
        <w:t>27 de julio</w:t>
      </w:r>
      <w:r w:rsidR="006007E5">
        <w:rPr>
          <w:b/>
          <w:bCs/>
          <w:sz w:val="24"/>
          <w:szCs w:val="24"/>
        </w:rPr>
        <w:t>.</w:t>
      </w:r>
    </w:p>
    <w:p w14:paraId="69878615" w14:textId="77777777" w:rsidR="00F44AF7" w:rsidRPr="006007E5" w:rsidRDefault="00F44AF7" w:rsidP="00F44AF7">
      <w:pPr>
        <w:pStyle w:val="Prrafodelista"/>
        <w:jc w:val="both"/>
        <w:rPr>
          <w:b/>
          <w:bCs/>
          <w:sz w:val="24"/>
          <w:szCs w:val="24"/>
        </w:rPr>
      </w:pPr>
    </w:p>
    <w:p w14:paraId="5CA98C50" w14:textId="471CB686" w:rsidR="0094122F" w:rsidRPr="006007E5" w:rsidRDefault="0094122F" w:rsidP="006007E5">
      <w:pPr>
        <w:pStyle w:val="Prrafodelista"/>
        <w:numPr>
          <w:ilvl w:val="0"/>
          <w:numId w:val="5"/>
        </w:numPr>
        <w:jc w:val="both"/>
        <w:rPr>
          <w:b/>
          <w:bCs/>
          <w:sz w:val="24"/>
          <w:szCs w:val="24"/>
        </w:rPr>
      </w:pPr>
      <w:r w:rsidRPr="006007E5">
        <w:rPr>
          <w:b/>
          <w:bCs/>
          <w:sz w:val="24"/>
          <w:szCs w:val="24"/>
        </w:rPr>
        <w:t xml:space="preserve">Adicionalmente se </w:t>
      </w:r>
      <w:r w:rsidR="00264639">
        <w:rPr>
          <w:b/>
          <w:bCs/>
          <w:sz w:val="24"/>
          <w:szCs w:val="24"/>
        </w:rPr>
        <w:t>precis</w:t>
      </w:r>
      <w:r w:rsidR="002C6BE8">
        <w:rPr>
          <w:b/>
          <w:bCs/>
          <w:sz w:val="24"/>
          <w:szCs w:val="24"/>
        </w:rPr>
        <w:t>ó</w:t>
      </w:r>
      <w:r w:rsidR="00264639">
        <w:rPr>
          <w:b/>
          <w:bCs/>
          <w:sz w:val="24"/>
          <w:szCs w:val="24"/>
        </w:rPr>
        <w:t xml:space="preserve"> que para el </w:t>
      </w:r>
      <w:r w:rsidRPr="006007E5">
        <w:rPr>
          <w:b/>
          <w:bCs/>
          <w:sz w:val="24"/>
          <w:szCs w:val="24"/>
        </w:rPr>
        <w:t xml:space="preserve">cómputo de los plazos para la ejecución de las obras vinculadas </w:t>
      </w:r>
      <w:r w:rsidR="00264639">
        <w:rPr>
          <w:b/>
          <w:bCs/>
          <w:sz w:val="24"/>
          <w:szCs w:val="24"/>
        </w:rPr>
        <w:t xml:space="preserve">a </w:t>
      </w:r>
      <w:r w:rsidRPr="006007E5">
        <w:rPr>
          <w:b/>
          <w:bCs/>
          <w:sz w:val="24"/>
          <w:szCs w:val="24"/>
        </w:rPr>
        <w:t>los proyectos</w:t>
      </w:r>
      <w:r w:rsidR="00264639">
        <w:rPr>
          <w:b/>
          <w:bCs/>
          <w:sz w:val="24"/>
          <w:szCs w:val="24"/>
        </w:rPr>
        <w:t xml:space="preserve"> de casinos en instalación en</w:t>
      </w:r>
      <w:r w:rsidRPr="006007E5">
        <w:rPr>
          <w:b/>
          <w:bCs/>
          <w:sz w:val="24"/>
          <w:szCs w:val="24"/>
        </w:rPr>
        <w:t xml:space="preserve"> Iquique,</w:t>
      </w:r>
      <w:r w:rsidR="00264639">
        <w:rPr>
          <w:b/>
          <w:bCs/>
          <w:sz w:val="24"/>
          <w:szCs w:val="24"/>
        </w:rPr>
        <w:t xml:space="preserve"> Coquimbo y</w:t>
      </w:r>
      <w:r w:rsidRPr="006007E5">
        <w:rPr>
          <w:b/>
          <w:bCs/>
          <w:sz w:val="24"/>
          <w:szCs w:val="24"/>
        </w:rPr>
        <w:t xml:space="preserve"> Viña del Mar</w:t>
      </w:r>
      <w:r w:rsidR="00264639">
        <w:rPr>
          <w:b/>
          <w:bCs/>
          <w:sz w:val="24"/>
          <w:szCs w:val="24"/>
        </w:rPr>
        <w:t xml:space="preserve"> </w:t>
      </w:r>
      <w:r w:rsidR="003F2036">
        <w:rPr>
          <w:b/>
          <w:bCs/>
          <w:sz w:val="24"/>
          <w:szCs w:val="24"/>
        </w:rPr>
        <w:t>no se consideran los días que por cuarentena no se pueden ejecutar obras</w:t>
      </w:r>
      <w:r w:rsidR="006007E5" w:rsidRPr="006007E5">
        <w:rPr>
          <w:b/>
          <w:bCs/>
          <w:sz w:val="24"/>
          <w:szCs w:val="24"/>
        </w:rPr>
        <w:t>.</w:t>
      </w:r>
    </w:p>
    <w:p w14:paraId="6E30771C" w14:textId="4E64A464" w:rsidR="00F1510B" w:rsidRDefault="0094122F" w:rsidP="00F1510B">
      <w:pPr>
        <w:jc w:val="both"/>
        <w:rPr>
          <w:sz w:val="24"/>
          <w:szCs w:val="24"/>
        </w:rPr>
      </w:pPr>
      <w:r>
        <w:rPr>
          <w:sz w:val="24"/>
          <w:szCs w:val="24"/>
        </w:rPr>
        <w:t xml:space="preserve">Con fecha </w:t>
      </w:r>
      <w:r w:rsidR="00F1510B">
        <w:rPr>
          <w:sz w:val="24"/>
          <w:szCs w:val="24"/>
        </w:rPr>
        <w:t xml:space="preserve">27 de agosto, la Superintendencia </w:t>
      </w:r>
      <w:r w:rsidR="0051091E">
        <w:rPr>
          <w:sz w:val="24"/>
          <w:szCs w:val="24"/>
        </w:rPr>
        <w:t>de Casinos de Juego</w:t>
      </w:r>
      <w:r w:rsidR="000F5660">
        <w:rPr>
          <w:sz w:val="24"/>
          <w:szCs w:val="24"/>
        </w:rPr>
        <w:t xml:space="preserve"> (SCJ)</w:t>
      </w:r>
      <w:r w:rsidR="0051091E">
        <w:rPr>
          <w:sz w:val="24"/>
          <w:szCs w:val="24"/>
        </w:rPr>
        <w:t xml:space="preserve"> </w:t>
      </w:r>
      <w:r w:rsidR="00F1510B">
        <w:rPr>
          <w:sz w:val="24"/>
          <w:szCs w:val="24"/>
        </w:rPr>
        <w:t xml:space="preserve">informó a Casinos de Juego de Talca S.A., su decisión de suspender </w:t>
      </w:r>
      <w:r w:rsidR="00F1510B" w:rsidRPr="000F5660">
        <w:rPr>
          <w:sz w:val="24"/>
          <w:szCs w:val="24"/>
        </w:rPr>
        <w:t>por un plazo de 90 días corridos el proceso de otorgamiento o renovación de permiso</w:t>
      </w:r>
      <w:r w:rsidR="00B34FEA">
        <w:rPr>
          <w:sz w:val="24"/>
          <w:szCs w:val="24"/>
        </w:rPr>
        <w:t>s</w:t>
      </w:r>
      <w:r w:rsidR="00F1510B" w:rsidRPr="000F5660">
        <w:rPr>
          <w:sz w:val="24"/>
          <w:szCs w:val="24"/>
        </w:rPr>
        <w:t xml:space="preserve"> de operación de casinos de juego</w:t>
      </w:r>
      <w:r w:rsidR="00D71BC1">
        <w:rPr>
          <w:sz w:val="24"/>
          <w:szCs w:val="24"/>
        </w:rPr>
        <w:t xml:space="preserve"> que se inició el 27 de julio pasado, </w:t>
      </w:r>
      <w:r w:rsidR="00F1510B">
        <w:rPr>
          <w:sz w:val="24"/>
          <w:szCs w:val="24"/>
        </w:rPr>
        <w:t>en virtud de lo cual se modificó el día de entrega de las ofertas técnicas y económicas, trasladándolo desde el 18 de enero de 2021 al 19 de abril de 2021. El horario y lugar de entrega se mantiene a las 10:00 horas en el Hotel Gran Palace de Santiago.</w:t>
      </w:r>
    </w:p>
    <w:p w14:paraId="4C01A3D1" w14:textId="6C020467" w:rsidR="00F1510B" w:rsidRDefault="00F1510B" w:rsidP="00F1510B">
      <w:pPr>
        <w:jc w:val="both"/>
        <w:rPr>
          <w:sz w:val="24"/>
          <w:szCs w:val="24"/>
        </w:rPr>
      </w:pPr>
      <w:r>
        <w:rPr>
          <w:sz w:val="24"/>
          <w:szCs w:val="24"/>
        </w:rPr>
        <w:t>Lo anterior, en el marco d</w:t>
      </w:r>
      <w:r w:rsidR="0051091E">
        <w:rPr>
          <w:sz w:val="24"/>
          <w:szCs w:val="24"/>
        </w:rPr>
        <w:t xml:space="preserve">el recurso de reposición presentado por la </w:t>
      </w:r>
      <w:r>
        <w:rPr>
          <w:sz w:val="24"/>
          <w:szCs w:val="24"/>
        </w:rPr>
        <w:t>citada sociedad operadora</w:t>
      </w:r>
      <w:r w:rsidR="00F44AF7">
        <w:rPr>
          <w:sz w:val="24"/>
          <w:szCs w:val="24"/>
        </w:rPr>
        <w:t>.</w:t>
      </w:r>
    </w:p>
    <w:p w14:paraId="1DA2549C" w14:textId="03548F4B" w:rsidR="00EE4B9C" w:rsidRDefault="000F5660" w:rsidP="00EE4B9C">
      <w:pPr>
        <w:jc w:val="both"/>
        <w:rPr>
          <w:sz w:val="24"/>
          <w:szCs w:val="24"/>
        </w:rPr>
      </w:pPr>
      <w:r>
        <w:rPr>
          <w:sz w:val="24"/>
          <w:szCs w:val="24"/>
        </w:rPr>
        <w:t>Para adoptar la decisión de suspender el proceso de otorgamiento o renovación de permisos de operación de casinos de juego</w:t>
      </w:r>
      <w:r w:rsidR="00F1510B">
        <w:rPr>
          <w:sz w:val="24"/>
          <w:szCs w:val="24"/>
        </w:rPr>
        <w:t xml:space="preserve"> -lo que también fue informado a las</w:t>
      </w:r>
      <w:r w:rsidR="00F44AF7">
        <w:rPr>
          <w:sz w:val="24"/>
          <w:szCs w:val="24"/>
        </w:rPr>
        <w:t xml:space="preserve"> </w:t>
      </w:r>
      <w:r w:rsidR="00F1510B">
        <w:rPr>
          <w:sz w:val="24"/>
          <w:szCs w:val="24"/>
        </w:rPr>
        <w:t xml:space="preserve">sociedades operadoras cuyos cupos quedarán disponibles </w:t>
      </w:r>
      <w:r w:rsidR="00807436">
        <w:rPr>
          <w:sz w:val="24"/>
          <w:szCs w:val="24"/>
        </w:rPr>
        <w:t>entre julio de</w:t>
      </w:r>
      <w:r w:rsidR="00F1510B">
        <w:rPr>
          <w:sz w:val="24"/>
          <w:szCs w:val="24"/>
        </w:rPr>
        <w:t xml:space="preserve"> 2023</w:t>
      </w:r>
      <w:r w:rsidR="00807436">
        <w:rPr>
          <w:sz w:val="24"/>
          <w:szCs w:val="24"/>
        </w:rPr>
        <w:t xml:space="preserve"> y mayo de 2024</w:t>
      </w:r>
      <w:r w:rsidR="00F1510B">
        <w:rPr>
          <w:sz w:val="24"/>
          <w:szCs w:val="24"/>
        </w:rPr>
        <w:t xml:space="preserve">, </w:t>
      </w:r>
      <w:r>
        <w:rPr>
          <w:sz w:val="24"/>
          <w:szCs w:val="24"/>
        </w:rPr>
        <w:t>la autoridad tuvo en consideración</w:t>
      </w:r>
      <w:r w:rsidR="00EE4B9C">
        <w:rPr>
          <w:sz w:val="24"/>
          <w:szCs w:val="24"/>
        </w:rPr>
        <w:t>:</w:t>
      </w:r>
    </w:p>
    <w:p w14:paraId="7794B3CB" w14:textId="390D460F" w:rsidR="00EE4B9C" w:rsidRPr="00EE4B9C" w:rsidRDefault="00EE4B9C" w:rsidP="00EE4B9C">
      <w:pPr>
        <w:pStyle w:val="Prrafodelista"/>
        <w:numPr>
          <w:ilvl w:val="0"/>
          <w:numId w:val="1"/>
        </w:numPr>
        <w:jc w:val="both"/>
        <w:rPr>
          <w:sz w:val="24"/>
          <w:szCs w:val="24"/>
        </w:rPr>
      </w:pPr>
      <w:r w:rsidRPr="00EE4B9C">
        <w:rPr>
          <w:sz w:val="24"/>
          <w:szCs w:val="24"/>
        </w:rPr>
        <w:t>L</w:t>
      </w:r>
      <w:r w:rsidR="000F5660" w:rsidRPr="00EE4B9C">
        <w:rPr>
          <w:sz w:val="24"/>
          <w:szCs w:val="24"/>
        </w:rPr>
        <w:t xml:space="preserve">a </w:t>
      </w:r>
      <w:r w:rsidRPr="00EE4B9C">
        <w:rPr>
          <w:sz w:val="24"/>
          <w:szCs w:val="24"/>
        </w:rPr>
        <w:t xml:space="preserve">existencia del Estado de </w:t>
      </w:r>
      <w:r w:rsidR="00807436">
        <w:rPr>
          <w:sz w:val="24"/>
          <w:szCs w:val="24"/>
        </w:rPr>
        <w:t xml:space="preserve">Excepción </w:t>
      </w:r>
      <w:r w:rsidRPr="00EE4B9C">
        <w:rPr>
          <w:sz w:val="24"/>
          <w:szCs w:val="24"/>
        </w:rPr>
        <w:t xml:space="preserve">Constitucional de Catástrofe </w:t>
      </w:r>
      <w:r w:rsidR="00807436">
        <w:rPr>
          <w:sz w:val="24"/>
          <w:szCs w:val="24"/>
        </w:rPr>
        <w:t xml:space="preserve">por calamidad pública </w:t>
      </w:r>
      <w:r w:rsidRPr="00EE4B9C">
        <w:rPr>
          <w:sz w:val="24"/>
          <w:szCs w:val="24"/>
        </w:rPr>
        <w:t xml:space="preserve">vigente a la fecha por la pandemia del </w:t>
      </w:r>
      <w:proofErr w:type="spellStart"/>
      <w:r w:rsidRPr="00EE4B9C">
        <w:rPr>
          <w:sz w:val="24"/>
          <w:szCs w:val="24"/>
        </w:rPr>
        <w:t>Covid</w:t>
      </w:r>
      <w:proofErr w:type="spellEnd"/>
      <w:r w:rsidRPr="00EE4B9C">
        <w:rPr>
          <w:sz w:val="24"/>
          <w:szCs w:val="24"/>
        </w:rPr>
        <w:t xml:space="preserve"> 19</w:t>
      </w:r>
      <w:r w:rsidR="00BC62A0">
        <w:rPr>
          <w:sz w:val="24"/>
          <w:szCs w:val="24"/>
        </w:rPr>
        <w:t>.</w:t>
      </w:r>
    </w:p>
    <w:p w14:paraId="1EC26BC2" w14:textId="36557FB3" w:rsidR="00EE4B9C" w:rsidRPr="00EE4B9C" w:rsidRDefault="00EE4B9C" w:rsidP="00EE4B9C">
      <w:pPr>
        <w:pStyle w:val="Prrafodelista"/>
        <w:numPr>
          <w:ilvl w:val="0"/>
          <w:numId w:val="1"/>
        </w:numPr>
        <w:jc w:val="both"/>
        <w:rPr>
          <w:sz w:val="24"/>
          <w:szCs w:val="24"/>
        </w:rPr>
      </w:pPr>
      <w:r w:rsidRPr="00EE4B9C">
        <w:rPr>
          <w:sz w:val="24"/>
          <w:szCs w:val="24"/>
        </w:rPr>
        <w:t xml:space="preserve">Las restricciones impuestas por el Ministerio de Salud al funcionamiento de “Pubs, Discotecas, </w:t>
      </w:r>
      <w:proofErr w:type="gramStart"/>
      <w:r w:rsidRPr="00EE4B9C">
        <w:rPr>
          <w:sz w:val="24"/>
          <w:szCs w:val="24"/>
        </w:rPr>
        <w:t>cabarets</w:t>
      </w:r>
      <w:proofErr w:type="gramEnd"/>
      <w:r w:rsidRPr="00EE4B9C">
        <w:rPr>
          <w:sz w:val="24"/>
          <w:szCs w:val="24"/>
        </w:rPr>
        <w:t>, clubes nocturnos y lugares análogos”, entre los que se comprenden los casinos de juego</w:t>
      </w:r>
      <w:r w:rsidR="00BC62A0">
        <w:rPr>
          <w:sz w:val="24"/>
          <w:szCs w:val="24"/>
        </w:rPr>
        <w:t>.</w:t>
      </w:r>
    </w:p>
    <w:p w14:paraId="23ACB271" w14:textId="1E8C0E0B" w:rsidR="000F5660" w:rsidRDefault="00EE4B9C" w:rsidP="00EE4B9C">
      <w:pPr>
        <w:pStyle w:val="Prrafodelista"/>
        <w:numPr>
          <w:ilvl w:val="0"/>
          <w:numId w:val="1"/>
        </w:numPr>
        <w:jc w:val="both"/>
        <w:rPr>
          <w:sz w:val="24"/>
          <w:szCs w:val="24"/>
        </w:rPr>
      </w:pPr>
      <w:r w:rsidRPr="00EE4B9C">
        <w:rPr>
          <w:sz w:val="24"/>
          <w:szCs w:val="24"/>
        </w:rPr>
        <w:t xml:space="preserve">Que producto del cierre de los casinos de juego </w:t>
      </w:r>
      <w:r w:rsidR="00F44AF7">
        <w:rPr>
          <w:sz w:val="24"/>
          <w:szCs w:val="24"/>
        </w:rPr>
        <w:t xml:space="preserve">desde el 18 de marzo </w:t>
      </w:r>
      <w:r w:rsidRPr="00EE4B9C">
        <w:rPr>
          <w:sz w:val="24"/>
          <w:szCs w:val="24"/>
        </w:rPr>
        <w:t>y de la falta de ingresos brutos que ello conlleva, los Gobiernos Regionales y las municipalidades en las cuales se encuentran instalados los casinos de juego en actual explotación</w:t>
      </w:r>
      <w:r w:rsidR="00BC62A0">
        <w:rPr>
          <w:sz w:val="24"/>
          <w:szCs w:val="24"/>
        </w:rPr>
        <w:t>,</w:t>
      </w:r>
      <w:r w:rsidRPr="00EE4B9C">
        <w:rPr>
          <w:sz w:val="24"/>
          <w:szCs w:val="24"/>
        </w:rPr>
        <w:t xml:space="preserve"> han dejado de percibir ingresos fiscales en el período de abril a julio de 2020, por un monto</w:t>
      </w:r>
      <w:r w:rsidR="00807436">
        <w:rPr>
          <w:sz w:val="24"/>
          <w:szCs w:val="24"/>
        </w:rPr>
        <w:t xml:space="preserve"> aproximado</w:t>
      </w:r>
      <w:r w:rsidRPr="00EE4B9C">
        <w:rPr>
          <w:sz w:val="24"/>
          <w:szCs w:val="24"/>
        </w:rPr>
        <w:t xml:space="preserve"> estimado de $9.280</w:t>
      </w:r>
      <w:r w:rsidR="00807436">
        <w:rPr>
          <w:sz w:val="24"/>
          <w:szCs w:val="24"/>
        </w:rPr>
        <w:t xml:space="preserve"> millones</w:t>
      </w:r>
      <w:r w:rsidR="00BC62A0">
        <w:rPr>
          <w:sz w:val="24"/>
          <w:szCs w:val="24"/>
        </w:rPr>
        <w:t>.</w:t>
      </w:r>
    </w:p>
    <w:p w14:paraId="33465F09" w14:textId="2368D97C" w:rsidR="00EE4B9C" w:rsidRPr="00263F55" w:rsidRDefault="00EE4B9C" w:rsidP="00263F55">
      <w:pPr>
        <w:pStyle w:val="Prrafodelista"/>
        <w:numPr>
          <w:ilvl w:val="0"/>
          <w:numId w:val="1"/>
        </w:numPr>
        <w:jc w:val="both"/>
        <w:rPr>
          <w:sz w:val="24"/>
          <w:szCs w:val="24"/>
        </w:rPr>
      </w:pPr>
      <w:r w:rsidRPr="00EE4B9C">
        <w:rPr>
          <w:sz w:val="24"/>
          <w:szCs w:val="24"/>
        </w:rPr>
        <w:t>Que una de las principales características que</w:t>
      </w:r>
      <w:r>
        <w:rPr>
          <w:sz w:val="24"/>
          <w:szCs w:val="24"/>
        </w:rPr>
        <w:t xml:space="preserve"> </w:t>
      </w:r>
      <w:r w:rsidRPr="00EE4B9C">
        <w:rPr>
          <w:sz w:val="24"/>
          <w:szCs w:val="24"/>
        </w:rPr>
        <w:t>define el permiso de operación, junto a la inversión que se realiza del proyecto con que se postula</w:t>
      </w:r>
      <w:r w:rsidR="00263F55">
        <w:rPr>
          <w:sz w:val="24"/>
          <w:szCs w:val="24"/>
        </w:rPr>
        <w:t>,</w:t>
      </w:r>
      <w:r>
        <w:rPr>
          <w:sz w:val="24"/>
          <w:szCs w:val="24"/>
        </w:rPr>
        <w:t xml:space="preserve"> </w:t>
      </w:r>
      <w:r w:rsidRPr="00EE4B9C">
        <w:rPr>
          <w:sz w:val="24"/>
          <w:szCs w:val="24"/>
        </w:rPr>
        <w:t xml:space="preserve">es la oferta económica </w:t>
      </w:r>
      <w:r w:rsidRPr="00263F55">
        <w:rPr>
          <w:sz w:val="24"/>
          <w:szCs w:val="24"/>
        </w:rPr>
        <w:t>ofrecid</w:t>
      </w:r>
      <w:r w:rsidR="00263F55">
        <w:rPr>
          <w:sz w:val="24"/>
          <w:szCs w:val="24"/>
        </w:rPr>
        <w:t>a</w:t>
      </w:r>
      <w:r w:rsidRPr="00263F55">
        <w:rPr>
          <w:sz w:val="24"/>
          <w:szCs w:val="24"/>
        </w:rPr>
        <w:t xml:space="preserve"> por una sociedad postulante a un permiso de operación o renovación </w:t>
      </w:r>
      <w:proofErr w:type="gramStart"/>
      <w:r w:rsidRPr="00263F55">
        <w:rPr>
          <w:sz w:val="24"/>
          <w:szCs w:val="24"/>
        </w:rPr>
        <w:t xml:space="preserve">del </w:t>
      </w:r>
      <w:r w:rsidRPr="00263F55">
        <w:rPr>
          <w:sz w:val="24"/>
          <w:szCs w:val="24"/>
        </w:rPr>
        <w:lastRenderedPageBreak/>
        <w:t>mismo</w:t>
      </w:r>
      <w:proofErr w:type="gramEnd"/>
      <w:r w:rsidR="00263F55">
        <w:rPr>
          <w:sz w:val="24"/>
          <w:szCs w:val="24"/>
        </w:rPr>
        <w:t xml:space="preserve">, la que corresponde a </w:t>
      </w:r>
      <w:r w:rsidRPr="00263F55">
        <w:rPr>
          <w:sz w:val="24"/>
          <w:szCs w:val="24"/>
        </w:rPr>
        <w:t>una suma de dinero adicional al impuesto establecido en el artículo 59 de la ley N°19.995.</w:t>
      </w:r>
    </w:p>
    <w:p w14:paraId="2DB8A8C6" w14:textId="77777777" w:rsidR="00EE4B9C" w:rsidRPr="00EE4B9C" w:rsidRDefault="00EE4B9C" w:rsidP="00EE4B9C">
      <w:pPr>
        <w:pStyle w:val="Prrafodelista"/>
        <w:numPr>
          <w:ilvl w:val="0"/>
          <w:numId w:val="1"/>
        </w:numPr>
        <w:jc w:val="both"/>
        <w:rPr>
          <w:sz w:val="24"/>
          <w:szCs w:val="24"/>
        </w:rPr>
      </w:pPr>
      <w:r w:rsidRPr="00EE4B9C">
        <w:rPr>
          <w:sz w:val="24"/>
          <w:szCs w:val="24"/>
        </w:rPr>
        <w:t>Que</w:t>
      </w:r>
      <w:r w:rsidR="00263F55">
        <w:rPr>
          <w:sz w:val="24"/>
          <w:szCs w:val="24"/>
        </w:rPr>
        <w:t xml:space="preserve"> </w:t>
      </w:r>
      <w:r w:rsidRPr="00EE4B9C">
        <w:rPr>
          <w:sz w:val="24"/>
          <w:szCs w:val="24"/>
        </w:rPr>
        <w:t>la preparación de la oferta</w:t>
      </w:r>
      <w:r>
        <w:rPr>
          <w:sz w:val="24"/>
          <w:szCs w:val="24"/>
        </w:rPr>
        <w:t xml:space="preserve"> </w:t>
      </w:r>
      <w:r w:rsidRPr="00EE4B9C">
        <w:rPr>
          <w:sz w:val="24"/>
          <w:szCs w:val="24"/>
        </w:rPr>
        <w:t>técnica requiere junto con la presentación de la oferta económica, acompañar entre otros</w:t>
      </w:r>
      <w:r>
        <w:rPr>
          <w:sz w:val="24"/>
          <w:szCs w:val="24"/>
        </w:rPr>
        <w:t xml:space="preserve"> </w:t>
      </w:r>
      <w:r w:rsidRPr="00EE4B9C">
        <w:rPr>
          <w:sz w:val="24"/>
          <w:szCs w:val="24"/>
        </w:rPr>
        <w:t>documentos, un informe económico-financiero del proyecto que se postula, el cual comprenderá, a</w:t>
      </w:r>
      <w:r>
        <w:rPr>
          <w:sz w:val="24"/>
          <w:szCs w:val="24"/>
        </w:rPr>
        <w:t xml:space="preserve"> l</w:t>
      </w:r>
      <w:r w:rsidRPr="00EE4B9C">
        <w:rPr>
          <w:sz w:val="24"/>
          <w:szCs w:val="24"/>
        </w:rPr>
        <w:t>o menos, un estudio presupuestario; los flujos financieros correspondientes; la rentabilidad</w:t>
      </w:r>
      <w:r>
        <w:rPr>
          <w:sz w:val="24"/>
          <w:szCs w:val="24"/>
        </w:rPr>
        <w:t xml:space="preserve"> </w:t>
      </w:r>
      <w:r w:rsidRPr="00EE4B9C">
        <w:rPr>
          <w:sz w:val="24"/>
          <w:szCs w:val="24"/>
        </w:rPr>
        <w:t>proyectada; y la descripción y origen de las fuentes de financiamiento del proyecto.</w:t>
      </w:r>
    </w:p>
    <w:p w14:paraId="202F78DE" w14:textId="651F02A4" w:rsidR="007551AC" w:rsidRDefault="00263F55" w:rsidP="007551AC">
      <w:pPr>
        <w:jc w:val="both"/>
        <w:rPr>
          <w:sz w:val="24"/>
          <w:szCs w:val="24"/>
        </w:rPr>
      </w:pPr>
      <w:r>
        <w:rPr>
          <w:sz w:val="24"/>
          <w:szCs w:val="24"/>
        </w:rPr>
        <w:t>E</w:t>
      </w:r>
      <w:r w:rsidRPr="00263F55">
        <w:rPr>
          <w:sz w:val="24"/>
          <w:szCs w:val="24"/>
        </w:rPr>
        <w:t xml:space="preserve">n </w:t>
      </w:r>
      <w:r w:rsidR="00E211E3">
        <w:rPr>
          <w:sz w:val="24"/>
          <w:szCs w:val="24"/>
        </w:rPr>
        <w:t xml:space="preserve">consideración de este </w:t>
      </w:r>
      <w:r w:rsidRPr="00263F55">
        <w:rPr>
          <w:sz w:val="24"/>
          <w:szCs w:val="24"/>
        </w:rPr>
        <w:t>contexto económico y sanitario</w:t>
      </w:r>
      <w:r>
        <w:rPr>
          <w:sz w:val="24"/>
          <w:szCs w:val="24"/>
        </w:rPr>
        <w:t xml:space="preserve"> </w:t>
      </w:r>
      <w:r w:rsidRPr="00263F55">
        <w:rPr>
          <w:sz w:val="24"/>
          <w:szCs w:val="24"/>
        </w:rPr>
        <w:t xml:space="preserve">desfavorable, </w:t>
      </w:r>
      <w:r>
        <w:rPr>
          <w:sz w:val="24"/>
          <w:szCs w:val="24"/>
        </w:rPr>
        <w:t xml:space="preserve">la SCJ estimó que </w:t>
      </w:r>
      <w:r w:rsidRPr="00263F55">
        <w:rPr>
          <w:sz w:val="24"/>
          <w:szCs w:val="24"/>
        </w:rPr>
        <w:t>resulta</w:t>
      </w:r>
      <w:r>
        <w:rPr>
          <w:sz w:val="24"/>
          <w:szCs w:val="24"/>
        </w:rPr>
        <w:t>b</w:t>
      </w:r>
      <w:r w:rsidR="00F44AF7">
        <w:rPr>
          <w:sz w:val="24"/>
          <w:szCs w:val="24"/>
        </w:rPr>
        <w:t xml:space="preserve">a </w:t>
      </w:r>
      <w:r w:rsidRPr="00263F55">
        <w:rPr>
          <w:sz w:val="24"/>
          <w:szCs w:val="24"/>
        </w:rPr>
        <w:t>difícil para los eventuales postulantes preparar las ofertas técnicas y económicas y proyectar flujos futuros</w:t>
      </w:r>
      <w:r w:rsidR="00E211E3">
        <w:rPr>
          <w:sz w:val="24"/>
          <w:szCs w:val="24"/>
        </w:rPr>
        <w:t xml:space="preserve">, </w:t>
      </w:r>
      <w:r w:rsidRPr="00263F55">
        <w:rPr>
          <w:sz w:val="24"/>
          <w:szCs w:val="24"/>
        </w:rPr>
        <w:t>dificulta</w:t>
      </w:r>
      <w:r w:rsidR="00E211E3">
        <w:rPr>
          <w:sz w:val="24"/>
          <w:szCs w:val="24"/>
        </w:rPr>
        <w:t>ndo además</w:t>
      </w:r>
      <w:r w:rsidRPr="00263F55">
        <w:rPr>
          <w:sz w:val="24"/>
          <w:szCs w:val="24"/>
        </w:rPr>
        <w:t xml:space="preserve"> la debida competencia en el proceso de otorgamiento de permisos de operación.  </w:t>
      </w:r>
    </w:p>
    <w:p w14:paraId="2132F6D7" w14:textId="167F70D1" w:rsidR="001B3925" w:rsidRPr="001B3925" w:rsidRDefault="001B3925" w:rsidP="001B3925">
      <w:pPr>
        <w:spacing w:after="0" w:line="240" w:lineRule="auto"/>
        <w:jc w:val="both"/>
        <w:rPr>
          <w:b/>
          <w:bCs/>
          <w:sz w:val="24"/>
          <w:szCs w:val="24"/>
        </w:rPr>
      </w:pPr>
      <w:r w:rsidRPr="001B3925">
        <w:rPr>
          <w:b/>
          <w:bCs/>
          <w:sz w:val="24"/>
          <w:szCs w:val="24"/>
        </w:rPr>
        <w:t>Casinos autorizados en 2018</w:t>
      </w:r>
    </w:p>
    <w:p w14:paraId="415815EB" w14:textId="77777777" w:rsidR="001B3925" w:rsidRDefault="001B3925" w:rsidP="001B3925">
      <w:pPr>
        <w:spacing w:after="0" w:line="240" w:lineRule="auto"/>
        <w:jc w:val="both"/>
        <w:rPr>
          <w:sz w:val="24"/>
          <w:szCs w:val="24"/>
        </w:rPr>
      </w:pPr>
    </w:p>
    <w:p w14:paraId="53F75569" w14:textId="56D13EE1" w:rsidR="001B3925" w:rsidRDefault="001B3925" w:rsidP="001B3925">
      <w:pPr>
        <w:spacing w:after="0" w:line="240" w:lineRule="auto"/>
        <w:jc w:val="both"/>
        <w:rPr>
          <w:sz w:val="24"/>
          <w:szCs w:val="24"/>
        </w:rPr>
      </w:pPr>
      <w:r>
        <w:rPr>
          <w:sz w:val="24"/>
          <w:szCs w:val="24"/>
        </w:rPr>
        <w:t xml:space="preserve">Por otra parte, a través de un oficio circular, el organismo informó </w:t>
      </w:r>
      <w:bookmarkStart w:id="0" w:name="_Hlk49454727"/>
      <w:r w:rsidR="00264639">
        <w:rPr>
          <w:sz w:val="24"/>
          <w:szCs w:val="24"/>
        </w:rPr>
        <w:t>el</w:t>
      </w:r>
      <w:r w:rsidR="00EF6970">
        <w:rPr>
          <w:sz w:val="24"/>
          <w:szCs w:val="24"/>
        </w:rPr>
        <w:t xml:space="preserve"> cómputo de los plazos para la ejecución de las </w:t>
      </w:r>
      <w:r w:rsidR="00EF6970" w:rsidRPr="00623B2B">
        <w:rPr>
          <w:sz w:val="24"/>
          <w:szCs w:val="24"/>
        </w:rPr>
        <w:t>obras vinculadas a</w:t>
      </w:r>
      <w:r w:rsidR="00F44AF7">
        <w:rPr>
          <w:sz w:val="24"/>
          <w:szCs w:val="24"/>
        </w:rPr>
        <w:t xml:space="preserve"> los casinos de juego y</w:t>
      </w:r>
      <w:r w:rsidR="00EF6970" w:rsidRPr="00623B2B">
        <w:rPr>
          <w:sz w:val="24"/>
          <w:szCs w:val="24"/>
        </w:rPr>
        <w:t xml:space="preserve"> obras complementarias de los proyectos</w:t>
      </w:r>
      <w:bookmarkEnd w:id="0"/>
      <w:r w:rsidR="00EF6970" w:rsidRPr="00623B2B">
        <w:rPr>
          <w:sz w:val="24"/>
          <w:szCs w:val="24"/>
        </w:rPr>
        <w:t xml:space="preserve"> autorizados en 2018, a las sociedades </w:t>
      </w:r>
      <w:r w:rsidR="00EF6970" w:rsidRPr="001B3925">
        <w:rPr>
          <w:sz w:val="24"/>
          <w:szCs w:val="24"/>
        </w:rPr>
        <w:t>Entretenimiento</w:t>
      </w:r>
      <w:r w:rsidR="00EF6970">
        <w:rPr>
          <w:sz w:val="24"/>
          <w:szCs w:val="24"/>
        </w:rPr>
        <w:t>s</w:t>
      </w:r>
      <w:r w:rsidR="00EF6970" w:rsidRPr="001B3925">
        <w:rPr>
          <w:sz w:val="24"/>
          <w:szCs w:val="24"/>
        </w:rPr>
        <w:t xml:space="preserve"> Iquique S.A.,</w:t>
      </w:r>
      <w:r w:rsidR="00EF6970">
        <w:rPr>
          <w:sz w:val="24"/>
          <w:szCs w:val="24"/>
        </w:rPr>
        <w:t xml:space="preserve"> </w:t>
      </w:r>
      <w:r w:rsidR="00EF6970" w:rsidRPr="001B3925">
        <w:rPr>
          <w:sz w:val="24"/>
          <w:szCs w:val="24"/>
        </w:rPr>
        <w:t>Casino del Mar S.A.</w:t>
      </w:r>
      <w:r w:rsidR="00EF6970">
        <w:rPr>
          <w:sz w:val="24"/>
          <w:szCs w:val="24"/>
        </w:rPr>
        <w:t xml:space="preserve"> y </w:t>
      </w:r>
      <w:r w:rsidR="00EF6970" w:rsidRPr="001B3925">
        <w:rPr>
          <w:sz w:val="24"/>
          <w:szCs w:val="24"/>
        </w:rPr>
        <w:t>Casino de la Bahía S.A</w:t>
      </w:r>
      <w:r w:rsidR="00EF6970">
        <w:rPr>
          <w:sz w:val="24"/>
          <w:szCs w:val="24"/>
        </w:rPr>
        <w:t>.</w:t>
      </w:r>
    </w:p>
    <w:p w14:paraId="13EF717D" w14:textId="63E1907D" w:rsidR="00D57401" w:rsidRDefault="00D57401" w:rsidP="001B3925">
      <w:pPr>
        <w:spacing w:after="0" w:line="240" w:lineRule="auto"/>
        <w:jc w:val="both"/>
        <w:rPr>
          <w:sz w:val="24"/>
          <w:szCs w:val="24"/>
        </w:rPr>
      </w:pPr>
    </w:p>
    <w:p w14:paraId="73E87AAB" w14:textId="04527FEB" w:rsidR="001B3925" w:rsidRDefault="00B34FEA" w:rsidP="001B3925">
      <w:pPr>
        <w:spacing w:after="0" w:line="240" w:lineRule="auto"/>
        <w:jc w:val="both"/>
        <w:rPr>
          <w:sz w:val="24"/>
          <w:szCs w:val="24"/>
        </w:rPr>
      </w:pPr>
      <w:r>
        <w:rPr>
          <w:sz w:val="24"/>
          <w:szCs w:val="24"/>
        </w:rPr>
        <w:t xml:space="preserve">A este respecto, resulta pertinente tener presente </w:t>
      </w:r>
      <w:r w:rsidR="00F44AF7">
        <w:rPr>
          <w:sz w:val="24"/>
          <w:szCs w:val="24"/>
        </w:rPr>
        <w:t>que,</w:t>
      </w:r>
      <w:r>
        <w:rPr>
          <w:sz w:val="24"/>
          <w:szCs w:val="24"/>
        </w:rPr>
        <w:t xml:space="preserve"> p</w:t>
      </w:r>
      <w:r w:rsidR="001B3925">
        <w:rPr>
          <w:sz w:val="24"/>
          <w:szCs w:val="24"/>
        </w:rPr>
        <w:t>or un acto de autoridad</w:t>
      </w:r>
      <w:r>
        <w:rPr>
          <w:sz w:val="24"/>
          <w:szCs w:val="24"/>
        </w:rPr>
        <w:t>,</w:t>
      </w:r>
      <w:r w:rsidR="00EF6970">
        <w:rPr>
          <w:sz w:val="24"/>
          <w:szCs w:val="24"/>
        </w:rPr>
        <w:t xml:space="preserve"> </w:t>
      </w:r>
      <w:r w:rsidR="001B3925">
        <w:rPr>
          <w:sz w:val="24"/>
          <w:szCs w:val="24"/>
        </w:rPr>
        <w:t xml:space="preserve">las comunas de Iquique, Viña del Mar y Coquimbo </w:t>
      </w:r>
      <w:r w:rsidR="006007E5">
        <w:rPr>
          <w:sz w:val="24"/>
          <w:szCs w:val="24"/>
        </w:rPr>
        <w:t>-</w:t>
      </w:r>
      <w:r w:rsidR="00EF6970">
        <w:rPr>
          <w:sz w:val="24"/>
          <w:szCs w:val="24"/>
        </w:rPr>
        <w:t>donde se encuentran emplazados estos proyectos</w:t>
      </w:r>
      <w:r w:rsidR="006007E5">
        <w:rPr>
          <w:sz w:val="24"/>
          <w:szCs w:val="24"/>
        </w:rPr>
        <w:t>-</w:t>
      </w:r>
      <w:r w:rsidR="00EF6970">
        <w:rPr>
          <w:sz w:val="24"/>
          <w:szCs w:val="24"/>
        </w:rPr>
        <w:t xml:space="preserve"> </w:t>
      </w:r>
      <w:r w:rsidR="001B3925">
        <w:rPr>
          <w:sz w:val="24"/>
          <w:szCs w:val="24"/>
        </w:rPr>
        <w:t xml:space="preserve">han estado en cuarentena desde el 15 de mayo, 12 de junio y 29 de julio, respectivamente, </w:t>
      </w:r>
      <w:r w:rsidR="00EF6970">
        <w:rPr>
          <w:sz w:val="24"/>
          <w:szCs w:val="24"/>
        </w:rPr>
        <w:t xml:space="preserve">lo que ha implicado una prohibición de la </w:t>
      </w:r>
      <w:r w:rsidR="001B3925" w:rsidRPr="001B3925">
        <w:rPr>
          <w:sz w:val="24"/>
          <w:szCs w:val="24"/>
        </w:rPr>
        <w:t>libre circulación de personas</w:t>
      </w:r>
      <w:r w:rsidR="006007E5">
        <w:rPr>
          <w:sz w:val="24"/>
          <w:szCs w:val="24"/>
        </w:rPr>
        <w:t xml:space="preserve">. Esta situación </w:t>
      </w:r>
      <w:r w:rsidR="00EF6970">
        <w:rPr>
          <w:sz w:val="24"/>
          <w:szCs w:val="24"/>
        </w:rPr>
        <w:t xml:space="preserve">no ha permitido </w:t>
      </w:r>
      <w:r w:rsidR="001B3925" w:rsidRPr="001B3925">
        <w:rPr>
          <w:sz w:val="24"/>
          <w:szCs w:val="24"/>
        </w:rPr>
        <w:t>ejecutar</w:t>
      </w:r>
      <w:r w:rsidR="001B3925">
        <w:rPr>
          <w:sz w:val="24"/>
          <w:szCs w:val="24"/>
        </w:rPr>
        <w:t xml:space="preserve"> </w:t>
      </w:r>
      <w:r w:rsidR="001B3925" w:rsidRPr="001B3925">
        <w:rPr>
          <w:sz w:val="24"/>
          <w:szCs w:val="24"/>
        </w:rPr>
        <w:t xml:space="preserve">las obras </w:t>
      </w:r>
      <w:r w:rsidR="00EF6970">
        <w:rPr>
          <w:sz w:val="24"/>
          <w:szCs w:val="24"/>
        </w:rPr>
        <w:t>de construcción,</w:t>
      </w:r>
      <w:r>
        <w:rPr>
          <w:sz w:val="24"/>
          <w:szCs w:val="24"/>
        </w:rPr>
        <w:t xml:space="preserve"> ni siquiera parcialmente,</w:t>
      </w:r>
      <w:r w:rsidR="00EF6970">
        <w:rPr>
          <w:sz w:val="24"/>
          <w:szCs w:val="24"/>
        </w:rPr>
        <w:t xml:space="preserve"> al no ser una actividad considerada como esencial. </w:t>
      </w:r>
    </w:p>
    <w:p w14:paraId="3002B3CD" w14:textId="72B88C0C" w:rsidR="005F60DD" w:rsidRDefault="005F60DD" w:rsidP="001B3925">
      <w:pPr>
        <w:spacing w:after="0" w:line="240" w:lineRule="auto"/>
        <w:jc w:val="both"/>
        <w:rPr>
          <w:sz w:val="24"/>
          <w:szCs w:val="24"/>
        </w:rPr>
      </w:pPr>
    </w:p>
    <w:p w14:paraId="730E8294" w14:textId="4FCFC088" w:rsidR="00D57401" w:rsidRDefault="00D57401" w:rsidP="00D57401">
      <w:pPr>
        <w:spacing w:after="0" w:line="240" w:lineRule="auto"/>
        <w:jc w:val="both"/>
        <w:rPr>
          <w:sz w:val="24"/>
          <w:szCs w:val="24"/>
        </w:rPr>
      </w:pPr>
      <w:r>
        <w:rPr>
          <w:sz w:val="24"/>
          <w:szCs w:val="24"/>
        </w:rPr>
        <w:t xml:space="preserve">En este contexto, respecto de los plazos establecidos en el artículo 47 literal b) del D.S. </w:t>
      </w:r>
      <w:proofErr w:type="spellStart"/>
      <w:r>
        <w:rPr>
          <w:sz w:val="24"/>
          <w:szCs w:val="24"/>
        </w:rPr>
        <w:t>N°</w:t>
      </w:r>
      <w:proofErr w:type="spellEnd"/>
      <w:r>
        <w:rPr>
          <w:sz w:val="24"/>
          <w:szCs w:val="24"/>
        </w:rPr>
        <w:t xml:space="preserve"> 1722, de 2015, no se contabilizarán los días en que las sociedades adjudicatarias no han podido</w:t>
      </w:r>
      <w:r w:rsidR="006007E5">
        <w:rPr>
          <w:sz w:val="24"/>
          <w:szCs w:val="24"/>
        </w:rPr>
        <w:t xml:space="preserve"> avanzar en</w:t>
      </w:r>
      <w:r>
        <w:rPr>
          <w:sz w:val="24"/>
          <w:szCs w:val="24"/>
        </w:rPr>
        <w:t xml:space="preserve"> </w:t>
      </w:r>
      <w:r w:rsidR="00B34FEA">
        <w:rPr>
          <w:sz w:val="24"/>
          <w:szCs w:val="24"/>
        </w:rPr>
        <w:t xml:space="preserve">la construcción y habilitación de </w:t>
      </w:r>
      <w:r>
        <w:rPr>
          <w:sz w:val="24"/>
          <w:szCs w:val="24"/>
        </w:rPr>
        <w:t>las obra</w:t>
      </w:r>
      <w:r w:rsidR="006007E5">
        <w:rPr>
          <w:sz w:val="24"/>
          <w:szCs w:val="24"/>
        </w:rPr>
        <w:t>s</w:t>
      </w:r>
      <w:r w:rsidR="00B34FEA">
        <w:rPr>
          <w:sz w:val="24"/>
          <w:szCs w:val="24"/>
        </w:rPr>
        <w:t xml:space="preserve"> comprometidas</w:t>
      </w:r>
      <w:r w:rsidR="006007E5">
        <w:rPr>
          <w:sz w:val="24"/>
          <w:szCs w:val="24"/>
        </w:rPr>
        <w:t>.</w:t>
      </w:r>
    </w:p>
    <w:p w14:paraId="4E8CA728" w14:textId="77777777" w:rsidR="00D57401" w:rsidRDefault="00D57401" w:rsidP="00D57401">
      <w:pPr>
        <w:spacing w:after="0" w:line="240" w:lineRule="auto"/>
        <w:jc w:val="both"/>
        <w:rPr>
          <w:sz w:val="24"/>
          <w:szCs w:val="24"/>
        </w:rPr>
      </w:pPr>
    </w:p>
    <w:p w14:paraId="5986752E" w14:textId="5FC2B201" w:rsidR="00D57401" w:rsidRPr="00D57401" w:rsidRDefault="00B34FEA" w:rsidP="00D57401">
      <w:pPr>
        <w:spacing w:after="0" w:line="240" w:lineRule="auto"/>
        <w:jc w:val="both"/>
        <w:rPr>
          <w:sz w:val="24"/>
          <w:szCs w:val="24"/>
        </w:rPr>
      </w:pPr>
      <w:r>
        <w:rPr>
          <w:sz w:val="24"/>
          <w:szCs w:val="24"/>
        </w:rPr>
        <w:t>Por tanto, u</w:t>
      </w:r>
      <w:r w:rsidR="00D57401" w:rsidRPr="00D57401">
        <w:rPr>
          <w:sz w:val="24"/>
          <w:szCs w:val="24"/>
        </w:rPr>
        <w:t>na vez levantada la cuarentena total en las comunas adjudicatarias, esta Superintendencia verificará con un inspector de obras el estado de avance de los proyectos, debiendo las sociedades operadoras presentar en el plazo de 10 días, un cronograma de trabajo actualizado para el reinicio y término de las obras.</w:t>
      </w:r>
    </w:p>
    <w:p w14:paraId="02B861DA" w14:textId="77777777" w:rsidR="00D57401" w:rsidRDefault="00D57401" w:rsidP="00D57401">
      <w:pPr>
        <w:spacing w:after="0" w:line="240" w:lineRule="auto"/>
        <w:jc w:val="both"/>
        <w:rPr>
          <w:sz w:val="24"/>
          <w:szCs w:val="24"/>
        </w:rPr>
      </w:pPr>
    </w:p>
    <w:p w14:paraId="3684327D" w14:textId="0891AD92" w:rsidR="001B3925" w:rsidRDefault="001B3925" w:rsidP="001B3925">
      <w:pPr>
        <w:spacing w:after="0" w:line="240" w:lineRule="auto"/>
        <w:jc w:val="both"/>
        <w:rPr>
          <w:sz w:val="24"/>
          <w:szCs w:val="24"/>
        </w:rPr>
      </w:pPr>
    </w:p>
    <w:p w14:paraId="6000829A" w14:textId="02D41512" w:rsidR="009376C9" w:rsidRDefault="009376C9" w:rsidP="001B3925">
      <w:pPr>
        <w:spacing w:after="0" w:line="240" w:lineRule="auto"/>
        <w:jc w:val="both"/>
        <w:rPr>
          <w:sz w:val="24"/>
          <w:szCs w:val="24"/>
        </w:rPr>
      </w:pPr>
    </w:p>
    <w:sectPr w:rsidR="009376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4EFF"/>
    <w:multiLevelType w:val="hybridMultilevel"/>
    <w:tmpl w:val="196CAF62"/>
    <w:lvl w:ilvl="0" w:tplc="EF04F74E">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3F639E"/>
    <w:multiLevelType w:val="hybridMultilevel"/>
    <w:tmpl w:val="D74050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EF63E7"/>
    <w:multiLevelType w:val="hybridMultilevel"/>
    <w:tmpl w:val="D8B8AED4"/>
    <w:lvl w:ilvl="0" w:tplc="6AE8E134">
      <w:start w:val="6"/>
      <w:numFmt w:val="decimal"/>
      <w:lvlText w:val="%1."/>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A8E40">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F43376">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50F496">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2DC2C">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50D6D2">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F24C6A">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A0AE04">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88ABA">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FF3FA4"/>
    <w:multiLevelType w:val="hybridMultilevel"/>
    <w:tmpl w:val="5174502A"/>
    <w:lvl w:ilvl="0" w:tplc="ABE26A8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8A371DE"/>
    <w:multiLevelType w:val="hybridMultilevel"/>
    <w:tmpl w:val="D38AD120"/>
    <w:lvl w:ilvl="0" w:tplc="2CA87C56">
      <w:start w:val="1"/>
      <w:numFmt w:val="decimal"/>
      <w:lvlText w:val="%1."/>
      <w:lvlJc w:val="left"/>
      <w:pPr>
        <w:ind w:left="8299" w:hanging="360"/>
      </w:pPr>
      <w:rPr>
        <w:rFonts w:ascii="Arial" w:hAnsi="Arial" w:cs="Arial" w:hint="default"/>
        <w:sz w:val="24"/>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E"/>
    <w:rsid w:val="000F5660"/>
    <w:rsid w:val="00184646"/>
    <w:rsid w:val="001B3925"/>
    <w:rsid w:val="00263F55"/>
    <w:rsid w:val="00264639"/>
    <w:rsid w:val="002C6BE8"/>
    <w:rsid w:val="003F2036"/>
    <w:rsid w:val="0051091E"/>
    <w:rsid w:val="005F60DD"/>
    <w:rsid w:val="006007E5"/>
    <w:rsid w:val="00623B2B"/>
    <w:rsid w:val="007551AC"/>
    <w:rsid w:val="00807436"/>
    <w:rsid w:val="00927232"/>
    <w:rsid w:val="009376C9"/>
    <w:rsid w:val="009379AE"/>
    <w:rsid w:val="0094122F"/>
    <w:rsid w:val="00A52304"/>
    <w:rsid w:val="00B34FEA"/>
    <w:rsid w:val="00BC62A0"/>
    <w:rsid w:val="00D57401"/>
    <w:rsid w:val="00D71BC1"/>
    <w:rsid w:val="00E211E3"/>
    <w:rsid w:val="00EB31AB"/>
    <w:rsid w:val="00EE4B9C"/>
    <w:rsid w:val="00EF6970"/>
    <w:rsid w:val="00F1510B"/>
    <w:rsid w:val="00F44A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E60E"/>
  <w15:chartTrackingRefBased/>
  <w15:docId w15:val="{44718AA7-1F7A-4D39-92A7-C32DEB19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B9C"/>
    <w:pPr>
      <w:ind w:left="720"/>
      <w:contextualSpacing/>
    </w:pPr>
  </w:style>
  <w:style w:type="paragraph" w:styleId="Textodeglobo">
    <w:name w:val="Balloon Text"/>
    <w:basedOn w:val="Normal"/>
    <w:link w:val="TextodegloboCar"/>
    <w:uiPriority w:val="99"/>
    <w:semiHidden/>
    <w:unhideWhenUsed/>
    <w:rsid w:val="001B39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3925"/>
    <w:rPr>
      <w:rFonts w:ascii="Segoe UI" w:hAnsi="Segoe UI" w:cs="Segoe UI"/>
      <w:sz w:val="18"/>
      <w:szCs w:val="18"/>
    </w:rPr>
  </w:style>
  <w:style w:type="paragraph" w:styleId="Textocomentario">
    <w:name w:val="annotation text"/>
    <w:basedOn w:val="Normal"/>
    <w:link w:val="TextocomentarioCar"/>
    <w:uiPriority w:val="99"/>
    <w:unhideWhenUsed/>
    <w:rsid w:val="001B392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1B3925"/>
    <w:rPr>
      <w:rFonts w:ascii="Times New Roman" w:eastAsia="Times New Roman" w:hAnsi="Times New Roman" w:cs="Times New Roman"/>
      <w:sz w:val="20"/>
      <w:szCs w:val="20"/>
      <w:lang w:val="es-ES" w:eastAsia="es-ES"/>
    </w:rPr>
  </w:style>
  <w:style w:type="character" w:styleId="Refdecomentario">
    <w:name w:val="annotation reference"/>
    <w:unhideWhenUsed/>
    <w:rsid w:val="001B3925"/>
    <w:rPr>
      <w:sz w:val="16"/>
      <w:szCs w:val="16"/>
    </w:rPr>
  </w:style>
  <w:style w:type="paragraph" w:customStyle="1" w:styleId="Listavistosa-nfasis11">
    <w:name w:val="Lista vistosa - Énfasis 11"/>
    <w:basedOn w:val="Normal"/>
    <w:uiPriority w:val="34"/>
    <w:qFormat/>
    <w:rsid w:val="009376C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C62A0"/>
    <w:pPr>
      <w:spacing w:after="16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BC62A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Christian Fuenzalida</dc:creator>
  <cp:keywords/>
  <dc:description/>
  <cp:lastModifiedBy>Claudia Valladares</cp:lastModifiedBy>
  <cp:revision>2</cp:revision>
  <dcterms:created xsi:type="dcterms:W3CDTF">2020-08-28T19:07:00Z</dcterms:created>
  <dcterms:modified xsi:type="dcterms:W3CDTF">2020-08-28T19:07:00Z</dcterms:modified>
</cp:coreProperties>
</file>