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6F" w:rsidRDefault="0070284F" w:rsidP="009E4A6F">
      <w:pPr>
        <w:spacing w:line="276" w:lineRule="auto"/>
        <w:ind w:lef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COMENTARIOS</w:t>
      </w:r>
    </w:p>
    <w:p w:rsidR="009E4A6F" w:rsidRDefault="009E4A6F" w:rsidP="002117D0">
      <w:pPr>
        <w:spacing w:line="276" w:lineRule="auto"/>
        <w:ind w:left="-284"/>
        <w:jc w:val="both"/>
        <w:rPr>
          <w:rFonts w:ascii="Arial" w:hAnsi="Arial" w:cs="Arial"/>
          <w:b/>
        </w:rPr>
      </w:pPr>
    </w:p>
    <w:p w:rsidR="002117D0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  <w:r w:rsidRPr="00146A5C">
        <w:rPr>
          <w:rFonts w:ascii="Arial" w:hAnsi="Arial" w:cs="Arial"/>
          <w:b/>
        </w:rPr>
        <w:t>Artículo 8º.-</w:t>
      </w:r>
      <w:r w:rsidR="008C02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Este artículo no define que debe entenderse por obras o instalaciones “RELEVANTES” para el desarrollo de la com</w:t>
      </w:r>
      <w:r w:rsidR="008C02C6">
        <w:rPr>
          <w:rFonts w:ascii="Arial" w:hAnsi="Arial" w:cs="Arial"/>
        </w:rPr>
        <w:t>una</w:t>
      </w:r>
      <w:r>
        <w:rPr>
          <w:rFonts w:ascii="Arial" w:hAnsi="Arial" w:cs="Arial"/>
        </w:rPr>
        <w:t>. Debe aclararse el concepto. Por otra parte</w:t>
      </w:r>
      <w:r w:rsidR="008C02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 un cambio sustancial en la legislación que implica desconocer los fundamentos tenidos a la vista al licitar el año 2006, al no considerar las inversiones </w:t>
      </w:r>
      <w:r w:rsidR="008C02C6">
        <w:rPr>
          <w:rFonts w:ascii="Arial" w:hAnsi="Arial" w:cs="Arial"/>
        </w:rPr>
        <w:t xml:space="preserve">ya </w:t>
      </w:r>
      <w:r>
        <w:rPr>
          <w:rFonts w:ascii="Arial" w:hAnsi="Arial" w:cs="Arial"/>
        </w:rPr>
        <w:t>efectuadas para futuras postulaciones.</w:t>
      </w:r>
      <w:r w:rsidR="008C02C6">
        <w:rPr>
          <w:rFonts w:ascii="Arial" w:hAnsi="Arial" w:cs="Arial"/>
        </w:rPr>
        <w:t xml:space="preserve"> Esto, además, podría generar la acumulación en el país de varios edificios que no podrán tener jamás otro destino.  </w:t>
      </w:r>
    </w:p>
    <w:p w:rsidR="002117D0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871030" w:rsidRDefault="002117D0" w:rsidP="00871030">
      <w:pPr>
        <w:spacing w:line="276" w:lineRule="auto"/>
        <w:ind w:left="-284"/>
        <w:jc w:val="both"/>
        <w:rPr>
          <w:rFonts w:ascii="Arial" w:hAnsi="Arial" w:cs="Arial"/>
          <w:b/>
        </w:rPr>
      </w:pPr>
      <w:r w:rsidRPr="00146A5C">
        <w:rPr>
          <w:rFonts w:ascii="Arial" w:hAnsi="Arial" w:cs="Arial"/>
          <w:b/>
        </w:rPr>
        <w:t>Artículo 25.-</w:t>
      </w:r>
    </w:p>
    <w:p w:rsidR="007B53D5" w:rsidRDefault="007B53D5" w:rsidP="00871030">
      <w:pPr>
        <w:spacing w:line="276" w:lineRule="auto"/>
        <w:ind w:left="-284"/>
        <w:jc w:val="both"/>
        <w:rPr>
          <w:rFonts w:ascii="Arial" w:hAnsi="Arial" w:cs="Arial"/>
        </w:rPr>
      </w:pPr>
    </w:p>
    <w:p w:rsidR="002117D0" w:rsidRDefault="00D94E85" w:rsidP="00871030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Debiera definirse</w:t>
      </w:r>
      <w:r w:rsidR="00871030" w:rsidRPr="008710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 </w:t>
      </w:r>
      <w:r w:rsidR="00871030" w:rsidRPr="00871030">
        <w:rPr>
          <w:rFonts w:ascii="Arial" w:hAnsi="Arial" w:cs="Arial"/>
        </w:rPr>
        <w:t xml:space="preserve">concepto de insolvencia </w:t>
      </w:r>
      <w:r w:rsidR="007B53D5">
        <w:rPr>
          <w:rFonts w:ascii="Arial" w:hAnsi="Arial" w:cs="Arial"/>
        </w:rPr>
        <w:t xml:space="preserve">establecido </w:t>
      </w:r>
      <w:r w:rsidR="00871030" w:rsidRPr="00871030">
        <w:rPr>
          <w:rFonts w:ascii="Arial" w:hAnsi="Arial" w:cs="Arial"/>
        </w:rPr>
        <w:t>en la letra a)</w:t>
      </w:r>
      <w:r w:rsidR="007B53D5">
        <w:rPr>
          <w:rFonts w:ascii="Arial" w:hAnsi="Arial" w:cs="Arial"/>
        </w:rPr>
        <w:t xml:space="preserve"> y determinar cómo </w:t>
      </w:r>
      <w:r>
        <w:rPr>
          <w:rFonts w:ascii="Arial" w:hAnsi="Arial" w:cs="Arial"/>
        </w:rPr>
        <w:t xml:space="preserve">y cuándo </w:t>
      </w:r>
      <w:r w:rsidR="007B53D5">
        <w:rPr>
          <w:rFonts w:ascii="Arial" w:hAnsi="Arial" w:cs="Arial"/>
        </w:rPr>
        <w:t>se considerará que concurre</w:t>
      </w:r>
      <w:r w:rsidR="00871030" w:rsidRPr="00871030">
        <w:rPr>
          <w:rFonts w:ascii="Arial" w:hAnsi="Arial" w:cs="Arial"/>
        </w:rPr>
        <w:t>.</w:t>
      </w:r>
    </w:p>
    <w:p w:rsidR="007B53D5" w:rsidRPr="00871030" w:rsidRDefault="007B53D5" w:rsidP="00D94E85">
      <w:pPr>
        <w:pStyle w:val="Prrafodelista"/>
        <w:spacing w:line="276" w:lineRule="auto"/>
        <w:ind w:left="76"/>
        <w:jc w:val="both"/>
        <w:rPr>
          <w:rFonts w:ascii="Arial" w:hAnsi="Arial" w:cs="Arial"/>
        </w:rPr>
      </w:pPr>
    </w:p>
    <w:p w:rsidR="00905A75" w:rsidRDefault="007B53D5" w:rsidP="00905A75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la l</w:t>
      </w:r>
      <w:r w:rsidR="00871030">
        <w:rPr>
          <w:rFonts w:ascii="Arial" w:hAnsi="Arial" w:cs="Arial"/>
        </w:rPr>
        <w:t xml:space="preserve">etra </w:t>
      </w:r>
      <w:r w:rsidR="002117D0" w:rsidRPr="00871030">
        <w:rPr>
          <w:rFonts w:ascii="Arial" w:hAnsi="Arial" w:cs="Arial"/>
        </w:rPr>
        <w:t>c)</w:t>
      </w:r>
      <w:r>
        <w:rPr>
          <w:rFonts w:ascii="Arial" w:hAnsi="Arial" w:cs="Arial"/>
        </w:rPr>
        <w:t>,</w:t>
      </w:r>
      <w:r w:rsidR="002117D0" w:rsidRPr="00871030">
        <w:rPr>
          <w:rFonts w:ascii="Arial" w:hAnsi="Arial" w:cs="Arial"/>
        </w:rPr>
        <w:t xml:space="preserve"> </w:t>
      </w:r>
      <w:r w:rsidR="00D94E85">
        <w:rPr>
          <w:rFonts w:ascii="Arial" w:hAnsi="Arial" w:cs="Arial"/>
        </w:rPr>
        <w:t>estimamos</w:t>
      </w:r>
      <w:r w:rsidR="00871030">
        <w:rPr>
          <w:rFonts w:ascii="Arial" w:hAnsi="Arial" w:cs="Arial"/>
        </w:rPr>
        <w:t xml:space="preserve"> </w:t>
      </w:r>
      <w:r w:rsidR="00D94E85">
        <w:rPr>
          <w:rFonts w:ascii="Arial" w:hAnsi="Arial" w:cs="Arial"/>
        </w:rPr>
        <w:t xml:space="preserve">que </w:t>
      </w:r>
      <w:r w:rsidR="00871030">
        <w:rPr>
          <w:rFonts w:ascii="Arial" w:hAnsi="Arial" w:cs="Arial"/>
        </w:rPr>
        <w:t xml:space="preserve">el concepto </w:t>
      </w:r>
      <w:r>
        <w:rPr>
          <w:rFonts w:ascii="Arial" w:hAnsi="Arial" w:cs="Arial"/>
        </w:rPr>
        <w:t>d</w:t>
      </w:r>
      <w:r w:rsidR="00871030">
        <w:rPr>
          <w:rFonts w:ascii="Arial" w:hAnsi="Arial" w:cs="Arial"/>
        </w:rPr>
        <w:t>e “</w:t>
      </w:r>
      <w:r w:rsidR="002117D0" w:rsidRPr="00871030">
        <w:rPr>
          <w:rFonts w:ascii="Arial" w:hAnsi="Arial" w:cs="Arial"/>
        </w:rPr>
        <w:t>Haber aportado a la Superintendencia información falsa, incompleta, inconsistente, adulterada o manifiestamente errónea respecto de sus antecedentes</w:t>
      </w:r>
      <w:r w:rsidR="0087103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D94E85">
        <w:rPr>
          <w:rFonts w:ascii="Arial" w:hAnsi="Arial" w:cs="Arial"/>
        </w:rPr>
        <w:t xml:space="preserve">es excesivo en cuanto </w:t>
      </w:r>
      <w:r>
        <w:rPr>
          <w:rFonts w:ascii="Arial" w:hAnsi="Arial" w:cs="Arial"/>
        </w:rPr>
        <w:t>un mero error, aunque sea manifiesto, pued</w:t>
      </w:r>
      <w:r w:rsidR="00D94E8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provocar un resultado tan grave como el que la norma indica.  </w:t>
      </w:r>
    </w:p>
    <w:p w:rsidR="00D94E85" w:rsidRPr="00D94E85" w:rsidRDefault="00D94E85" w:rsidP="00D94E85">
      <w:pPr>
        <w:pStyle w:val="Prrafodelista"/>
        <w:rPr>
          <w:rFonts w:ascii="Arial" w:hAnsi="Arial" w:cs="Arial"/>
        </w:rPr>
      </w:pPr>
    </w:p>
    <w:p w:rsidR="00D94E85" w:rsidRDefault="00D94E85" w:rsidP="00D94E85">
      <w:pPr>
        <w:pStyle w:val="Prrafodelista"/>
        <w:spacing w:line="276" w:lineRule="auto"/>
        <w:ind w:left="76"/>
        <w:jc w:val="both"/>
        <w:rPr>
          <w:rFonts w:ascii="Arial" w:hAnsi="Arial" w:cs="Arial"/>
        </w:rPr>
      </w:pPr>
    </w:p>
    <w:p w:rsidR="00905A75" w:rsidRDefault="00874FFB" w:rsidP="00905A75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la l</w:t>
      </w:r>
      <w:r w:rsidR="00871030" w:rsidRPr="00905A75">
        <w:rPr>
          <w:rFonts w:ascii="Arial" w:hAnsi="Arial" w:cs="Arial"/>
        </w:rPr>
        <w:t>etra</w:t>
      </w:r>
      <w:r>
        <w:rPr>
          <w:rFonts w:ascii="Arial" w:hAnsi="Arial" w:cs="Arial"/>
        </w:rPr>
        <w:t xml:space="preserve"> </w:t>
      </w:r>
      <w:r w:rsidR="002117D0" w:rsidRPr="00905A75">
        <w:rPr>
          <w:rFonts w:ascii="Arial" w:hAnsi="Arial" w:cs="Arial"/>
        </w:rPr>
        <w:t>e)</w:t>
      </w:r>
      <w:r>
        <w:rPr>
          <w:rFonts w:ascii="Arial" w:hAnsi="Arial" w:cs="Arial"/>
        </w:rPr>
        <w:t>,</w:t>
      </w:r>
      <w:r w:rsidR="002117D0" w:rsidRPr="00905A75">
        <w:rPr>
          <w:rFonts w:ascii="Arial" w:hAnsi="Arial" w:cs="Arial"/>
        </w:rPr>
        <w:t xml:space="preserve"> </w:t>
      </w:r>
      <w:r w:rsidR="00905A75" w:rsidRPr="00905A75">
        <w:rPr>
          <w:rFonts w:ascii="Arial" w:hAnsi="Arial" w:cs="Arial"/>
        </w:rPr>
        <w:t>deb</w:t>
      </w:r>
      <w:r w:rsidR="00D94E85">
        <w:rPr>
          <w:rFonts w:ascii="Arial" w:hAnsi="Arial" w:cs="Arial"/>
        </w:rPr>
        <w:t xml:space="preserve">iera referirse a </w:t>
      </w:r>
      <w:r w:rsidR="00905A75" w:rsidRPr="00905A75">
        <w:rPr>
          <w:rFonts w:ascii="Arial" w:hAnsi="Arial" w:cs="Arial"/>
        </w:rPr>
        <w:t xml:space="preserve">deudas </w:t>
      </w:r>
      <w:r>
        <w:rPr>
          <w:rFonts w:ascii="Arial" w:hAnsi="Arial" w:cs="Arial"/>
        </w:rPr>
        <w:t xml:space="preserve">incuestionables o </w:t>
      </w:r>
      <w:r w:rsidR="00905A75" w:rsidRPr="00905A75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consten en títulos ejecutivos indubitados o en sentencias</w:t>
      </w:r>
      <w:r w:rsidR="00905A75" w:rsidRPr="00905A75">
        <w:rPr>
          <w:rFonts w:ascii="Arial" w:hAnsi="Arial" w:cs="Arial"/>
        </w:rPr>
        <w:t xml:space="preserve"> firmes y ejecutoriadas</w:t>
      </w:r>
      <w:r w:rsidR="00D94E85">
        <w:rPr>
          <w:rFonts w:ascii="Arial" w:hAnsi="Arial" w:cs="Arial"/>
        </w:rPr>
        <w:t>.</w:t>
      </w:r>
    </w:p>
    <w:p w:rsidR="00D94E85" w:rsidRDefault="00D94E85" w:rsidP="00D94E85">
      <w:pPr>
        <w:pStyle w:val="Prrafodelista"/>
        <w:spacing w:line="276" w:lineRule="auto"/>
        <w:ind w:left="76"/>
        <w:jc w:val="both"/>
        <w:rPr>
          <w:rFonts w:ascii="Arial" w:hAnsi="Arial" w:cs="Arial"/>
        </w:rPr>
      </w:pPr>
    </w:p>
    <w:p w:rsidR="00905A75" w:rsidRPr="00874FFB" w:rsidRDefault="00874FFB" w:rsidP="00874FFB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74FFB">
        <w:rPr>
          <w:rFonts w:ascii="Arial" w:hAnsi="Arial" w:cs="Arial"/>
        </w:rPr>
        <w:t>En la l</w:t>
      </w:r>
      <w:r w:rsidR="00905A75" w:rsidRPr="00874FFB">
        <w:rPr>
          <w:rFonts w:ascii="Arial" w:hAnsi="Arial" w:cs="Arial"/>
        </w:rPr>
        <w:t xml:space="preserve">etra </w:t>
      </w:r>
      <w:r w:rsidR="002117D0" w:rsidRPr="00874FFB">
        <w:rPr>
          <w:rFonts w:ascii="Arial" w:hAnsi="Arial" w:cs="Arial"/>
        </w:rPr>
        <w:t>f)</w:t>
      </w:r>
      <w:r w:rsidRPr="00874FFB">
        <w:rPr>
          <w:rFonts w:ascii="Arial" w:hAnsi="Arial" w:cs="Arial"/>
        </w:rPr>
        <w:t>,</w:t>
      </w:r>
      <w:r w:rsidR="002117D0" w:rsidRPr="00874FFB">
        <w:rPr>
          <w:rFonts w:ascii="Arial" w:hAnsi="Arial" w:cs="Arial"/>
        </w:rPr>
        <w:t xml:space="preserve"> </w:t>
      </w:r>
      <w:r w:rsidR="00905A75" w:rsidRPr="00874FFB">
        <w:rPr>
          <w:rFonts w:ascii="Arial" w:hAnsi="Arial" w:cs="Arial"/>
        </w:rPr>
        <w:t xml:space="preserve">la ley </w:t>
      </w:r>
      <w:r w:rsidRPr="00874FFB">
        <w:rPr>
          <w:rFonts w:ascii="Arial" w:hAnsi="Arial" w:cs="Arial"/>
        </w:rPr>
        <w:t>19.995</w:t>
      </w:r>
      <w:r w:rsidR="00D94E85">
        <w:rPr>
          <w:rFonts w:ascii="Arial" w:hAnsi="Arial" w:cs="Arial"/>
        </w:rPr>
        <w:t>, en su texto</w:t>
      </w:r>
      <w:r w:rsidRPr="00874FFB">
        <w:rPr>
          <w:rFonts w:ascii="Arial" w:hAnsi="Arial" w:cs="Arial"/>
        </w:rPr>
        <w:t xml:space="preserve"> anterior a las modificaciones que le introdujo la l</w:t>
      </w:r>
      <w:r w:rsidRPr="00874FFB">
        <w:rPr>
          <w:rFonts w:ascii="Arial" w:hAnsi="Arial" w:cs="Arial"/>
          <w:lang w:val="es-CL"/>
        </w:rPr>
        <w:t>ey 20.856 de 11.08.2015</w:t>
      </w:r>
      <w:r w:rsidR="00D94E85">
        <w:rPr>
          <w:rFonts w:ascii="Arial" w:hAnsi="Arial" w:cs="Arial"/>
          <w:lang w:val="es-CL"/>
        </w:rPr>
        <w:t>,</w:t>
      </w:r>
      <w:r w:rsidR="00905A75" w:rsidRPr="00874FFB">
        <w:rPr>
          <w:rFonts w:ascii="Arial" w:hAnsi="Arial" w:cs="Arial"/>
        </w:rPr>
        <w:t xml:space="preserve"> no establecía </w:t>
      </w:r>
      <w:r>
        <w:rPr>
          <w:rFonts w:ascii="Arial" w:hAnsi="Arial" w:cs="Arial"/>
        </w:rPr>
        <w:t>ni definía</w:t>
      </w:r>
      <w:r w:rsidR="00905A75" w:rsidRPr="00874F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una “</w:t>
      </w:r>
      <w:r w:rsidR="00905A75" w:rsidRPr="00874FFB">
        <w:rPr>
          <w:rFonts w:ascii="Arial" w:hAnsi="Arial" w:cs="Arial"/>
        </w:rPr>
        <w:t>infracción grave</w:t>
      </w:r>
      <w:r>
        <w:rPr>
          <w:rFonts w:ascii="Arial" w:hAnsi="Arial" w:cs="Arial"/>
        </w:rPr>
        <w:t>”</w:t>
      </w:r>
      <w:r w:rsidR="00905A75" w:rsidRPr="00874FFB">
        <w:rPr>
          <w:rFonts w:ascii="Arial" w:hAnsi="Arial" w:cs="Arial"/>
        </w:rPr>
        <w:t xml:space="preserve">, por </w:t>
      </w:r>
      <w:r>
        <w:rPr>
          <w:rFonts w:ascii="Arial" w:hAnsi="Arial" w:cs="Arial"/>
        </w:rPr>
        <w:t>lo que</w:t>
      </w:r>
      <w:r w:rsidR="00905A75" w:rsidRPr="00874F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esta letra f) </w:t>
      </w:r>
      <w:r w:rsidR="00905A75" w:rsidRPr="00874FFB">
        <w:rPr>
          <w:rFonts w:ascii="Arial" w:hAnsi="Arial" w:cs="Arial"/>
        </w:rPr>
        <w:t>no puede aplicarse</w:t>
      </w:r>
      <w:r>
        <w:rPr>
          <w:rFonts w:ascii="Arial" w:hAnsi="Arial" w:cs="Arial"/>
        </w:rPr>
        <w:t xml:space="preserve"> para sanciones anteriores a esa modificación</w:t>
      </w:r>
      <w:r w:rsidR="00905A75" w:rsidRPr="00874FFB">
        <w:rPr>
          <w:rFonts w:ascii="Arial" w:hAnsi="Arial" w:cs="Arial"/>
        </w:rPr>
        <w:t xml:space="preserve">. Respecto </w:t>
      </w:r>
      <w:r>
        <w:rPr>
          <w:rFonts w:ascii="Arial" w:hAnsi="Arial" w:cs="Arial"/>
        </w:rPr>
        <w:t xml:space="preserve">de la misma norma, en su segundo párrafo, que alude </w:t>
      </w:r>
      <w:r w:rsidR="00905A75" w:rsidRPr="00874FFB">
        <w:rPr>
          <w:rFonts w:ascii="Arial" w:hAnsi="Arial" w:cs="Arial"/>
        </w:rPr>
        <w:t>a sanciones homologables cometidas en el extranjero, deb</w:t>
      </w:r>
      <w:r w:rsidR="00D94E85">
        <w:rPr>
          <w:rFonts w:ascii="Arial" w:hAnsi="Arial" w:cs="Arial"/>
        </w:rPr>
        <w:t>iera</w:t>
      </w:r>
      <w:r w:rsidR="00905A75" w:rsidRPr="00874FFB">
        <w:rPr>
          <w:rFonts w:ascii="Arial" w:hAnsi="Arial" w:cs="Arial"/>
        </w:rPr>
        <w:t xml:space="preserve"> revisarse la legalidad de l</w:t>
      </w:r>
      <w:r w:rsidR="00D94E85">
        <w:rPr>
          <w:rFonts w:ascii="Arial" w:hAnsi="Arial" w:cs="Arial"/>
        </w:rPr>
        <w:t>a</w:t>
      </w:r>
      <w:r w:rsidR="00905A75" w:rsidRPr="00874FFB">
        <w:rPr>
          <w:rFonts w:ascii="Arial" w:hAnsi="Arial" w:cs="Arial"/>
        </w:rPr>
        <w:t xml:space="preserve"> disposición</w:t>
      </w:r>
      <w:r w:rsidR="00D94E85">
        <w:rPr>
          <w:rFonts w:ascii="Arial" w:hAnsi="Arial" w:cs="Arial"/>
        </w:rPr>
        <w:t>, por su extraterritorialidad,</w:t>
      </w:r>
      <w:r>
        <w:rPr>
          <w:rFonts w:ascii="Arial" w:hAnsi="Arial" w:cs="Arial"/>
        </w:rPr>
        <w:t xml:space="preserve"> y definir el concepto de homologación</w:t>
      </w:r>
      <w:r w:rsidR="00905A75" w:rsidRPr="00874FFB">
        <w:rPr>
          <w:rFonts w:ascii="Arial" w:hAnsi="Arial" w:cs="Arial"/>
        </w:rPr>
        <w:t>.</w:t>
      </w:r>
    </w:p>
    <w:p w:rsidR="002117D0" w:rsidRPr="00851B38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905A75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  <w:r w:rsidRPr="00692694">
        <w:rPr>
          <w:rFonts w:ascii="Arial" w:hAnsi="Arial" w:cs="Arial"/>
          <w:b/>
        </w:rPr>
        <w:t>Artículo 26.-</w:t>
      </w:r>
      <w:r w:rsidR="00874FFB">
        <w:rPr>
          <w:rFonts w:ascii="Arial" w:hAnsi="Arial" w:cs="Arial"/>
          <w:b/>
        </w:rPr>
        <w:t xml:space="preserve"> </w:t>
      </w:r>
      <w:r w:rsidR="00905A75">
        <w:rPr>
          <w:rFonts w:ascii="Arial" w:hAnsi="Arial" w:cs="Arial"/>
        </w:rPr>
        <w:t>Debe aclararse que los informes deben emitirse respecto de todos los postulantes.</w:t>
      </w:r>
    </w:p>
    <w:p w:rsidR="002117D0" w:rsidRPr="00851B38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2117D0" w:rsidRDefault="002117D0" w:rsidP="00905A75">
      <w:pPr>
        <w:spacing w:line="276" w:lineRule="auto"/>
        <w:ind w:left="-284"/>
        <w:jc w:val="both"/>
        <w:rPr>
          <w:rFonts w:ascii="Arial" w:hAnsi="Arial" w:cs="Arial"/>
        </w:rPr>
      </w:pPr>
      <w:r w:rsidRPr="00692694">
        <w:rPr>
          <w:rFonts w:ascii="Arial" w:hAnsi="Arial" w:cs="Arial"/>
          <w:b/>
        </w:rPr>
        <w:t>Artículo 27.-</w:t>
      </w:r>
      <w:r w:rsidR="00874FFB">
        <w:rPr>
          <w:rFonts w:ascii="Arial" w:hAnsi="Arial" w:cs="Arial"/>
          <w:b/>
        </w:rPr>
        <w:t xml:space="preserve"> </w:t>
      </w:r>
      <w:r w:rsidR="00905A75">
        <w:rPr>
          <w:rFonts w:ascii="Arial" w:hAnsi="Arial" w:cs="Arial"/>
        </w:rPr>
        <w:t>Existe contradicción con lo pedido en</w:t>
      </w:r>
      <w:r w:rsidR="00874FFB">
        <w:rPr>
          <w:rFonts w:ascii="Arial" w:hAnsi="Arial" w:cs="Arial"/>
        </w:rPr>
        <w:t xml:space="preserve"> el artículo 22 letra c) de</w:t>
      </w:r>
      <w:r w:rsidR="00905A75">
        <w:rPr>
          <w:rFonts w:ascii="Arial" w:hAnsi="Arial" w:cs="Arial"/>
        </w:rPr>
        <w:t xml:space="preserve"> la ley</w:t>
      </w:r>
      <w:r w:rsidR="00874FFB">
        <w:rPr>
          <w:rFonts w:ascii="Arial" w:hAnsi="Arial" w:cs="Arial"/>
        </w:rPr>
        <w:t>,</w:t>
      </w:r>
      <w:r w:rsidR="00905A75">
        <w:rPr>
          <w:rFonts w:ascii="Arial" w:hAnsi="Arial" w:cs="Arial"/>
        </w:rPr>
        <w:t xml:space="preserve"> en cuanto </w:t>
      </w:r>
      <w:r w:rsidR="00874FFB">
        <w:rPr>
          <w:rFonts w:ascii="Arial" w:hAnsi="Arial" w:cs="Arial"/>
        </w:rPr>
        <w:t>esta</w:t>
      </w:r>
      <w:r w:rsidR="00905A75">
        <w:rPr>
          <w:rFonts w:ascii="Arial" w:hAnsi="Arial" w:cs="Arial"/>
        </w:rPr>
        <w:t xml:space="preserve"> </w:t>
      </w:r>
      <w:r w:rsidR="00874FFB">
        <w:rPr>
          <w:rFonts w:ascii="Arial" w:hAnsi="Arial" w:cs="Arial"/>
        </w:rPr>
        <w:t xml:space="preserve">indica </w:t>
      </w:r>
      <w:r w:rsidR="00905A75">
        <w:rPr>
          <w:rFonts w:ascii="Arial" w:hAnsi="Arial" w:cs="Arial"/>
        </w:rPr>
        <w:t xml:space="preserve">que la </w:t>
      </w:r>
      <w:r w:rsidR="00874FFB">
        <w:rPr>
          <w:rFonts w:ascii="Arial" w:hAnsi="Arial" w:cs="Arial"/>
        </w:rPr>
        <w:t>I</w:t>
      </w:r>
      <w:r w:rsidR="00905A75">
        <w:rPr>
          <w:rFonts w:ascii="Arial" w:hAnsi="Arial" w:cs="Arial"/>
        </w:rPr>
        <w:t xml:space="preserve">ntendencia debe pronunciarse respecto al Impacto </w:t>
      </w:r>
      <w:r w:rsidR="00874FFB">
        <w:rPr>
          <w:rFonts w:ascii="Arial" w:hAnsi="Arial" w:cs="Arial"/>
        </w:rPr>
        <w:t xml:space="preserve">del casino </w:t>
      </w:r>
      <w:r w:rsidR="00905A75">
        <w:rPr>
          <w:rFonts w:ascii="Arial" w:hAnsi="Arial" w:cs="Arial"/>
        </w:rPr>
        <w:t xml:space="preserve">en el Desarrollo Regional y no sobre el </w:t>
      </w:r>
      <w:r w:rsidR="00874FFB">
        <w:rPr>
          <w:rFonts w:ascii="Arial" w:hAnsi="Arial" w:cs="Arial"/>
        </w:rPr>
        <w:t>“</w:t>
      </w:r>
      <w:r w:rsidR="00905A75">
        <w:rPr>
          <w:rFonts w:ascii="Arial" w:hAnsi="Arial" w:cs="Arial"/>
        </w:rPr>
        <w:t>proyecto de estrategia</w:t>
      </w:r>
      <w:r w:rsidR="00874FFB">
        <w:rPr>
          <w:rFonts w:ascii="Arial" w:hAnsi="Arial" w:cs="Arial"/>
        </w:rPr>
        <w:t>” de desarrollo regional, como pretende el Reglamento, sin definir tampoco ese proyecto.</w:t>
      </w:r>
    </w:p>
    <w:p w:rsidR="00874FFB" w:rsidRDefault="00874FFB" w:rsidP="00AA147A">
      <w:pPr>
        <w:spacing w:line="276" w:lineRule="auto"/>
        <w:ind w:left="-284"/>
        <w:jc w:val="both"/>
        <w:rPr>
          <w:rFonts w:ascii="Arial" w:hAnsi="Arial" w:cs="Arial"/>
        </w:rPr>
      </w:pPr>
    </w:p>
    <w:p w:rsidR="002E13B2" w:rsidRPr="002E13B2" w:rsidRDefault="00905A75" w:rsidP="002E13B2">
      <w:pPr>
        <w:spacing w:line="276" w:lineRule="auto"/>
        <w:ind w:left="-284"/>
        <w:jc w:val="both"/>
        <w:rPr>
          <w:rFonts w:ascii="Arial" w:hAnsi="Arial" w:cs="Arial"/>
          <w:lang w:val="es-CL"/>
        </w:rPr>
      </w:pPr>
      <w:r w:rsidRPr="00AA147A">
        <w:rPr>
          <w:rFonts w:ascii="Arial" w:hAnsi="Arial" w:cs="Arial"/>
        </w:rPr>
        <w:t>Deb</w:t>
      </w:r>
      <w:r w:rsidR="00D94E85">
        <w:rPr>
          <w:rFonts w:ascii="Arial" w:hAnsi="Arial" w:cs="Arial"/>
        </w:rPr>
        <w:t>iera</w:t>
      </w:r>
      <w:r w:rsidRPr="00AA147A">
        <w:rPr>
          <w:rFonts w:ascii="Arial" w:hAnsi="Arial" w:cs="Arial"/>
        </w:rPr>
        <w:t xml:space="preserve"> definirse</w:t>
      </w:r>
      <w:r w:rsidR="00D94E85">
        <w:rPr>
          <w:rFonts w:ascii="Arial" w:hAnsi="Arial" w:cs="Arial"/>
        </w:rPr>
        <w:t>,</w:t>
      </w:r>
      <w:r w:rsidRPr="00AA147A">
        <w:rPr>
          <w:rFonts w:ascii="Arial" w:hAnsi="Arial" w:cs="Arial"/>
        </w:rPr>
        <w:t xml:space="preserve"> además</w:t>
      </w:r>
      <w:r w:rsidR="00D94E85">
        <w:rPr>
          <w:rFonts w:ascii="Arial" w:hAnsi="Arial" w:cs="Arial"/>
        </w:rPr>
        <w:t>,</w:t>
      </w:r>
      <w:r w:rsidRPr="00AA147A">
        <w:rPr>
          <w:rFonts w:ascii="Arial" w:hAnsi="Arial" w:cs="Arial"/>
        </w:rPr>
        <w:t xml:space="preserve"> cu</w:t>
      </w:r>
      <w:r w:rsidR="00D94E85">
        <w:rPr>
          <w:rFonts w:ascii="Arial" w:hAnsi="Arial" w:cs="Arial"/>
        </w:rPr>
        <w:t>á</w:t>
      </w:r>
      <w:r w:rsidRPr="00AA147A">
        <w:rPr>
          <w:rFonts w:ascii="Arial" w:hAnsi="Arial" w:cs="Arial"/>
        </w:rPr>
        <w:t xml:space="preserve">les son los </w:t>
      </w:r>
      <w:r w:rsidR="002E13B2">
        <w:rPr>
          <w:rFonts w:ascii="Arial" w:hAnsi="Arial" w:cs="Arial"/>
        </w:rPr>
        <w:t>“</w:t>
      </w:r>
      <w:r w:rsidRPr="00AA147A">
        <w:rPr>
          <w:rFonts w:ascii="Arial" w:hAnsi="Arial" w:cs="Arial"/>
        </w:rPr>
        <w:t>antecedentes indispensables</w:t>
      </w:r>
      <w:r w:rsidR="002E13B2">
        <w:rPr>
          <w:rFonts w:ascii="Arial" w:hAnsi="Arial" w:cs="Arial"/>
        </w:rPr>
        <w:t>”</w:t>
      </w:r>
      <w:r w:rsidRPr="00AA147A">
        <w:rPr>
          <w:rFonts w:ascii="Arial" w:hAnsi="Arial" w:cs="Arial"/>
        </w:rPr>
        <w:t xml:space="preserve"> que </w:t>
      </w:r>
      <w:r w:rsidR="002E13B2">
        <w:rPr>
          <w:rFonts w:ascii="Arial" w:hAnsi="Arial" w:cs="Arial"/>
        </w:rPr>
        <w:t xml:space="preserve">la Superintendencia </w:t>
      </w:r>
      <w:r w:rsidRPr="00AA147A">
        <w:rPr>
          <w:rFonts w:ascii="Arial" w:hAnsi="Arial" w:cs="Arial"/>
        </w:rPr>
        <w:t xml:space="preserve">pondrá a disposición del Intendente y </w:t>
      </w:r>
      <w:r w:rsidR="002E13B2">
        <w:rPr>
          <w:rFonts w:ascii="Arial" w:hAnsi="Arial" w:cs="Arial"/>
        </w:rPr>
        <w:t xml:space="preserve">del </w:t>
      </w:r>
      <w:r w:rsidRPr="00AA147A">
        <w:rPr>
          <w:rFonts w:ascii="Arial" w:hAnsi="Arial" w:cs="Arial"/>
        </w:rPr>
        <w:t>Alcalde</w:t>
      </w:r>
      <w:r w:rsidR="002E13B2">
        <w:rPr>
          <w:rFonts w:ascii="Arial" w:hAnsi="Arial" w:cs="Arial"/>
        </w:rPr>
        <w:t xml:space="preserve"> para la emisión de sus informes y explicar por qué se limita a esas autoridades el acceso a otra información que la determinada por la Superintendencia</w:t>
      </w:r>
      <w:r w:rsidR="00AA147A" w:rsidRPr="00AA147A">
        <w:rPr>
          <w:rFonts w:ascii="Arial" w:hAnsi="Arial" w:cs="Arial"/>
        </w:rPr>
        <w:t>,</w:t>
      </w:r>
      <w:r w:rsidR="002E13B2">
        <w:rPr>
          <w:rFonts w:ascii="Arial" w:hAnsi="Arial" w:cs="Arial"/>
        </w:rPr>
        <w:t xml:space="preserve"> lo que, además, es</w:t>
      </w:r>
      <w:r w:rsidR="00AA147A" w:rsidRPr="00AA147A">
        <w:rPr>
          <w:rFonts w:ascii="Arial" w:hAnsi="Arial" w:cs="Arial"/>
        </w:rPr>
        <w:t xml:space="preserve"> contradictorio</w:t>
      </w:r>
      <w:r w:rsidR="00AA147A">
        <w:rPr>
          <w:rFonts w:ascii="Arial" w:hAnsi="Arial" w:cs="Arial"/>
        </w:rPr>
        <w:t xml:space="preserve"> con lo dispuesto en el artículo 22 inciso final de la Ley</w:t>
      </w:r>
      <w:r w:rsidR="002E13B2">
        <w:rPr>
          <w:rFonts w:ascii="Arial" w:hAnsi="Arial" w:cs="Arial"/>
        </w:rPr>
        <w:t xml:space="preserve"> 19.995, que prescribe que “</w:t>
      </w:r>
      <w:r w:rsidR="002E13B2" w:rsidRPr="002E13B2">
        <w:rPr>
          <w:rFonts w:ascii="Arial" w:hAnsi="Arial" w:cs="Arial"/>
          <w:lang w:val="es-CL"/>
        </w:rPr>
        <w:t>Los órganos requeridos y la Superintendencia podrán</w:t>
      </w:r>
      <w:r w:rsidR="002E13B2">
        <w:rPr>
          <w:rFonts w:ascii="Arial" w:hAnsi="Arial" w:cs="Arial"/>
          <w:lang w:val="es-CL"/>
        </w:rPr>
        <w:t xml:space="preserve"> </w:t>
      </w:r>
      <w:r w:rsidR="002E13B2" w:rsidRPr="002E13B2">
        <w:rPr>
          <w:rFonts w:ascii="Arial" w:hAnsi="Arial" w:cs="Arial"/>
          <w:lang w:val="es-CL"/>
        </w:rPr>
        <w:t>solicitar al postulante la información necesaria para mejor</w:t>
      </w:r>
      <w:r w:rsidR="002E13B2">
        <w:rPr>
          <w:rFonts w:ascii="Arial" w:hAnsi="Arial" w:cs="Arial"/>
          <w:lang w:val="es-CL"/>
        </w:rPr>
        <w:t xml:space="preserve"> </w:t>
      </w:r>
      <w:r w:rsidR="002E13B2" w:rsidRPr="002E13B2">
        <w:rPr>
          <w:rFonts w:ascii="Arial" w:hAnsi="Arial" w:cs="Arial"/>
          <w:lang w:val="es-CL"/>
        </w:rPr>
        <w:t>resolver y requerir las aclaraciones e informaciones</w:t>
      </w:r>
      <w:r w:rsidR="002E13B2">
        <w:rPr>
          <w:rFonts w:ascii="Arial" w:hAnsi="Arial" w:cs="Arial"/>
          <w:lang w:val="es-CL"/>
        </w:rPr>
        <w:t xml:space="preserve"> </w:t>
      </w:r>
      <w:r w:rsidR="002E13B2" w:rsidRPr="002E13B2">
        <w:rPr>
          <w:rFonts w:ascii="Arial" w:hAnsi="Arial" w:cs="Arial"/>
          <w:lang w:val="es-CL"/>
        </w:rPr>
        <w:t>complementarias que consideren oportunas</w:t>
      </w:r>
      <w:r w:rsidR="002E13B2">
        <w:rPr>
          <w:rFonts w:ascii="Arial" w:hAnsi="Arial" w:cs="Arial"/>
          <w:lang w:val="es-CL"/>
        </w:rPr>
        <w:t>”</w:t>
      </w:r>
      <w:r w:rsidR="002E13B2" w:rsidRPr="002E13B2">
        <w:rPr>
          <w:rFonts w:ascii="Arial" w:hAnsi="Arial" w:cs="Arial"/>
          <w:lang w:val="es-CL"/>
        </w:rPr>
        <w:t>.</w:t>
      </w:r>
    </w:p>
    <w:p w:rsidR="002117D0" w:rsidRPr="00D94E85" w:rsidRDefault="002117D0" w:rsidP="002117D0">
      <w:pPr>
        <w:spacing w:line="276" w:lineRule="auto"/>
        <w:ind w:left="-284"/>
        <w:jc w:val="both"/>
        <w:rPr>
          <w:rFonts w:ascii="Arial" w:hAnsi="Arial" w:cs="Arial"/>
          <w:lang w:val="es-CL"/>
        </w:rPr>
      </w:pPr>
    </w:p>
    <w:p w:rsidR="00AA147A" w:rsidRPr="00D94E85" w:rsidRDefault="002117D0" w:rsidP="00D94E85">
      <w:pPr>
        <w:spacing w:line="276" w:lineRule="auto"/>
        <w:ind w:left="-284"/>
        <w:jc w:val="both"/>
        <w:rPr>
          <w:rFonts w:ascii="Arial" w:hAnsi="Arial" w:cs="Arial"/>
          <w:b/>
        </w:rPr>
      </w:pPr>
      <w:r w:rsidRPr="00692694">
        <w:rPr>
          <w:rFonts w:ascii="Arial" w:hAnsi="Arial" w:cs="Arial"/>
          <w:b/>
        </w:rPr>
        <w:t>Artículo 29.-</w:t>
      </w:r>
      <w:r w:rsidR="00D94E85">
        <w:rPr>
          <w:rFonts w:ascii="Arial" w:hAnsi="Arial" w:cs="Arial"/>
          <w:b/>
        </w:rPr>
        <w:t xml:space="preserve"> </w:t>
      </w:r>
      <w:r w:rsidR="002E13B2">
        <w:rPr>
          <w:rFonts w:ascii="Arial" w:hAnsi="Arial" w:cs="Arial"/>
        </w:rPr>
        <w:t>Su l</w:t>
      </w:r>
      <w:r w:rsidR="00AA147A" w:rsidRPr="00AA147A">
        <w:rPr>
          <w:rFonts w:ascii="Arial" w:hAnsi="Arial" w:cs="Arial"/>
        </w:rPr>
        <w:t xml:space="preserve">etra </w:t>
      </w:r>
      <w:r w:rsidRPr="00AA147A">
        <w:rPr>
          <w:rFonts w:ascii="Arial" w:hAnsi="Arial" w:cs="Arial"/>
        </w:rPr>
        <w:t xml:space="preserve">e) </w:t>
      </w:r>
      <w:r w:rsidR="002E13B2">
        <w:rPr>
          <w:rFonts w:ascii="Arial" w:hAnsi="Arial" w:cs="Arial"/>
        </w:rPr>
        <w:t>se refiere a</w:t>
      </w:r>
      <w:r w:rsidR="00AA147A" w:rsidRPr="00AA147A">
        <w:rPr>
          <w:rFonts w:ascii="Arial" w:hAnsi="Arial" w:cs="Arial"/>
        </w:rPr>
        <w:t xml:space="preserve"> informes </w:t>
      </w:r>
      <w:r w:rsidR="002E13B2">
        <w:rPr>
          <w:rFonts w:ascii="Arial" w:hAnsi="Arial" w:cs="Arial"/>
        </w:rPr>
        <w:t>de</w:t>
      </w:r>
      <w:r w:rsidR="00AA147A" w:rsidRPr="00AA147A">
        <w:rPr>
          <w:rFonts w:ascii="Arial" w:hAnsi="Arial" w:cs="Arial"/>
        </w:rPr>
        <w:t xml:space="preserve"> Intendencia y Municipalidad </w:t>
      </w:r>
      <w:r w:rsidR="002E13B2">
        <w:rPr>
          <w:rFonts w:ascii="Arial" w:hAnsi="Arial" w:cs="Arial"/>
        </w:rPr>
        <w:t xml:space="preserve">que </w:t>
      </w:r>
      <w:r w:rsidR="00AA147A" w:rsidRPr="00AA147A">
        <w:rPr>
          <w:rFonts w:ascii="Arial" w:hAnsi="Arial" w:cs="Arial"/>
        </w:rPr>
        <w:t xml:space="preserve">ya han sido solicitados anteriormente, </w:t>
      </w:r>
      <w:r w:rsidR="002E13B2">
        <w:rPr>
          <w:rFonts w:ascii="Arial" w:hAnsi="Arial" w:cs="Arial"/>
        </w:rPr>
        <w:t xml:space="preserve">y, </w:t>
      </w:r>
      <w:r w:rsidR="00AA147A" w:rsidRPr="00AA147A">
        <w:rPr>
          <w:rFonts w:ascii="Arial" w:hAnsi="Arial" w:cs="Arial"/>
        </w:rPr>
        <w:t>por otra parte, amplia la norma al solicitar informes a l</w:t>
      </w:r>
      <w:r w:rsidR="002E13B2">
        <w:rPr>
          <w:rFonts w:ascii="Arial" w:hAnsi="Arial" w:cs="Arial"/>
        </w:rPr>
        <w:t>o</w:t>
      </w:r>
      <w:r w:rsidR="00AA147A" w:rsidRPr="00AA147A">
        <w:rPr>
          <w:rFonts w:ascii="Arial" w:hAnsi="Arial" w:cs="Arial"/>
        </w:rPr>
        <w:t xml:space="preserve">s </w:t>
      </w:r>
      <w:r w:rsidR="002E13B2">
        <w:rPr>
          <w:rFonts w:ascii="Arial" w:hAnsi="Arial" w:cs="Arial"/>
        </w:rPr>
        <w:t>demás “organismos</w:t>
      </w:r>
      <w:r w:rsidR="00AA147A" w:rsidRPr="00AA147A">
        <w:rPr>
          <w:rFonts w:ascii="Arial" w:hAnsi="Arial" w:cs="Arial"/>
        </w:rPr>
        <w:t xml:space="preserve"> que estime pertinentes</w:t>
      </w:r>
      <w:r w:rsidR="002E13B2">
        <w:rPr>
          <w:rFonts w:ascii="Arial" w:hAnsi="Arial" w:cs="Arial"/>
        </w:rPr>
        <w:t>”</w:t>
      </w:r>
      <w:r w:rsidR="00AA147A" w:rsidRPr="00AA147A">
        <w:rPr>
          <w:rFonts w:ascii="Arial" w:hAnsi="Arial" w:cs="Arial"/>
        </w:rPr>
        <w:t>, e</w:t>
      </w:r>
      <w:r w:rsidR="002E13B2">
        <w:rPr>
          <w:rFonts w:ascii="Arial" w:hAnsi="Arial" w:cs="Arial"/>
        </w:rPr>
        <w:t xml:space="preserve">xcediendo </w:t>
      </w:r>
      <w:r w:rsidR="00AA147A" w:rsidRPr="00AA147A">
        <w:rPr>
          <w:rFonts w:ascii="Arial" w:hAnsi="Arial" w:cs="Arial"/>
        </w:rPr>
        <w:t xml:space="preserve"> lo dispuesto en el artículo 23 de la Ley</w:t>
      </w:r>
      <w:r w:rsidR="002E13B2">
        <w:rPr>
          <w:rFonts w:ascii="Arial" w:hAnsi="Arial" w:cs="Arial"/>
        </w:rPr>
        <w:t>, que no le da esa facultad</w:t>
      </w:r>
      <w:r w:rsidR="00AA147A" w:rsidRPr="00AA147A">
        <w:rPr>
          <w:rFonts w:ascii="Arial" w:hAnsi="Arial" w:cs="Arial"/>
        </w:rPr>
        <w:t>.</w:t>
      </w:r>
    </w:p>
    <w:p w:rsidR="00AA147A" w:rsidRDefault="00AA147A" w:rsidP="002117D0">
      <w:pPr>
        <w:spacing w:line="276" w:lineRule="auto"/>
        <w:ind w:left="-284"/>
        <w:jc w:val="both"/>
        <w:rPr>
          <w:rFonts w:ascii="Arial" w:hAnsi="Arial" w:cs="Arial"/>
          <w:b/>
        </w:rPr>
      </w:pPr>
    </w:p>
    <w:p w:rsidR="00AA147A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  <w:r w:rsidRPr="00692694">
        <w:rPr>
          <w:rFonts w:ascii="Arial" w:hAnsi="Arial" w:cs="Arial"/>
          <w:b/>
        </w:rPr>
        <w:t>Artículo 30.-</w:t>
      </w:r>
      <w:r w:rsidR="002E13B2">
        <w:rPr>
          <w:rFonts w:ascii="Arial" w:hAnsi="Arial" w:cs="Arial"/>
          <w:b/>
        </w:rPr>
        <w:t xml:space="preserve"> </w:t>
      </w:r>
      <w:r w:rsidR="00AA147A">
        <w:rPr>
          <w:rFonts w:ascii="Arial" w:hAnsi="Arial" w:cs="Arial"/>
        </w:rPr>
        <w:t>Excede las materias de informe indicadas en la ley.</w:t>
      </w:r>
    </w:p>
    <w:p w:rsidR="00AA147A" w:rsidRDefault="00AA147A" w:rsidP="002117D0">
      <w:pPr>
        <w:spacing w:line="276" w:lineRule="auto"/>
        <w:ind w:left="-284"/>
        <w:jc w:val="both"/>
        <w:rPr>
          <w:rFonts w:ascii="Arial" w:hAnsi="Arial" w:cs="Arial"/>
          <w:b/>
        </w:rPr>
      </w:pPr>
    </w:p>
    <w:p w:rsidR="00180472" w:rsidRDefault="002117D0" w:rsidP="00180472">
      <w:pPr>
        <w:spacing w:line="276" w:lineRule="auto"/>
        <w:ind w:left="-284"/>
        <w:jc w:val="both"/>
        <w:rPr>
          <w:rFonts w:ascii="Arial" w:hAnsi="Arial" w:cs="Arial"/>
          <w:b/>
        </w:rPr>
      </w:pPr>
      <w:r w:rsidRPr="00692694">
        <w:rPr>
          <w:rFonts w:ascii="Arial" w:hAnsi="Arial" w:cs="Arial"/>
          <w:b/>
        </w:rPr>
        <w:t>Artículo 33.-</w:t>
      </w:r>
    </w:p>
    <w:p w:rsidR="00EC37BF" w:rsidRDefault="00EC37BF" w:rsidP="00180472">
      <w:pPr>
        <w:spacing w:line="276" w:lineRule="auto"/>
        <w:ind w:left="-284"/>
        <w:jc w:val="both"/>
        <w:rPr>
          <w:rFonts w:ascii="Arial" w:hAnsi="Arial" w:cs="Arial"/>
          <w:b/>
        </w:rPr>
      </w:pPr>
    </w:p>
    <w:p w:rsidR="00180472" w:rsidRDefault="00180472" w:rsidP="00180472">
      <w:pPr>
        <w:spacing w:line="276" w:lineRule="auto"/>
        <w:ind w:left="-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="002117D0" w:rsidRPr="00851B38">
        <w:rPr>
          <w:rFonts w:ascii="Arial" w:hAnsi="Arial" w:cs="Arial"/>
        </w:rPr>
        <w:t xml:space="preserve">1.- </w:t>
      </w:r>
      <w:r w:rsidR="00EC37BF">
        <w:rPr>
          <w:rFonts w:ascii="Arial" w:hAnsi="Arial" w:cs="Arial"/>
        </w:rPr>
        <w:t>Su l</w:t>
      </w:r>
      <w:r w:rsidR="00AA147A">
        <w:rPr>
          <w:rFonts w:ascii="Arial" w:hAnsi="Arial" w:cs="Arial"/>
        </w:rPr>
        <w:t xml:space="preserve">etra </w:t>
      </w:r>
      <w:r w:rsidR="002117D0" w:rsidRPr="00851B38">
        <w:rPr>
          <w:rFonts w:ascii="Arial" w:hAnsi="Arial" w:cs="Arial"/>
        </w:rPr>
        <w:t xml:space="preserve">b) </w:t>
      </w:r>
      <w:r w:rsidR="00AA147A">
        <w:rPr>
          <w:rFonts w:ascii="Arial" w:hAnsi="Arial" w:cs="Arial"/>
        </w:rPr>
        <w:t>debe adecuarse el concepto de informe al establecido en</w:t>
      </w:r>
      <w:r w:rsidR="002E13B2">
        <w:rPr>
          <w:rFonts w:ascii="Arial" w:hAnsi="Arial" w:cs="Arial"/>
        </w:rPr>
        <w:t xml:space="preserve"> el artículo 22 letra c) de</w:t>
      </w:r>
      <w:r w:rsidR="00AA147A">
        <w:rPr>
          <w:rFonts w:ascii="Arial" w:hAnsi="Arial" w:cs="Arial"/>
        </w:rPr>
        <w:t xml:space="preserve"> la Ley</w:t>
      </w:r>
      <w:r w:rsidR="002E13B2">
        <w:rPr>
          <w:rFonts w:ascii="Arial" w:hAnsi="Arial" w:cs="Arial"/>
        </w:rPr>
        <w:t xml:space="preserve"> 19.995</w:t>
      </w:r>
      <w:r w:rsidR="00AA147A">
        <w:rPr>
          <w:rFonts w:ascii="Arial" w:hAnsi="Arial" w:cs="Arial"/>
        </w:rPr>
        <w:t>.</w:t>
      </w:r>
    </w:p>
    <w:p w:rsidR="00180472" w:rsidRDefault="00180472" w:rsidP="00180472">
      <w:pPr>
        <w:spacing w:line="276" w:lineRule="auto"/>
        <w:ind w:left="-284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b/>
        </w:rPr>
        <w:t>-</w:t>
      </w:r>
      <w:r w:rsidR="002E13B2">
        <w:rPr>
          <w:rFonts w:ascii="Arial" w:hAnsi="Arial" w:cs="Arial"/>
          <w:b/>
        </w:rPr>
        <w:t xml:space="preserve"> </w:t>
      </w:r>
      <w:r w:rsidR="002117D0" w:rsidRPr="00851B38">
        <w:rPr>
          <w:rFonts w:ascii="Arial" w:hAnsi="Arial" w:cs="Arial"/>
        </w:rPr>
        <w:t xml:space="preserve">2.- </w:t>
      </w:r>
      <w:r>
        <w:rPr>
          <w:rFonts w:ascii="Arial" w:hAnsi="Arial" w:cs="Arial"/>
        </w:rPr>
        <w:t xml:space="preserve">Debe uniformarse </w:t>
      </w:r>
      <w:r w:rsidR="002E13B2">
        <w:rPr>
          <w:rFonts w:ascii="Arial" w:hAnsi="Arial" w:cs="Arial"/>
        </w:rPr>
        <w:t xml:space="preserve">el </w:t>
      </w:r>
      <w:r>
        <w:rPr>
          <w:rFonts w:ascii="Arial" w:hAnsi="Arial" w:cs="Arial"/>
        </w:rPr>
        <w:t>sistema de asignación de puntos.</w:t>
      </w:r>
    </w:p>
    <w:p w:rsidR="00180472" w:rsidRDefault="00180472" w:rsidP="00180472">
      <w:pPr>
        <w:spacing w:line="276" w:lineRule="auto"/>
        <w:ind w:left="-284"/>
        <w:jc w:val="both"/>
        <w:rPr>
          <w:rFonts w:ascii="Arial" w:hAnsi="Arial" w:cs="Arial"/>
        </w:rPr>
      </w:pPr>
      <w:r w:rsidRPr="00180472">
        <w:rPr>
          <w:rFonts w:ascii="Arial" w:hAnsi="Arial" w:cs="Arial"/>
          <w:b/>
        </w:rPr>
        <w:t>-</w:t>
      </w:r>
      <w:r w:rsidR="009E4A6F">
        <w:rPr>
          <w:rFonts w:ascii="Arial" w:hAnsi="Arial" w:cs="Arial"/>
          <w:b/>
        </w:rPr>
        <w:t xml:space="preserve"> </w:t>
      </w:r>
      <w:r w:rsidR="002117D0" w:rsidRPr="00180472">
        <w:rPr>
          <w:rFonts w:ascii="Arial" w:hAnsi="Arial" w:cs="Arial"/>
        </w:rPr>
        <w:t xml:space="preserve">5.- </w:t>
      </w:r>
      <w:r w:rsidR="009E4A6F">
        <w:rPr>
          <w:rFonts w:ascii="Arial" w:hAnsi="Arial" w:cs="Arial"/>
        </w:rPr>
        <w:t>l</w:t>
      </w:r>
      <w:r w:rsidRPr="00180472">
        <w:rPr>
          <w:rFonts w:ascii="Arial" w:hAnsi="Arial" w:cs="Arial"/>
        </w:rPr>
        <w:t xml:space="preserve">etra </w:t>
      </w:r>
      <w:r w:rsidR="002117D0" w:rsidRPr="00180472">
        <w:rPr>
          <w:rFonts w:ascii="Arial" w:hAnsi="Arial" w:cs="Arial"/>
        </w:rPr>
        <w:t>e)</w:t>
      </w:r>
      <w:r w:rsidR="00EC37BF">
        <w:rPr>
          <w:rFonts w:ascii="Arial" w:hAnsi="Arial" w:cs="Arial"/>
        </w:rPr>
        <w:t>.- N</w:t>
      </w:r>
      <w:r w:rsidRPr="00180472">
        <w:rPr>
          <w:rFonts w:ascii="Arial" w:hAnsi="Arial" w:cs="Arial"/>
        </w:rPr>
        <w:t>uevamente señala que la Superintendencia puede requerir</w:t>
      </w:r>
      <w:r w:rsidR="009E4A6F">
        <w:rPr>
          <w:rFonts w:ascii="Arial" w:hAnsi="Arial" w:cs="Arial"/>
        </w:rPr>
        <w:t xml:space="preserve"> otros </w:t>
      </w:r>
      <w:r w:rsidRPr="00180472">
        <w:rPr>
          <w:rFonts w:ascii="Arial" w:hAnsi="Arial" w:cs="Arial"/>
        </w:rPr>
        <w:t xml:space="preserve"> informes</w:t>
      </w:r>
      <w:r w:rsidR="009E4A6F">
        <w:rPr>
          <w:rFonts w:ascii="Arial" w:hAnsi="Arial" w:cs="Arial"/>
        </w:rPr>
        <w:t xml:space="preserve"> no dispuestos por ley.</w:t>
      </w:r>
      <w:r w:rsidRPr="00180472">
        <w:rPr>
          <w:rFonts w:ascii="Arial" w:hAnsi="Arial" w:cs="Arial"/>
        </w:rPr>
        <w:t xml:space="preserve"> Esta disposición deja al arbitrio de la Superintendencia poder resolver</w:t>
      </w:r>
      <w:r w:rsidR="009E4A6F">
        <w:rPr>
          <w:rFonts w:ascii="Arial" w:hAnsi="Arial" w:cs="Arial"/>
        </w:rPr>
        <w:t xml:space="preserve"> en base a tales informes</w:t>
      </w:r>
      <w:r w:rsidRPr="00180472">
        <w:rPr>
          <w:rFonts w:ascii="Arial" w:hAnsi="Arial" w:cs="Arial"/>
        </w:rPr>
        <w:t xml:space="preserve"> dejar fuera</w:t>
      </w:r>
      <w:r>
        <w:rPr>
          <w:rFonts w:ascii="Arial" w:hAnsi="Arial" w:cs="Arial"/>
        </w:rPr>
        <w:t xml:space="preserve"> del proceso de evaluación</w:t>
      </w:r>
      <w:r w:rsidR="009E4A6F">
        <w:rPr>
          <w:rFonts w:ascii="Arial" w:hAnsi="Arial" w:cs="Arial"/>
        </w:rPr>
        <w:t xml:space="preserve"> a uno o más postulantes</w:t>
      </w:r>
      <w:r>
        <w:rPr>
          <w:rFonts w:ascii="Arial" w:hAnsi="Arial" w:cs="Arial"/>
        </w:rPr>
        <w:t xml:space="preserve">, </w:t>
      </w:r>
      <w:r w:rsidR="009E4A6F">
        <w:rPr>
          <w:rFonts w:ascii="Arial" w:hAnsi="Arial" w:cs="Arial"/>
        </w:rPr>
        <w:t>por lo que es</w:t>
      </w:r>
      <w:r>
        <w:rPr>
          <w:rFonts w:ascii="Arial" w:hAnsi="Arial" w:cs="Arial"/>
        </w:rPr>
        <w:t>as facultades son excesiv</w:t>
      </w:r>
      <w:r w:rsidR="009E4A6F">
        <w:rPr>
          <w:rFonts w:ascii="Arial" w:hAnsi="Arial" w:cs="Arial"/>
        </w:rPr>
        <w:t>a</w:t>
      </w:r>
      <w:r>
        <w:rPr>
          <w:rFonts w:ascii="Arial" w:hAnsi="Arial" w:cs="Arial"/>
        </w:rPr>
        <w:t>s.</w:t>
      </w:r>
    </w:p>
    <w:p w:rsidR="002117D0" w:rsidRPr="00851B38" w:rsidRDefault="002117D0" w:rsidP="00180472">
      <w:pPr>
        <w:spacing w:line="276" w:lineRule="auto"/>
        <w:jc w:val="both"/>
        <w:rPr>
          <w:rFonts w:ascii="Arial" w:hAnsi="Arial" w:cs="Arial"/>
        </w:rPr>
      </w:pPr>
    </w:p>
    <w:p w:rsidR="002117D0" w:rsidRPr="00851B38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180472" w:rsidRDefault="002117D0" w:rsidP="00180472">
      <w:pPr>
        <w:spacing w:line="276" w:lineRule="auto"/>
        <w:ind w:left="-284"/>
        <w:jc w:val="both"/>
        <w:rPr>
          <w:rFonts w:ascii="Arial" w:hAnsi="Arial" w:cs="Arial"/>
        </w:rPr>
      </w:pPr>
      <w:r w:rsidRPr="005B183F">
        <w:rPr>
          <w:rFonts w:ascii="Arial" w:hAnsi="Arial" w:cs="Arial"/>
          <w:b/>
        </w:rPr>
        <w:lastRenderedPageBreak/>
        <w:t>Artículo 34.-</w:t>
      </w:r>
    </w:p>
    <w:p w:rsidR="00EC37BF" w:rsidRDefault="00EC37BF" w:rsidP="00180472">
      <w:pPr>
        <w:spacing w:line="276" w:lineRule="auto"/>
        <w:ind w:left="-284"/>
        <w:jc w:val="both"/>
        <w:rPr>
          <w:rFonts w:ascii="Arial" w:hAnsi="Arial" w:cs="Arial"/>
        </w:rPr>
      </w:pPr>
    </w:p>
    <w:p w:rsidR="00180472" w:rsidRDefault="00180472" w:rsidP="00180472">
      <w:pPr>
        <w:spacing w:line="276" w:lineRule="auto"/>
        <w:ind w:lef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Número </w:t>
      </w:r>
      <w:r w:rsidR="002117D0" w:rsidRPr="00CF447E">
        <w:rPr>
          <w:rFonts w:ascii="Arial" w:hAnsi="Arial" w:cs="Arial"/>
        </w:rPr>
        <w:t>2.-</w:t>
      </w:r>
      <w:r>
        <w:rPr>
          <w:rFonts w:ascii="Arial" w:hAnsi="Arial" w:cs="Arial"/>
        </w:rPr>
        <w:t xml:space="preserve"> </w:t>
      </w:r>
      <w:r w:rsidR="00EC37B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ambia las condiciones que fueron ofrecidas para postular el año 2006, dado que las inversiones </w:t>
      </w:r>
      <w:r w:rsidR="009E4A6F">
        <w:rPr>
          <w:rFonts w:ascii="Arial" w:hAnsi="Arial" w:cs="Arial"/>
        </w:rPr>
        <w:t xml:space="preserve">de entonces </w:t>
      </w:r>
      <w:r>
        <w:rPr>
          <w:rFonts w:ascii="Arial" w:hAnsi="Arial" w:cs="Arial"/>
        </w:rPr>
        <w:t xml:space="preserve">se efectuaron teniendo presente que </w:t>
      </w:r>
      <w:r w:rsidR="009E4A6F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las serían </w:t>
      </w:r>
      <w:r w:rsidR="009E4A6F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>factor a considerar al momento de renovar los permisos de operación.</w:t>
      </w:r>
      <w:r w:rsidR="009E4A6F">
        <w:rPr>
          <w:rFonts w:ascii="Arial" w:hAnsi="Arial" w:cs="Arial"/>
        </w:rPr>
        <w:t xml:space="preserve"> No es razonable que se estime que inversiones tan cuantiosas como las efectuadas en esa época puedan perder todo valor sólo en 15 años.  </w:t>
      </w:r>
    </w:p>
    <w:p w:rsidR="009E4A6F" w:rsidRDefault="009E4A6F" w:rsidP="00180472">
      <w:pPr>
        <w:spacing w:line="276" w:lineRule="auto"/>
        <w:ind w:left="-284"/>
        <w:jc w:val="both"/>
        <w:rPr>
          <w:rFonts w:ascii="Arial" w:hAnsi="Arial" w:cs="Arial"/>
        </w:rPr>
      </w:pPr>
    </w:p>
    <w:p w:rsidR="002117D0" w:rsidRPr="00636B98" w:rsidRDefault="00180472" w:rsidP="00173223">
      <w:pPr>
        <w:spacing w:line="276" w:lineRule="auto"/>
        <w:ind w:left="-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Número </w:t>
      </w:r>
      <w:r w:rsidR="00173223">
        <w:rPr>
          <w:rFonts w:ascii="Arial" w:hAnsi="Arial" w:cs="Arial"/>
        </w:rPr>
        <w:t>3.</w:t>
      </w:r>
      <w:r w:rsidR="00EC37BF">
        <w:rPr>
          <w:rFonts w:ascii="Arial" w:hAnsi="Arial" w:cs="Arial"/>
        </w:rPr>
        <w:t>-</w:t>
      </w:r>
      <w:r w:rsidR="00173223">
        <w:rPr>
          <w:rFonts w:ascii="Arial" w:hAnsi="Arial" w:cs="Arial"/>
        </w:rPr>
        <w:t xml:space="preserve"> El sistema establecido en esa disposición implica la aplicación de Supervisión basada en riesgos, lo que es improcedente.</w:t>
      </w:r>
    </w:p>
    <w:p w:rsidR="002117D0" w:rsidRPr="008105E2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173223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  <w:r w:rsidRPr="005B183F">
        <w:rPr>
          <w:rFonts w:ascii="Arial" w:hAnsi="Arial" w:cs="Arial"/>
          <w:b/>
        </w:rPr>
        <w:t>Artículo 37.-</w:t>
      </w:r>
      <w:r w:rsidR="00173223">
        <w:rPr>
          <w:rFonts w:ascii="Arial" w:hAnsi="Arial" w:cs="Arial"/>
        </w:rPr>
        <w:t xml:space="preserve"> La solicitud de informes adicionales es contrari</w:t>
      </w:r>
      <w:r w:rsidR="009E4A6F">
        <w:rPr>
          <w:rFonts w:ascii="Arial" w:hAnsi="Arial" w:cs="Arial"/>
        </w:rPr>
        <w:t>a</w:t>
      </w:r>
      <w:r w:rsidR="00173223">
        <w:rPr>
          <w:rFonts w:ascii="Arial" w:hAnsi="Arial" w:cs="Arial"/>
        </w:rPr>
        <w:t xml:space="preserve"> a la ley, además de no establecer un sistema objetivo de designación de las empresas que pueden informar.</w:t>
      </w:r>
    </w:p>
    <w:p w:rsidR="00173223" w:rsidRDefault="00173223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p w:rsidR="002117D0" w:rsidRPr="00C465B7" w:rsidRDefault="002117D0" w:rsidP="00173223">
      <w:pPr>
        <w:spacing w:line="276" w:lineRule="auto"/>
        <w:ind w:left="-284"/>
        <w:jc w:val="both"/>
        <w:rPr>
          <w:rFonts w:ascii="Arial" w:hAnsi="Arial" w:cs="Arial"/>
        </w:rPr>
      </w:pPr>
      <w:r w:rsidRPr="005B183F">
        <w:rPr>
          <w:rFonts w:ascii="Arial" w:hAnsi="Arial" w:cs="Arial"/>
          <w:b/>
        </w:rPr>
        <w:t>Artículo 38.-</w:t>
      </w:r>
      <w:r w:rsidR="009E4A6F">
        <w:rPr>
          <w:rFonts w:ascii="Arial" w:hAnsi="Arial" w:cs="Arial"/>
          <w:b/>
        </w:rPr>
        <w:t xml:space="preserve"> </w:t>
      </w:r>
      <w:r w:rsidR="00173223">
        <w:rPr>
          <w:rFonts w:ascii="Arial" w:hAnsi="Arial" w:cs="Arial"/>
        </w:rPr>
        <w:t>El Consejo Resolutivo deb</w:t>
      </w:r>
      <w:r w:rsidR="009E4A6F">
        <w:rPr>
          <w:rFonts w:ascii="Arial" w:hAnsi="Arial" w:cs="Arial"/>
        </w:rPr>
        <w:t>i</w:t>
      </w:r>
      <w:r w:rsidR="00173223">
        <w:rPr>
          <w:rFonts w:ascii="Arial" w:hAnsi="Arial" w:cs="Arial"/>
        </w:rPr>
        <w:t>e</w:t>
      </w:r>
      <w:r w:rsidR="009E4A6F">
        <w:rPr>
          <w:rFonts w:ascii="Arial" w:hAnsi="Arial" w:cs="Arial"/>
        </w:rPr>
        <w:t>ra</w:t>
      </w:r>
      <w:r w:rsidR="00173223">
        <w:rPr>
          <w:rFonts w:ascii="Arial" w:hAnsi="Arial" w:cs="Arial"/>
        </w:rPr>
        <w:t xml:space="preserve"> pronunciarse </w:t>
      </w:r>
      <w:r w:rsidR="009E4A6F">
        <w:rPr>
          <w:rFonts w:ascii="Arial" w:hAnsi="Arial" w:cs="Arial"/>
        </w:rPr>
        <w:t xml:space="preserve">también acerca </w:t>
      </w:r>
      <w:r w:rsidR="00173223">
        <w:rPr>
          <w:rFonts w:ascii="Arial" w:hAnsi="Arial" w:cs="Arial"/>
        </w:rPr>
        <w:t xml:space="preserve"> de la legalidad de la resolución que </w:t>
      </w:r>
      <w:r w:rsidR="009E4A6F">
        <w:rPr>
          <w:rFonts w:ascii="Arial" w:hAnsi="Arial" w:cs="Arial"/>
        </w:rPr>
        <w:t xml:space="preserve">ha </w:t>
      </w:r>
      <w:r w:rsidR="00173223">
        <w:rPr>
          <w:rFonts w:ascii="Arial" w:hAnsi="Arial" w:cs="Arial"/>
        </w:rPr>
        <w:t>deja</w:t>
      </w:r>
      <w:r w:rsidR="009E4A6F">
        <w:rPr>
          <w:rFonts w:ascii="Arial" w:hAnsi="Arial" w:cs="Arial"/>
        </w:rPr>
        <w:t>do</w:t>
      </w:r>
      <w:r w:rsidR="00173223">
        <w:rPr>
          <w:rFonts w:ascii="Arial" w:hAnsi="Arial" w:cs="Arial"/>
        </w:rPr>
        <w:t xml:space="preserve"> fuera de postulación a </w:t>
      </w:r>
      <w:r w:rsidR="009E4A6F">
        <w:rPr>
          <w:rFonts w:ascii="Arial" w:hAnsi="Arial" w:cs="Arial"/>
        </w:rPr>
        <w:t xml:space="preserve">otros </w:t>
      </w:r>
      <w:r w:rsidR="00173223">
        <w:rPr>
          <w:rFonts w:ascii="Arial" w:hAnsi="Arial" w:cs="Arial"/>
        </w:rPr>
        <w:t>participante</w:t>
      </w:r>
      <w:r w:rsidR="009E4A6F">
        <w:rPr>
          <w:rFonts w:ascii="Arial" w:hAnsi="Arial" w:cs="Arial"/>
        </w:rPr>
        <w:t>s en el proceso</w:t>
      </w:r>
      <w:r w:rsidR="00173223">
        <w:rPr>
          <w:rFonts w:ascii="Arial" w:hAnsi="Arial" w:cs="Arial"/>
        </w:rPr>
        <w:t>.</w:t>
      </w:r>
    </w:p>
    <w:p w:rsidR="00173223" w:rsidRDefault="00173223" w:rsidP="00173223">
      <w:pPr>
        <w:spacing w:line="276" w:lineRule="auto"/>
        <w:ind w:left="-284"/>
        <w:jc w:val="both"/>
        <w:rPr>
          <w:rFonts w:ascii="Arial" w:hAnsi="Arial" w:cs="Arial"/>
          <w:b/>
        </w:rPr>
      </w:pPr>
    </w:p>
    <w:p w:rsidR="00173223" w:rsidRPr="00D33013" w:rsidRDefault="00173223" w:rsidP="00173223">
      <w:pPr>
        <w:spacing w:line="276" w:lineRule="auto"/>
        <w:ind w:left="-284"/>
        <w:jc w:val="both"/>
        <w:rPr>
          <w:rFonts w:ascii="Arial" w:hAnsi="Arial" w:cs="Arial"/>
        </w:rPr>
      </w:pPr>
      <w:r w:rsidRPr="005B183F">
        <w:rPr>
          <w:rFonts w:ascii="Arial" w:hAnsi="Arial" w:cs="Arial"/>
          <w:b/>
        </w:rPr>
        <w:t>Artículo 52</w:t>
      </w:r>
      <w:bookmarkStart w:id="0" w:name="_GoBack"/>
      <w:bookmarkEnd w:id="0"/>
      <w:r w:rsidRPr="005B183F">
        <w:rPr>
          <w:rFonts w:ascii="Arial" w:hAnsi="Arial" w:cs="Arial"/>
          <w:b/>
        </w:rPr>
        <w:t>.-</w:t>
      </w:r>
      <w:r w:rsidR="009E4A6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Implica la aplicación del modelo de Supervisión Basado en Riesgos, lo que es improcedente.</w:t>
      </w:r>
    </w:p>
    <w:p w:rsidR="002117D0" w:rsidRPr="002117D0" w:rsidRDefault="002117D0" w:rsidP="002117D0">
      <w:pPr>
        <w:spacing w:line="276" w:lineRule="auto"/>
        <w:ind w:left="-284"/>
        <w:jc w:val="both"/>
        <w:rPr>
          <w:rFonts w:ascii="Arial" w:hAnsi="Arial" w:cs="Arial"/>
        </w:rPr>
      </w:pPr>
    </w:p>
    <w:sectPr w:rsidR="002117D0" w:rsidRPr="002117D0" w:rsidSect="003856C0">
      <w:pgSz w:w="12240" w:h="15840" w:code="1"/>
      <w:pgMar w:top="2268" w:right="1701" w:bottom="2381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C22"/>
    <w:multiLevelType w:val="hybridMultilevel"/>
    <w:tmpl w:val="D6E235BA"/>
    <w:lvl w:ilvl="0" w:tplc="11D698AE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2D9C6EE5"/>
    <w:multiLevelType w:val="hybridMultilevel"/>
    <w:tmpl w:val="967A5D76"/>
    <w:lvl w:ilvl="0" w:tplc="2F7C1E1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2117D0"/>
    <w:rsid w:val="00173223"/>
    <w:rsid w:val="00180472"/>
    <w:rsid w:val="002117D0"/>
    <w:rsid w:val="0028340D"/>
    <w:rsid w:val="002E13B2"/>
    <w:rsid w:val="003856C0"/>
    <w:rsid w:val="003B4034"/>
    <w:rsid w:val="0070284F"/>
    <w:rsid w:val="00757E97"/>
    <w:rsid w:val="007B53D5"/>
    <w:rsid w:val="007C14AF"/>
    <w:rsid w:val="007E36BF"/>
    <w:rsid w:val="00871030"/>
    <w:rsid w:val="00874FFB"/>
    <w:rsid w:val="008C02C6"/>
    <w:rsid w:val="00905A75"/>
    <w:rsid w:val="009E4A6F"/>
    <w:rsid w:val="00AA147A"/>
    <w:rsid w:val="00B11637"/>
    <w:rsid w:val="00D94E85"/>
    <w:rsid w:val="00EC3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7D0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2117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17D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17D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17D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17D0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871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7D0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2117D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117D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117D0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17D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17D0"/>
    <w:rPr>
      <w:rFonts w:ascii="Lucida Grande" w:eastAsia="Times New Roman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871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698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PROAS ABOGADOS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gonzalez</dc:creator>
  <cp:lastModifiedBy>Roberto d</cp:lastModifiedBy>
  <cp:revision>2</cp:revision>
  <cp:lastPrinted>2015-09-23T19:30:00Z</cp:lastPrinted>
  <dcterms:created xsi:type="dcterms:W3CDTF">2015-09-23T20:24:00Z</dcterms:created>
  <dcterms:modified xsi:type="dcterms:W3CDTF">2015-09-23T20:24:00Z</dcterms:modified>
</cp:coreProperties>
</file>