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0EC26" w14:textId="06963643" w:rsidR="0027633E" w:rsidRPr="009C3A3E" w:rsidRDefault="00CA6C7B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7820">
        <w:rPr>
          <w:sz w:val="28"/>
          <w:szCs w:val="28"/>
        </w:rPr>
        <w:t>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gene</w:t>
      </w:r>
      <w:r w:rsidR="00787820" w:rsidRPr="009C3A3E">
        <w:rPr>
          <w:sz w:val="28"/>
          <w:szCs w:val="28"/>
        </w:rPr>
        <w:t>raron</w:t>
      </w:r>
      <w:r w:rsidR="001914DF" w:rsidRPr="009C3A3E">
        <w:rPr>
          <w:sz w:val="28"/>
          <w:szCs w:val="28"/>
        </w:rPr>
        <w:t xml:space="preserve"> un aporte tributario</w:t>
      </w:r>
      <w:r w:rsidR="00787820" w:rsidRPr="009C3A3E">
        <w:rPr>
          <w:sz w:val="28"/>
          <w:szCs w:val="28"/>
        </w:rPr>
        <w:t xml:space="preserve"> de</w:t>
      </w:r>
      <w:r w:rsidR="001914DF" w:rsidRPr="009C3A3E">
        <w:rPr>
          <w:sz w:val="28"/>
          <w:szCs w:val="28"/>
        </w:rPr>
        <w:t xml:space="preserve"> </w:t>
      </w:r>
      <w:r w:rsidR="00E40D37" w:rsidRPr="009C3A3E">
        <w:rPr>
          <w:sz w:val="28"/>
          <w:szCs w:val="28"/>
        </w:rPr>
        <w:t xml:space="preserve">más </w:t>
      </w:r>
      <w:r w:rsidR="001914DF" w:rsidRPr="009C3A3E">
        <w:rPr>
          <w:sz w:val="28"/>
          <w:szCs w:val="28"/>
        </w:rPr>
        <w:t>$</w:t>
      </w:r>
      <w:r w:rsidR="0028027D" w:rsidRPr="009C3A3E">
        <w:rPr>
          <w:sz w:val="28"/>
          <w:szCs w:val="28"/>
        </w:rPr>
        <w:t>2</w:t>
      </w:r>
      <w:r w:rsidR="00841E68" w:rsidRPr="009C3A3E">
        <w:rPr>
          <w:sz w:val="28"/>
          <w:szCs w:val="28"/>
        </w:rPr>
        <w:t>.</w:t>
      </w:r>
      <w:r w:rsidR="005F0263">
        <w:rPr>
          <w:sz w:val="28"/>
          <w:szCs w:val="28"/>
        </w:rPr>
        <w:t>4</w:t>
      </w:r>
      <w:r w:rsidR="00787820" w:rsidRPr="009C3A3E">
        <w:rPr>
          <w:sz w:val="28"/>
          <w:szCs w:val="28"/>
        </w:rPr>
        <w:t>00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en</w:t>
      </w:r>
      <w:r w:rsidR="0028027D" w:rsidRPr="009C3A3E">
        <w:rPr>
          <w:sz w:val="28"/>
          <w:szCs w:val="28"/>
        </w:rPr>
        <w:t xml:space="preserve"> </w:t>
      </w:r>
      <w:r w:rsidR="005F0263">
        <w:rPr>
          <w:sz w:val="28"/>
          <w:szCs w:val="28"/>
        </w:rPr>
        <w:t>febrero de</w:t>
      </w:r>
      <w:r w:rsidR="00787820" w:rsidRPr="009C3A3E">
        <w:rPr>
          <w:sz w:val="28"/>
          <w:szCs w:val="28"/>
        </w:rPr>
        <w:t xml:space="preserve"> 202</w:t>
      </w:r>
      <w:r w:rsidR="0028027D" w:rsidRPr="009C3A3E">
        <w:rPr>
          <w:sz w:val="28"/>
          <w:szCs w:val="28"/>
        </w:rPr>
        <w:t>1</w:t>
      </w:r>
    </w:p>
    <w:p w14:paraId="52F5944B" w14:textId="1BC89047" w:rsidR="00E71238" w:rsidRPr="009C3A3E" w:rsidRDefault="009822E6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>
        <w:rPr>
          <w:i/>
          <w:sz w:val="22"/>
        </w:rPr>
        <w:t>Durante febrero, e</w:t>
      </w:r>
      <w:r w:rsidR="0028027D" w:rsidRPr="009C3A3E">
        <w:rPr>
          <w:i/>
          <w:sz w:val="22"/>
        </w:rPr>
        <w:t xml:space="preserve">n atención a las medidas sanitarias a causa de la pandemia, </w:t>
      </w:r>
      <w:r>
        <w:rPr>
          <w:i/>
          <w:sz w:val="22"/>
        </w:rPr>
        <w:t xml:space="preserve">19 de los 26 casinos que hay en el país </w:t>
      </w:r>
      <w:r w:rsidR="0028027D" w:rsidRPr="009C3A3E">
        <w:rPr>
          <w:i/>
          <w:sz w:val="22"/>
        </w:rPr>
        <w:t>pudieron operar</w:t>
      </w:r>
      <w:r>
        <w:rPr>
          <w:i/>
          <w:sz w:val="22"/>
        </w:rPr>
        <w:t xml:space="preserve">, </w:t>
      </w:r>
      <w:r w:rsidR="00A90545">
        <w:rPr>
          <w:i/>
          <w:sz w:val="22"/>
        </w:rPr>
        <w:t>pero</w:t>
      </w:r>
      <w:r w:rsidR="005F0263">
        <w:rPr>
          <w:i/>
          <w:sz w:val="22"/>
        </w:rPr>
        <w:t xml:space="preserve"> solo </w:t>
      </w:r>
      <w:r w:rsidR="004C5EE7">
        <w:rPr>
          <w:i/>
          <w:sz w:val="22"/>
        </w:rPr>
        <w:t>2</w:t>
      </w:r>
      <w:r w:rsidR="005F0263">
        <w:rPr>
          <w:i/>
          <w:sz w:val="22"/>
        </w:rPr>
        <w:t xml:space="preserve"> lo hicieron durante el mes completo.</w:t>
      </w:r>
      <w:r w:rsidR="001914DF" w:rsidRPr="009C3A3E">
        <w:rPr>
          <w:i/>
          <w:sz w:val="22"/>
        </w:rPr>
        <w:t xml:space="preserve"> </w:t>
      </w:r>
    </w:p>
    <w:p w14:paraId="671B6DB7" w14:textId="1B24FC88" w:rsidR="00841E68" w:rsidRPr="009C3A3E" w:rsidRDefault="0028027D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9C3A3E">
        <w:rPr>
          <w:i/>
          <w:sz w:val="22"/>
        </w:rPr>
        <w:t>La recaudación s</w:t>
      </w:r>
      <w:r w:rsidR="00CF73CD" w:rsidRPr="009C3A3E">
        <w:rPr>
          <w:i/>
          <w:sz w:val="22"/>
        </w:rPr>
        <w:t>e</w:t>
      </w:r>
      <w:r w:rsidR="001914DF" w:rsidRPr="009C3A3E">
        <w:rPr>
          <w:i/>
          <w:sz w:val="22"/>
        </w:rPr>
        <w:t xml:space="preserve"> distribuye en $</w:t>
      </w:r>
      <w:r w:rsidR="00CF73CD" w:rsidRPr="009C3A3E">
        <w:rPr>
          <w:i/>
          <w:sz w:val="22"/>
        </w:rPr>
        <w:t>1</w:t>
      </w:r>
      <w:r w:rsidRPr="009C3A3E">
        <w:rPr>
          <w:i/>
          <w:sz w:val="22"/>
        </w:rPr>
        <w:t>.</w:t>
      </w:r>
      <w:r w:rsidR="005F0263">
        <w:rPr>
          <w:i/>
          <w:sz w:val="22"/>
        </w:rPr>
        <w:t>134</w:t>
      </w:r>
      <w:r w:rsidR="001914DF" w:rsidRPr="009C3A3E">
        <w:rPr>
          <w:i/>
          <w:sz w:val="22"/>
        </w:rPr>
        <w:t xml:space="preserve"> millones pagados por los casinos 19.995 que se d</w:t>
      </w:r>
      <w:r w:rsidR="00CF73CD" w:rsidRPr="009C3A3E">
        <w:rPr>
          <w:i/>
          <w:sz w:val="22"/>
        </w:rPr>
        <w:t>estina</w:t>
      </w:r>
      <w:r w:rsidR="009B5316">
        <w:rPr>
          <w:i/>
          <w:sz w:val="22"/>
        </w:rPr>
        <w:t>ron</w:t>
      </w:r>
      <w:r w:rsidR="00CF73CD" w:rsidRPr="009C3A3E">
        <w:rPr>
          <w:i/>
          <w:sz w:val="22"/>
        </w:rPr>
        <w:t xml:space="preserve"> a las</w:t>
      </w:r>
      <w:r w:rsidR="001914DF" w:rsidRPr="009C3A3E">
        <w:rPr>
          <w:i/>
          <w:sz w:val="22"/>
        </w:rPr>
        <w:t xml:space="preserve"> comunas y gobierno regionales en que se ubican</w:t>
      </w:r>
      <w:r w:rsidR="00186B7F" w:rsidRPr="009C3A3E">
        <w:rPr>
          <w:i/>
          <w:sz w:val="22"/>
        </w:rPr>
        <w:t>, $</w:t>
      </w:r>
      <w:r w:rsidRPr="009C3A3E">
        <w:rPr>
          <w:i/>
          <w:sz w:val="22"/>
        </w:rPr>
        <w:t>1</w:t>
      </w:r>
      <w:r w:rsidR="00CF73CD" w:rsidRPr="009C3A3E">
        <w:rPr>
          <w:i/>
          <w:sz w:val="22"/>
        </w:rPr>
        <w:t>.</w:t>
      </w:r>
      <w:r w:rsidR="005F0263">
        <w:rPr>
          <w:i/>
          <w:sz w:val="22"/>
        </w:rPr>
        <w:t>091</w:t>
      </w:r>
      <w:r w:rsidR="00186B7F" w:rsidRPr="009C3A3E">
        <w:rPr>
          <w:i/>
          <w:sz w:val="22"/>
        </w:rPr>
        <w:t xml:space="preserve"> millones en</w:t>
      </w:r>
      <w:r w:rsidRPr="009C3A3E">
        <w:rPr>
          <w:i/>
          <w:sz w:val="22"/>
        </w:rPr>
        <w:t xml:space="preserve"> IVA al juego y</w:t>
      </w:r>
      <w:r w:rsidR="001914DF" w:rsidRPr="009C3A3E">
        <w:rPr>
          <w:i/>
          <w:sz w:val="22"/>
        </w:rPr>
        <w:t xml:space="preserve"> $</w:t>
      </w:r>
      <w:r w:rsidRPr="009C3A3E">
        <w:rPr>
          <w:i/>
          <w:sz w:val="22"/>
        </w:rPr>
        <w:t>2</w:t>
      </w:r>
      <w:r w:rsidR="005F0263">
        <w:rPr>
          <w:i/>
          <w:sz w:val="22"/>
        </w:rPr>
        <w:t>12</w:t>
      </w:r>
      <w:r w:rsidR="001914DF" w:rsidRPr="009C3A3E">
        <w:rPr>
          <w:i/>
          <w:sz w:val="22"/>
        </w:rPr>
        <w:t xml:space="preserve"> millones en </w:t>
      </w:r>
      <w:r w:rsidRPr="009C3A3E">
        <w:rPr>
          <w:i/>
          <w:sz w:val="22"/>
        </w:rPr>
        <w:t>impuesto a las entradas.</w:t>
      </w:r>
    </w:p>
    <w:p w14:paraId="157C7871" w14:textId="2FD9E6C1" w:rsidR="00B57DCD" w:rsidRPr="000D7975" w:rsidRDefault="00841E68" w:rsidP="000D7975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9C3A3E">
        <w:rPr>
          <w:i/>
          <w:sz w:val="22"/>
        </w:rPr>
        <w:t xml:space="preserve">Los casinos reabiertos tuvieron un nivel de operación que alcanzó a un </w:t>
      </w:r>
      <w:r w:rsidR="007368D5">
        <w:rPr>
          <w:i/>
          <w:sz w:val="22"/>
        </w:rPr>
        <w:t xml:space="preserve">65% de la actividad diaria </w:t>
      </w:r>
      <w:r w:rsidR="003D3437">
        <w:rPr>
          <w:i/>
          <w:sz w:val="22"/>
        </w:rPr>
        <w:t>de enero 2020</w:t>
      </w:r>
      <w:r w:rsidRPr="009C3A3E">
        <w:rPr>
          <w:i/>
          <w:sz w:val="22"/>
        </w:rPr>
        <w:t>.</w:t>
      </w:r>
    </w:p>
    <w:p w14:paraId="554E6C99" w14:textId="77777777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3CA900A6" w14:textId="2F7D810E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7CCCBC11" w14:textId="66715A48" w:rsidR="00B14621" w:rsidRPr="009C3A3E" w:rsidRDefault="00B14621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 xml:space="preserve">Los </w:t>
      </w:r>
      <w:r w:rsidR="003D3437">
        <w:rPr>
          <w:rFonts w:cstheme="minorHAnsi"/>
        </w:rPr>
        <w:t>1</w:t>
      </w:r>
      <w:r w:rsidR="004C5EE7">
        <w:rPr>
          <w:rFonts w:cstheme="minorHAnsi"/>
        </w:rPr>
        <w:t>4</w:t>
      </w:r>
      <w:r w:rsidRPr="009C3A3E">
        <w:rPr>
          <w:rFonts w:cstheme="minorHAnsi"/>
        </w:rPr>
        <w:t xml:space="preserve"> casinos autorizados por la Ley N°19.995 </w:t>
      </w:r>
      <w:r w:rsidR="003D3437">
        <w:rPr>
          <w:rFonts w:cstheme="minorHAnsi"/>
        </w:rPr>
        <w:t xml:space="preserve">que pudieron operar parcialmente en el mes de </w:t>
      </w:r>
      <w:r w:rsidR="005F0263">
        <w:rPr>
          <w:rFonts w:cstheme="minorHAnsi"/>
        </w:rPr>
        <w:t>febrero</w:t>
      </w:r>
      <w:r w:rsidR="003D3437">
        <w:rPr>
          <w:rFonts w:cstheme="minorHAnsi"/>
        </w:rPr>
        <w:t xml:space="preserve"> de 2020, </w:t>
      </w:r>
      <w:r w:rsidRPr="009C3A3E">
        <w:rPr>
          <w:rFonts w:cstheme="minorHAnsi"/>
        </w:rPr>
        <w:t xml:space="preserve">aportaron un </w:t>
      </w:r>
      <w:r w:rsidR="006F7CA6" w:rsidRPr="009C3A3E">
        <w:rPr>
          <w:rFonts w:cstheme="minorHAnsi"/>
        </w:rPr>
        <w:t xml:space="preserve">total </w:t>
      </w:r>
      <w:r w:rsidRPr="009C3A3E">
        <w:rPr>
          <w:rFonts w:cstheme="minorHAnsi"/>
        </w:rPr>
        <w:t>de $2.</w:t>
      </w:r>
      <w:r w:rsidR="005F0263">
        <w:rPr>
          <w:rFonts w:cstheme="minorHAnsi"/>
        </w:rPr>
        <w:t>436</w:t>
      </w:r>
      <w:r w:rsidRPr="009C3A3E">
        <w:rPr>
          <w:rFonts w:cstheme="minorHAnsi"/>
        </w:rPr>
        <w:t xml:space="preserve"> millones en impuestos, de los cuales $1.</w:t>
      </w:r>
      <w:r w:rsidR="005F0263">
        <w:rPr>
          <w:rFonts w:cstheme="minorHAnsi"/>
        </w:rPr>
        <w:t>134</w:t>
      </w:r>
      <w:r w:rsidRPr="009C3A3E">
        <w:rPr>
          <w:rFonts w:cstheme="minorHAnsi"/>
        </w:rPr>
        <w:t xml:space="preserve"> millones corresponden al impuesto específico al juego destinados a los Gobiernos Regionales y Municipalidades para el financiamiento de obras de desarrollo, además de la suma de $1.</w:t>
      </w:r>
      <w:r w:rsidR="005F0263">
        <w:rPr>
          <w:rFonts w:cstheme="minorHAnsi"/>
        </w:rPr>
        <w:t>091</w:t>
      </w:r>
      <w:r w:rsidRPr="009C3A3E">
        <w:rPr>
          <w:rFonts w:cstheme="minorHAnsi"/>
        </w:rPr>
        <w:t xml:space="preserve"> millones asociados al pago de IVA</w:t>
      </w:r>
      <w:r w:rsidR="003D3437">
        <w:rPr>
          <w:rFonts w:cstheme="minorHAnsi"/>
        </w:rPr>
        <w:t xml:space="preserve"> por los ingresos del juego</w:t>
      </w:r>
      <w:r w:rsidRPr="009C3A3E">
        <w:rPr>
          <w:rFonts w:cstheme="minorHAnsi"/>
        </w:rPr>
        <w:t xml:space="preserve"> y $2</w:t>
      </w:r>
      <w:r w:rsidR="005F0263">
        <w:rPr>
          <w:rFonts w:cstheme="minorHAnsi"/>
        </w:rPr>
        <w:t>12</w:t>
      </w:r>
      <w:r w:rsidRPr="009C3A3E">
        <w:rPr>
          <w:rFonts w:cstheme="minorHAnsi"/>
        </w:rPr>
        <w:t xml:space="preserve"> millones correspondientes al impuesto por entrada a las salas de juego, que se destinan a los fondos generales de la nación.</w:t>
      </w:r>
    </w:p>
    <w:p w14:paraId="24152A02" w14:textId="77777777" w:rsidR="00B14621" w:rsidRPr="009C3A3E" w:rsidRDefault="00B14621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A8ABCB1" w14:textId="730D1CE2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 xml:space="preserve">Los gobiernos regionales y las municipalidades reciben los fondos provenientes del impuesto específico al juego el mes subsiguiente del pago de </w:t>
      </w:r>
      <w:r w:rsidR="003D3437">
        <w:rPr>
          <w:rFonts w:cstheme="minorHAnsi"/>
        </w:rPr>
        <w:t>estos</w:t>
      </w:r>
      <w:r w:rsidRPr="009C3A3E">
        <w:rPr>
          <w:rFonts w:cstheme="minorHAnsi"/>
        </w:rPr>
        <w:t xml:space="preserve"> por parte de las sociedades operadoras. Por lo tanto, estos recursos serán recibidos por los gobiernos locales en </w:t>
      </w:r>
      <w:r w:rsidR="005F0263">
        <w:rPr>
          <w:rFonts w:cstheme="minorHAnsi"/>
        </w:rPr>
        <w:t>mayo</w:t>
      </w:r>
      <w:r w:rsidRPr="009C3A3E">
        <w:rPr>
          <w:rFonts w:cstheme="minorHAnsi"/>
        </w:rPr>
        <w:t xml:space="preserve"> de 2021. La distribución de los impuestos recaudados se muestra a continuación.</w:t>
      </w:r>
    </w:p>
    <w:p w14:paraId="55ADE08A" w14:textId="77777777" w:rsidR="000D7975" w:rsidRDefault="000D7975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tbl>
      <w:tblPr>
        <w:tblW w:w="90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2438"/>
        <w:gridCol w:w="1105"/>
        <w:gridCol w:w="1211"/>
        <w:gridCol w:w="1105"/>
        <w:gridCol w:w="1105"/>
        <w:gridCol w:w="1092"/>
      </w:tblGrid>
      <w:tr w:rsidR="00943C82" w:rsidRPr="00943C82" w14:paraId="10B9AC29" w14:textId="77777777" w:rsidTr="000D7975">
        <w:trPr>
          <w:trHeight w:val="296"/>
          <w:jc w:val="center"/>
        </w:trPr>
        <w:tc>
          <w:tcPr>
            <w:tcW w:w="9048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6C263484" w14:textId="0E2DECA2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</w:t>
            </w:r>
            <w:r w:rsidR="000D79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mpuestos recaudados</w:t>
            </w:r>
            <w:r w:rsidRPr="00943C8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 </w:t>
            </w:r>
            <w:r w:rsidR="000D79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febrero</w:t>
            </w:r>
            <w:r w:rsidRPr="00943C8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 202</w:t>
            </w:r>
            <w:r w:rsidR="000D79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 en casinos 19.995</w:t>
            </w:r>
            <w:r w:rsidRPr="00943C8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 ($ Millones)</w:t>
            </w:r>
          </w:p>
        </w:tc>
      </w:tr>
      <w:tr w:rsidR="00943C82" w:rsidRPr="00943C82" w14:paraId="19097682" w14:textId="77777777" w:rsidTr="000D7975">
        <w:trPr>
          <w:trHeight w:val="917"/>
          <w:jc w:val="center"/>
        </w:trPr>
        <w:tc>
          <w:tcPr>
            <w:tcW w:w="99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3E0E4C47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5912027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B8B4245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87A438E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657E8D67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43039B0F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109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C6064D7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0D7975" w:rsidRPr="00943C82" w14:paraId="68ED4A4E" w14:textId="77777777" w:rsidTr="000D7975">
        <w:trPr>
          <w:trHeight w:val="296"/>
          <w:jc w:val="center"/>
        </w:trPr>
        <w:tc>
          <w:tcPr>
            <w:tcW w:w="992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B140A02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Antofagasta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AD0ABB7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 Sol Calama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2588623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91ED3E3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EB3B03D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E7CE8E8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8FFD077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18,4</w:t>
            </w:r>
          </w:p>
        </w:tc>
      </w:tr>
      <w:tr w:rsidR="000D7975" w:rsidRPr="00943C82" w14:paraId="492627CE" w14:textId="77777777" w:rsidTr="000D7975">
        <w:trPr>
          <w:trHeight w:val="296"/>
          <w:jc w:val="center"/>
        </w:trPr>
        <w:tc>
          <w:tcPr>
            <w:tcW w:w="992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24893CF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55B679B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Antofagasta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EA28570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BE61B9D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5BE2EAE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C11781D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539E57F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73,9</w:t>
            </w:r>
          </w:p>
        </w:tc>
      </w:tr>
      <w:tr w:rsidR="000D7975" w:rsidRPr="00943C82" w14:paraId="2DDADC5F" w14:textId="77777777" w:rsidTr="000D7975">
        <w:trPr>
          <w:trHeight w:val="296"/>
          <w:jc w:val="center"/>
        </w:trPr>
        <w:tc>
          <w:tcPr>
            <w:tcW w:w="99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7D1EE9D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Atacama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BBBE2A4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 Casino &amp; Hotel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1F26CBE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C429396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1249DD0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26,5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4C6F081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F056AB1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58,8</w:t>
            </w:r>
          </w:p>
        </w:tc>
      </w:tr>
      <w:tr w:rsidR="000D7975" w:rsidRPr="00943C82" w14:paraId="1A143EA2" w14:textId="77777777" w:rsidTr="000D7975">
        <w:trPr>
          <w:trHeight w:val="296"/>
          <w:jc w:val="center"/>
        </w:trPr>
        <w:tc>
          <w:tcPr>
            <w:tcW w:w="992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044FAB5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Coquimbo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152D58F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1D7A6B1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922A2AD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0C7A08A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56691DF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AF6D347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155,0</w:t>
            </w:r>
          </w:p>
        </w:tc>
      </w:tr>
      <w:tr w:rsidR="000D7975" w:rsidRPr="00943C82" w14:paraId="49FB5400" w14:textId="77777777" w:rsidTr="000D7975">
        <w:trPr>
          <w:trHeight w:val="296"/>
          <w:jc w:val="center"/>
        </w:trPr>
        <w:tc>
          <w:tcPr>
            <w:tcW w:w="992" w:type="dxa"/>
            <w:vMerge w:val="restart"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5B39FCD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70631DF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3B40CE8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D5FF268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4E33642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BA5377A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C4E1152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165,4</w:t>
            </w:r>
          </w:p>
        </w:tc>
      </w:tr>
      <w:tr w:rsidR="000D7975" w:rsidRPr="00943C82" w14:paraId="506DB694" w14:textId="77777777" w:rsidTr="000D7975">
        <w:trPr>
          <w:trHeight w:val="296"/>
          <w:jc w:val="center"/>
        </w:trPr>
        <w:tc>
          <w:tcPr>
            <w:tcW w:w="992" w:type="dxa"/>
            <w:vMerge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vAlign w:val="center"/>
            <w:hideMark/>
          </w:tcPr>
          <w:p w14:paraId="49D25C57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62D555E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 de Rinconada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430AFDF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248,8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AD7C4BE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248,8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2A398D8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472,7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92B7EEB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4B0DF27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1.039,7</w:t>
            </w:r>
          </w:p>
        </w:tc>
      </w:tr>
      <w:tr w:rsidR="000D7975" w:rsidRPr="00943C82" w14:paraId="3F142470" w14:textId="77777777" w:rsidTr="000D7975">
        <w:trPr>
          <w:trHeight w:val="296"/>
          <w:jc w:val="center"/>
        </w:trPr>
        <w:tc>
          <w:tcPr>
            <w:tcW w:w="992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C023CAF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O´Higgins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CDED527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Sun Monticello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BA3E8E6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163,7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A2A8E14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D997CE4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45918AF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51,8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914D3F4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699,0</w:t>
            </w:r>
          </w:p>
        </w:tc>
      </w:tr>
      <w:tr w:rsidR="000D7975" w:rsidRPr="00943C82" w14:paraId="07DDEBEA" w14:textId="77777777" w:rsidTr="000D7975">
        <w:trPr>
          <w:trHeight w:val="296"/>
          <w:jc w:val="center"/>
        </w:trPr>
        <w:tc>
          <w:tcPr>
            <w:tcW w:w="992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2C6ACA4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AD9BBCA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E05EE4E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494007A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CE30F81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DD690C5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B7CA54A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53,7</w:t>
            </w:r>
          </w:p>
        </w:tc>
      </w:tr>
      <w:tr w:rsidR="000D7975" w:rsidRPr="00943C82" w14:paraId="68B7C625" w14:textId="77777777" w:rsidTr="000D7975">
        <w:trPr>
          <w:trHeight w:val="296"/>
          <w:jc w:val="center"/>
        </w:trPr>
        <w:tc>
          <w:tcPr>
            <w:tcW w:w="99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7B0364A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Bío bío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E1F9D41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DE0C7CA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35D6FEB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29B548C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C077851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59FA633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1,9</w:t>
            </w:r>
          </w:p>
        </w:tc>
      </w:tr>
      <w:tr w:rsidR="000D7975" w:rsidRPr="00943C82" w14:paraId="65B6E9F8" w14:textId="77777777" w:rsidTr="000D7975">
        <w:trPr>
          <w:trHeight w:val="296"/>
          <w:jc w:val="center"/>
        </w:trPr>
        <w:tc>
          <w:tcPr>
            <w:tcW w:w="99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D396E8D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Araucanía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F5313C1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129A8C2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63BE58D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2E25292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26,1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F86B115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D44712F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59,1</w:t>
            </w:r>
          </w:p>
        </w:tc>
      </w:tr>
      <w:tr w:rsidR="000D7975" w:rsidRPr="00943C82" w14:paraId="1C19322C" w14:textId="77777777" w:rsidTr="000D7975">
        <w:trPr>
          <w:trHeight w:val="296"/>
          <w:jc w:val="center"/>
        </w:trPr>
        <w:tc>
          <w:tcPr>
            <w:tcW w:w="99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53ABD64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Ríos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9806731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E038FAD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9ABC7A0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E160E8E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F3937B9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11BA1C2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36,9</w:t>
            </w:r>
          </w:p>
        </w:tc>
      </w:tr>
      <w:tr w:rsidR="000D7975" w:rsidRPr="00943C82" w14:paraId="35977930" w14:textId="77777777" w:rsidTr="000D7975">
        <w:trPr>
          <w:trHeight w:val="296"/>
          <w:jc w:val="center"/>
        </w:trPr>
        <w:tc>
          <w:tcPr>
            <w:tcW w:w="992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DA67949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687A672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D093918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5E02F6D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4883D0B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99A9DAC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B9F9EAE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3,5</w:t>
            </w:r>
          </w:p>
        </w:tc>
      </w:tr>
      <w:tr w:rsidR="000D7975" w:rsidRPr="00943C82" w14:paraId="3382DEB2" w14:textId="77777777" w:rsidTr="000D7975">
        <w:trPr>
          <w:trHeight w:val="296"/>
          <w:jc w:val="center"/>
        </w:trPr>
        <w:tc>
          <w:tcPr>
            <w:tcW w:w="992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F110992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BA8E56E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Chiloé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9767A10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1358E22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E9A6B6B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517C323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BA5D255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8,5</w:t>
            </w:r>
          </w:p>
        </w:tc>
      </w:tr>
      <w:tr w:rsidR="00943C82" w:rsidRPr="00943C82" w14:paraId="1726DB6C" w14:textId="77777777" w:rsidTr="000D7975">
        <w:trPr>
          <w:trHeight w:val="296"/>
          <w:jc w:val="center"/>
        </w:trPr>
        <w:tc>
          <w:tcPr>
            <w:tcW w:w="992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EA62802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759AA4C" w14:textId="77777777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5E6E9B9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6A115F4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13,5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CD410DF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27,0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E98360B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9,2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05E27B9" w14:textId="77777777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43C8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63,1</w:t>
            </w:r>
          </w:p>
        </w:tc>
      </w:tr>
      <w:tr w:rsidR="00943C82" w:rsidRPr="00943C82" w14:paraId="3E3D6081" w14:textId="77777777" w:rsidTr="000D7975">
        <w:trPr>
          <w:trHeight w:val="296"/>
          <w:jc w:val="center"/>
        </w:trPr>
        <w:tc>
          <w:tcPr>
            <w:tcW w:w="3430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002060"/>
            <w:noWrap/>
            <w:vAlign w:val="center"/>
          </w:tcPr>
          <w:p w14:paraId="3150959E" w14:textId="108ED22B" w:rsidR="00943C82" w:rsidRPr="00943C82" w:rsidRDefault="00943C82" w:rsidP="00943C8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D797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 w:rsidR="000D797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OTAL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002060"/>
            <w:noWrap/>
            <w:vAlign w:val="center"/>
          </w:tcPr>
          <w:p w14:paraId="7B88A05E" w14:textId="7E0E7FF2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566,9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002060"/>
            <w:noWrap/>
            <w:vAlign w:val="center"/>
          </w:tcPr>
          <w:p w14:paraId="437D2B69" w14:textId="0D4F5909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566,9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002060"/>
            <w:noWrap/>
            <w:vAlign w:val="center"/>
          </w:tcPr>
          <w:p w14:paraId="33F73F53" w14:textId="381753F6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1.090,8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002060"/>
            <w:noWrap/>
            <w:vAlign w:val="center"/>
          </w:tcPr>
          <w:p w14:paraId="2F452760" w14:textId="71FCC5DA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212,5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002060"/>
            <w:noWrap/>
            <w:vAlign w:val="center"/>
          </w:tcPr>
          <w:p w14:paraId="0B0447A6" w14:textId="093F32F6" w:rsidR="00943C82" w:rsidRPr="00943C82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2.437,0</w:t>
            </w:r>
          </w:p>
        </w:tc>
      </w:tr>
    </w:tbl>
    <w:p w14:paraId="3EBD3749" w14:textId="77777777" w:rsidR="009822E6" w:rsidRDefault="009822E6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4B2FA6E2" w14:textId="7853B7C0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lastRenderedPageBreak/>
        <w:t xml:space="preserve">Apertura de los casinos de juego durante </w:t>
      </w:r>
      <w:r w:rsidR="00A90545">
        <w:rPr>
          <w:rFonts w:cstheme="minorHAnsi"/>
          <w:b/>
          <w:bCs/>
        </w:rPr>
        <w:t>febrero</w:t>
      </w:r>
      <w:r w:rsidRPr="009C3A3E">
        <w:rPr>
          <w:rFonts w:cstheme="minorHAnsi"/>
          <w:b/>
          <w:bCs/>
        </w:rPr>
        <w:t xml:space="preserve"> 202</w:t>
      </w:r>
      <w:r w:rsidR="00A90545">
        <w:rPr>
          <w:rFonts w:cstheme="minorHAnsi"/>
          <w:b/>
          <w:bCs/>
        </w:rPr>
        <w:t>1</w:t>
      </w:r>
    </w:p>
    <w:p w14:paraId="0B36AA4B" w14:textId="77777777" w:rsidR="00B57DCD" w:rsidRPr="009C3A3E" w:rsidRDefault="00B57DCD" w:rsidP="00B0756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49F9072E" w14:textId="3F03E62D" w:rsidR="0054215E" w:rsidRPr="009C3A3E" w:rsidRDefault="0054215E" w:rsidP="00B07563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 xml:space="preserve">Durante </w:t>
      </w:r>
      <w:r w:rsidR="00A90545">
        <w:rPr>
          <w:rFonts w:cstheme="minorHAnsi"/>
        </w:rPr>
        <w:t>febrero</w:t>
      </w:r>
      <w:r w:rsidRPr="009C3A3E">
        <w:rPr>
          <w:rFonts w:cstheme="minorHAnsi"/>
        </w:rPr>
        <w:t xml:space="preserve"> </w:t>
      </w:r>
      <w:r w:rsidR="001914DF" w:rsidRPr="009C3A3E">
        <w:rPr>
          <w:rFonts w:cstheme="minorHAnsi"/>
        </w:rPr>
        <w:t>de</w:t>
      </w:r>
      <w:r w:rsidR="00F86F05" w:rsidRPr="009C3A3E">
        <w:rPr>
          <w:rFonts w:cstheme="minorHAnsi"/>
        </w:rPr>
        <w:t xml:space="preserve"> </w:t>
      </w:r>
      <w:r w:rsidR="009822E6">
        <w:rPr>
          <w:rFonts w:cstheme="minorHAnsi"/>
        </w:rPr>
        <w:t xml:space="preserve">este año, </w:t>
      </w:r>
      <w:r w:rsidR="004C5EE7">
        <w:rPr>
          <w:rFonts w:cstheme="minorHAnsi"/>
        </w:rPr>
        <w:t>19</w:t>
      </w:r>
      <w:r w:rsidR="00536AD9" w:rsidRPr="009C3A3E">
        <w:rPr>
          <w:rFonts w:cstheme="minorHAnsi"/>
          <w:sz w:val="28"/>
          <w:szCs w:val="28"/>
        </w:rPr>
        <w:t xml:space="preserve"> </w:t>
      </w:r>
      <w:r w:rsidR="00536AD9" w:rsidRPr="009C3A3E">
        <w:rPr>
          <w:rFonts w:cstheme="minorHAnsi"/>
        </w:rPr>
        <w:t xml:space="preserve">casinos de juego </w:t>
      </w:r>
      <w:r w:rsidRPr="009C3A3E">
        <w:rPr>
          <w:rFonts w:cstheme="minorHAnsi"/>
        </w:rPr>
        <w:t>pudieron</w:t>
      </w:r>
      <w:r w:rsidR="001914DF" w:rsidRPr="009C3A3E">
        <w:rPr>
          <w:rFonts w:cstheme="minorHAnsi"/>
        </w:rPr>
        <w:t xml:space="preserve"> opera</w:t>
      </w:r>
      <w:r w:rsidRPr="009C3A3E">
        <w:rPr>
          <w:rFonts w:cstheme="minorHAnsi"/>
        </w:rPr>
        <w:t>r</w:t>
      </w:r>
      <w:r w:rsidR="001914DF" w:rsidRPr="009C3A3E">
        <w:rPr>
          <w:rFonts w:cstheme="minorHAnsi"/>
        </w:rPr>
        <w:t>,</w:t>
      </w:r>
      <w:r w:rsidRPr="009C3A3E">
        <w:rPr>
          <w:rFonts w:cstheme="minorHAnsi"/>
        </w:rPr>
        <w:t xml:space="preserve"> 1</w:t>
      </w:r>
      <w:r w:rsidR="004C5EE7">
        <w:rPr>
          <w:rFonts w:cstheme="minorHAnsi"/>
        </w:rPr>
        <w:t>4</w:t>
      </w:r>
      <w:r w:rsidRPr="009C3A3E">
        <w:rPr>
          <w:rFonts w:cstheme="minorHAnsi"/>
        </w:rPr>
        <w:t xml:space="preserve"> de estos corresponden a recintos autorizados bajo la Ley N°19.995 y </w:t>
      </w:r>
      <w:r w:rsidR="00A90545">
        <w:rPr>
          <w:rFonts w:cstheme="minorHAnsi"/>
        </w:rPr>
        <w:t>5</w:t>
      </w:r>
      <w:r w:rsidRPr="009C3A3E">
        <w:rPr>
          <w:rFonts w:cstheme="minorHAnsi"/>
        </w:rPr>
        <w:t xml:space="preserve"> a casinos municipales.</w:t>
      </w:r>
      <w:r w:rsidR="005469D3" w:rsidRPr="009C3A3E">
        <w:rPr>
          <w:rFonts w:cstheme="minorHAnsi"/>
        </w:rPr>
        <w:t xml:space="preserve"> </w:t>
      </w:r>
      <w:r w:rsidR="00871017">
        <w:rPr>
          <w:rFonts w:cstheme="minorHAnsi"/>
        </w:rPr>
        <w:t>D</w:t>
      </w:r>
      <w:r w:rsidR="005469D3" w:rsidRPr="009C3A3E">
        <w:rPr>
          <w:rFonts w:cstheme="minorHAnsi"/>
        </w:rPr>
        <w:t xml:space="preserve">ebido a que las comunas en que se encuentran </w:t>
      </w:r>
      <w:r w:rsidR="009822E6">
        <w:rPr>
          <w:rFonts w:cstheme="minorHAnsi"/>
        </w:rPr>
        <w:t xml:space="preserve">ubicados </w:t>
      </w:r>
      <w:r w:rsidR="005469D3" w:rsidRPr="009C3A3E">
        <w:rPr>
          <w:rFonts w:cstheme="minorHAnsi"/>
        </w:rPr>
        <w:t xml:space="preserve">retrocedieron </w:t>
      </w:r>
      <w:r w:rsidR="003D3437">
        <w:rPr>
          <w:rFonts w:cstheme="minorHAnsi"/>
        </w:rPr>
        <w:t>a</w:t>
      </w:r>
      <w:r w:rsidR="009822E6">
        <w:rPr>
          <w:rFonts w:cstheme="minorHAnsi"/>
        </w:rPr>
        <w:t xml:space="preserve"> los Pasos 1 o 2 del </w:t>
      </w:r>
      <w:r w:rsidR="005469D3" w:rsidRPr="009C3A3E">
        <w:rPr>
          <w:rFonts w:cstheme="minorHAnsi"/>
        </w:rPr>
        <w:t>Plan Paso a Paso</w:t>
      </w:r>
      <w:r w:rsidR="00A90545">
        <w:rPr>
          <w:rFonts w:cstheme="minorHAnsi"/>
        </w:rPr>
        <w:t>, o bien avanzaron de</w:t>
      </w:r>
      <w:r w:rsidR="009822E6">
        <w:rPr>
          <w:rFonts w:cstheme="minorHAnsi"/>
        </w:rPr>
        <w:t xml:space="preserve"> paso, </w:t>
      </w:r>
      <w:r w:rsidR="00871017">
        <w:rPr>
          <w:rFonts w:cstheme="minorHAnsi"/>
        </w:rPr>
        <w:t>1</w:t>
      </w:r>
      <w:r w:rsidR="004C5EE7">
        <w:rPr>
          <w:rFonts w:cstheme="minorHAnsi"/>
        </w:rPr>
        <w:t>7</w:t>
      </w:r>
      <w:r w:rsidR="00871017">
        <w:rPr>
          <w:rFonts w:cstheme="minorHAnsi"/>
        </w:rPr>
        <w:t xml:space="preserve"> casinos tuvieron </w:t>
      </w:r>
      <w:r w:rsidR="00A90545">
        <w:rPr>
          <w:rFonts w:cstheme="minorHAnsi"/>
        </w:rPr>
        <w:t>una operación por solo algunos días del mes</w:t>
      </w:r>
      <w:r w:rsidR="005469D3" w:rsidRPr="009C3A3E">
        <w:rPr>
          <w:rFonts w:cstheme="minorHAnsi"/>
        </w:rPr>
        <w:t>. La siguiente tabla presenta el detalle de días abiertos por recinto</w:t>
      </w:r>
      <w:r w:rsidR="009822E6">
        <w:rPr>
          <w:rFonts w:cstheme="minorHAnsi"/>
        </w:rPr>
        <w:t>.</w:t>
      </w:r>
      <w:r w:rsidR="005469D3" w:rsidRPr="009C3A3E">
        <w:rPr>
          <w:rFonts w:cstheme="minorHAnsi"/>
        </w:rPr>
        <w:t xml:space="preserve"> </w:t>
      </w:r>
    </w:p>
    <w:p w14:paraId="098F1CBD" w14:textId="77777777" w:rsidR="0054215E" w:rsidRPr="009C3A3E" w:rsidRDefault="0054215E" w:rsidP="00B07563">
      <w:pPr>
        <w:tabs>
          <w:tab w:val="left" w:pos="0"/>
        </w:tabs>
        <w:spacing w:after="0" w:line="240" w:lineRule="auto"/>
        <w:rPr>
          <w:rFonts w:cstheme="minorHAnsi"/>
        </w:rPr>
      </w:pPr>
    </w:p>
    <w:tbl>
      <w:tblPr>
        <w:tblW w:w="7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1490"/>
        <w:gridCol w:w="1492"/>
      </w:tblGrid>
      <w:tr w:rsidR="005469D3" w:rsidRPr="009C3A3E" w14:paraId="77879354" w14:textId="77777777" w:rsidTr="00693EF8">
        <w:trPr>
          <w:trHeight w:val="330"/>
          <w:jc w:val="center"/>
        </w:trPr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</w:tcPr>
          <w:p w14:paraId="05826A6D" w14:textId="43A34160" w:rsidR="005469D3" w:rsidRPr="009C3A3E" w:rsidRDefault="005469D3" w:rsidP="00AB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CASINOS EN OPERACIÓN DURANTE DICIEMBRE</w:t>
            </w:r>
          </w:p>
        </w:tc>
      </w:tr>
      <w:tr w:rsidR="005469D3" w:rsidRPr="009C3A3E" w14:paraId="38CF269C" w14:textId="77777777" w:rsidTr="00693EF8">
        <w:trPr>
          <w:trHeight w:val="816"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72BEB23" w14:textId="77777777" w:rsidR="005469D3" w:rsidRPr="009C3A3E" w:rsidRDefault="005469D3" w:rsidP="00AB355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Casino operación parcial en noviembre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E86DA9" w14:textId="77777777" w:rsidR="005469D3" w:rsidRPr="009C3A3E" w:rsidRDefault="005469D3" w:rsidP="00AB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Comuna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C3E555" w14:textId="1E7AFA2B" w:rsidR="005469D3" w:rsidRPr="009C3A3E" w:rsidRDefault="005469D3" w:rsidP="00AB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Días de operación</w:t>
            </w:r>
          </w:p>
        </w:tc>
      </w:tr>
      <w:tr w:rsidR="00130C0E" w:rsidRPr="009C3A3E" w14:paraId="4E221B32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08FEEB" w14:textId="03CEE7B8" w:rsidR="00130C0E" w:rsidRPr="00693EF8" w:rsidRDefault="00130C0E" w:rsidP="00130C0E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Marina del Sol Calama </w:t>
            </w:r>
          </w:p>
        </w:tc>
        <w:tc>
          <w:tcPr>
            <w:tcW w:w="149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286BD1" w14:textId="0811C000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Calama</w:t>
            </w:r>
          </w:p>
        </w:tc>
        <w:tc>
          <w:tcPr>
            <w:tcW w:w="1492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BBD00E0" w14:textId="2DB5B56F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5</w:t>
            </w:r>
          </w:p>
        </w:tc>
      </w:tr>
      <w:tr w:rsidR="00130C0E" w:rsidRPr="009C3A3E" w14:paraId="28AF61A3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A36AB" w14:textId="174416C4" w:rsidR="00130C0E" w:rsidRPr="00693EF8" w:rsidRDefault="00130C0E" w:rsidP="00130C0E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Enjoy Antofagasta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FE802" w14:textId="3BC3645D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Antofagasta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45CCF" w14:textId="1E111F2E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6</w:t>
            </w:r>
          </w:p>
        </w:tc>
      </w:tr>
      <w:tr w:rsidR="00130C0E" w:rsidRPr="009C3A3E" w14:paraId="1B6D1321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DDF87F0" w14:textId="28DE40DB" w:rsidR="00130C0E" w:rsidRPr="00693EF8" w:rsidRDefault="00130C0E" w:rsidP="00130C0E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Antay Casino &amp; Hotel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36ECB8B" w14:textId="2CA4C770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Copiapó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C8366AC" w14:textId="63A31EDF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5</w:t>
            </w:r>
          </w:p>
        </w:tc>
      </w:tr>
      <w:tr w:rsidR="00130C0E" w:rsidRPr="009C3A3E" w14:paraId="4802914E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AC3C" w14:textId="4D33165A" w:rsidR="00130C0E" w:rsidRPr="00693EF8" w:rsidRDefault="00130C0E" w:rsidP="00130C0E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Ovalle Casino &amp; Resort </w:t>
            </w:r>
          </w:p>
        </w:tc>
        <w:tc>
          <w:tcPr>
            <w:tcW w:w="149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4C11" w14:textId="1ADC5CED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Ovalle</w:t>
            </w:r>
          </w:p>
        </w:tc>
        <w:tc>
          <w:tcPr>
            <w:tcW w:w="1492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12F2" w14:textId="08536E15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28</w:t>
            </w:r>
          </w:p>
        </w:tc>
      </w:tr>
      <w:tr w:rsidR="00130C0E" w:rsidRPr="009C3A3E" w14:paraId="09283C5C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58D3381" w14:textId="01DEDF77" w:rsidR="00130C0E" w:rsidRPr="00693EF8" w:rsidRDefault="00130C0E" w:rsidP="00130C0E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Casino del Pacífico  </w:t>
            </w:r>
          </w:p>
        </w:tc>
        <w:tc>
          <w:tcPr>
            <w:tcW w:w="149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4FDB15C" w14:textId="633D1756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San Antonio</w:t>
            </w:r>
          </w:p>
        </w:tc>
        <w:tc>
          <w:tcPr>
            <w:tcW w:w="1492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389D391" w14:textId="7FDF6F07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24</w:t>
            </w:r>
          </w:p>
        </w:tc>
      </w:tr>
      <w:tr w:rsidR="00130C0E" w:rsidRPr="009C3A3E" w14:paraId="4571DA81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473F" w14:textId="360219AC" w:rsidR="00130C0E" w:rsidRPr="00693EF8" w:rsidRDefault="00130C0E" w:rsidP="00130C0E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Enjoy Santiago 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3413" w14:textId="4BF6C59D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Rinconada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7DDD" w14:textId="185D41B1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28</w:t>
            </w:r>
          </w:p>
        </w:tc>
      </w:tr>
      <w:tr w:rsidR="00130C0E" w:rsidRPr="009C3A3E" w14:paraId="72F57055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BD859BC" w14:textId="4D557903" w:rsidR="00130C0E" w:rsidRPr="00693EF8" w:rsidRDefault="00130C0E" w:rsidP="00130C0E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Sun Monticello 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5F75716" w14:textId="0205F5E7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Mostazal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CD4E65F" w14:textId="15ADA657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11</w:t>
            </w:r>
          </w:p>
        </w:tc>
      </w:tr>
      <w:tr w:rsidR="00130C0E" w:rsidRPr="009C3A3E" w14:paraId="2CA1234C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5D7F" w14:textId="5706C74C" w:rsidR="00130C0E" w:rsidRPr="00693EF8" w:rsidRDefault="00130C0E" w:rsidP="00130C0E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Casino de Colchagua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AB46" w14:textId="5CAA1941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Santa Cruz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89F9" w14:textId="0BE5A247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11</w:t>
            </w:r>
          </w:p>
        </w:tc>
      </w:tr>
      <w:tr w:rsidR="00130C0E" w:rsidRPr="009C3A3E" w14:paraId="72C83836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7ADEA52" w14:textId="7B4D1F66" w:rsidR="00130C0E" w:rsidRPr="00693EF8" w:rsidRDefault="00130C0E" w:rsidP="00130C0E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Marina del Sol Talcahuano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60349B4" w14:textId="27DE1750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Talcahuano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272F7501" w14:textId="1FB9CF3A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1</w:t>
            </w:r>
          </w:p>
        </w:tc>
      </w:tr>
      <w:tr w:rsidR="00130C0E" w:rsidRPr="009C3A3E" w14:paraId="68A86647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01CB" w14:textId="1E931FC0" w:rsidR="00130C0E" w:rsidRPr="00693EF8" w:rsidRDefault="00130C0E" w:rsidP="00130C0E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Dreams Temuco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9BD7" w14:textId="692DADCC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Temuco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71CE" w14:textId="1E273673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5</w:t>
            </w:r>
          </w:p>
        </w:tc>
      </w:tr>
      <w:tr w:rsidR="00130C0E" w:rsidRPr="009C3A3E" w14:paraId="7DB83A36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8147B63" w14:textId="20AAA8EE" w:rsidR="00130C0E" w:rsidRPr="00693EF8" w:rsidRDefault="00130C0E" w:rsidP="00130C0E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Casino Valdivia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4CE48DA" w14:textId="59BAC942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Valdivia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8CD9C66" w14:textId="4F0BEC15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5</w:t>
            </w:r>
          </w:p>
        </w:tc>
      </w:tr>
      <w:tr w:rsidR="00130C0E" w:rsidRPr="009C3A3E" w14:paraId="0DE7B264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26C2" w14:textId="5B8285EB" w:rsidR="00130C0E" w:rsidRPr="00693EF8" w:rsidRDefault="00130C0E" w:rsidP="00130C0E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Marina del Sol Osorno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8F29" w14:textId="5F655E1C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Osorno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D197" w14:textId="4ED854B4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1</w:t>
            </w:r>
          </w:p>
        </w:tc>
      </w:tr>
      <w:tr w:rsidR="00130C0E" w:rsidRPr="009C3A3E" w14:paraId="645CD2D7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CD3D847" w14:textId="44DD4B1F" w:rsidR="00130C0E" w:rsidRPr="00693EF8" w:rsidRDefault="00130C0E" w:rsidP="00130C0E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Enjoy Chiloé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261CE214" w14:textId="1FA12B72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Castro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D19DB47" w14:textId="49CC128D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6</w:t>
            </w:r>
          </w:p>
        </w:tc>
      </w:tr>
      <w:tr w:rsidR="005469D3" w:rsidRPr="009C3A3E" w14:paraId="06A9495B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DAEB" w14:textId="0895648F" w:rsidR="005469D3" w:rsidRPr="00693EF8" w:rsidRDefault="00871017" w:rsidP="00AB355C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130C0E" w:rsidRPr="00693EF8">
              <w:rPr>
                <w:rFonts w:cstheme="minorHAnsi"/>
                <w:color w:val="002060"/>
                <w:sz w:val="20"/>
                <w:szCs w:val="20"/>
              </w:rPr>
              <w:t>Dreams Punta Arenas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2AB6" w14:textId="712A5D57" w:rsidR="005469D3" w:rsidRPr="00693EF8" w:rsidRDefault="005469D3" w:rsidP="00AB35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Pu</w:t>
            </w:r>
            <w:r w:rsidR="00130C0E"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nta Arenas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4A94" w14:textId="34599116" w:rsidR="005469D3" w:rsidRPr="00693EF8" w:rsidRDefault="00130C0E" w:rsidP="00AB355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cstheme="minorHAnsi"/>
                <w:color w:val="002060"/>
                <w:sz w:val="20"/>
                <w:szCs w:val="20"/>
              </w:rPr>
              <w:t>5</w:t>
            </w:r>
          </w:p>
        </w:tc>
      </w:tr>
      <w:tr w:rsidR="00130C0E" w:rsidRPr="009C3A3E" w14:paraId="46F50B0D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1B9DBFF" w14:textId="2E121D3B" w:rsidR="00130C0E" w:rsidRPr="00693EF8" w:rsidRDefault="00130C0E" w:rsidP="00130C0E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Dreams Iquique (casino municipal)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2397777" w14:textId="40E78532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Iquique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1A8E20F" w14:textId="16AFA390" w:rsidR="00130C0E" w:rsidRPr="00693EF8" w:rsidRDefault="00130C0E" w:rsidP="00130C0E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cstheme="minorHAnsi"/>
                <w:color w:val="002060"/>
                <w:sz w:val="20"/>
                <w:szCs w:val="20"/>
              </w:rPr>
              <w:t>5</w:t>
            </w:r>
          </w:p>
        </w:tc>
      </w:tr>
      <w:tr w:rsidR="00130C0E" w:rsidRPr="009C3A3E" w14:paraId="271D7975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783C" w14:textId="3278A0FB" w:rsidR="00130C0E" w:rsidRPr="00693EF8" w:rsidRDefault="00130C0E" w:rsidP="00130C0E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cstheme="minorHAnsi"/>
                <w:color w:val="002060"/>
                <w:sz w:val="20"/>
                <w:szCs w:val="20"/>
              </w:rPr>
              <w:t xml:space="preserve"> Enjoy Coquimbo (casino municipal)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5EC6" w14:textId="5FFA38E2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CEFC" w14:textId="33E0835F" w:rsidR="00130C0E" w:rsidRPr="00693EF8" w:rsidRDefault="00130C0E" w:rsidP="00130C0E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cstheme="minorHAnsi"/>
                <w:color w:val="002060"/>
                <w:sz w:val="20"/>
                <w:szCs w:val="20"/>
              </w:rPr>
              <w:t>10</w:t>
            </w:r>
          </w:p>
        </w:tc>
      </w:tr>
      <w:tr w:rsidR="00130C0E" w:rsidRPr="009C3A3E" w14:paraId="726BE84C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7907C69" w14:textId="5060083F" w:rsidR="00130C0E" w:rsidRPr="00693EF8" w:rsidRDefault="00130C0E" w:rsidP="00130C0E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cstheme="minorHAnsi"/>
                <w:color w:val="002060"/>
                <w:sz w:val="20"/>
                <w:szCs w:val="20"/>
              </w:rPr>
              <w:t>Enjoy Viña (casino municipal)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D01A715" w14:textId="1C8F85D6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Viña del Mar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373896D" w14:textId="3072BB8B" w:rsidR="00130C0E" w:rsidRPr="00693EF8" w:rsidRDefault="00130C0E" w:rsidP="00130C0E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cstheme="minorHAnsi"/>
                <w:color w:val="002060"/>
                <w:sz w:val="20"/>
                <w:szCs w:val="20"/>
              </w:rPr>
              <w:t>10</w:t>
            </w:r>
          </w:p>
        </w:tc>
      </w:tr>
      <w:tr w:rsidR="00130C0E" w:rsidRPr="009C3A3E" w14:paraId="5A432334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5227" w14:textId="7C778B58" w:rsidR="00130C0E" w:rsidRPr="00693EF8" w:rsidRDefault="00130C0E" w:rsidP="00130C0E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cstheme="minorHAnsi"/>
                <w:color w:val="002060"/>
                <w:sz w:val="20"/>
                <w:szCs w:val="20"/>
              </w:rPr>
              <w:t>Enjoy Pucón (casino municipal)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92C9" w14:textId="538EED46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Pucón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0315" w14:textId="27FB2626" w:rsidR="00130C0E" w:rsidRPr="00693EF8" w:rsidRDefault="00130C0E" w:rsidP="00130C0E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cstheme="minorHAnsi"/>
                <w:color w:val="002060"/>
                <w:sz w:val="20"/>
                <w:szCs w:val="20"/>
              </w:rPr>
              <w:t>10</w:t>
            </w:r>
          </w:p>
        </w:tc>
      </w:tr>
      <w:tr w:rsidR="00130C0E" w:rsidRPr="009C3A3E" w14:paraId="41C8EDAD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0F2F366" w14:textId="1851FEAA" w:rsidR="00130C0E" w:rsidRPr="00693EF8" w:rsidRDefault="00130C0E" w:rsidP="00130C0E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cstheme="minorHAnsi"/>
                <w:color w:val="002060"/>
                <w:sz w:val="20"/>
                <w:szCs w:val="20"/>
              </w:rPr>
              <w:t>Dreams Puerto Varas (casino municipal)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3705033" w14:textId="15811BEC" w:rsidR="00130C0E" w:rsidRPr="00693EF8" w:rsidRDefault="00130C0E" w:rsidP="00130C0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Puerto Varas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6C1543A" w14:textId="1518DF9D" w:rsidR="00130C0E" w:rsidRPr="00693EF8" w:rsidRDefault="00130C0E" w:rsidP="00130C0E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cstheme="minorHAnsi"/>
                <w:color w:val="002060"/>
                <w:sz w:val="20"/>
                <w:szCs w:val="20"/>
              </w:rPr>
              <w:t>2</w:t>
            </w:r>
          </w:p>
        </w:tc>
      </w:tr>
    </w:tbl>
    <w:p w14:paraId="1F5E9DF0" w14:textId="77777777" w:rsidR="0054215E" w:rsidRPr="009C3A3E" w:rsidRDefault="0054215E" w:rsidP="00B0756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709FF0E6" w14:textId="5106EC05" w:rsidR="00871017" w:rsidRDefault="00871017" w:rsidP="00A83902">
      <w:pPr>
        <w:tabs>
          <w:tab w:val="left" w:pos="0"/>
        </w:tabs>
        <w:spacing w:after="0" w:line="240" w:lineRule="auto"/>
        <w:rPr>
          <w:rFonts w:cstheme="minorHAnsi"/>
        </w:rPr>
      </w:pPr>
      <w:bookmarkStart w:id="0" w:name="_Hlk510430630"/>
      <w:r>
        <w:rPr>
          <w:rFonts w:cstheme="minorHAnsi"/>
        </w:rPr>
        <w:t xml:space="preserve">Asimismo, estuvieron cerrados durante todo el mes los casinos ubicados en las comunas de </w:t>
      </w:r>
      <w:r w:rsidR="00693EF8">
        <w:rPr>
          <w:rFonts w:cstheme="minorHAnsi"/>
        </w:rPr>
        <w:t xml:space="preserve">Arica, </w:t>
      </w:r>
      <w:r>
        <w:rPr>
          <w:rFonts w:cstheme="minorHAnsi"/>
        </w:rPr>
        <w:t xml:space="preserve">Talca, Chillán, Los Ángeles, </w:t>
      </w:r>
      <w:r w:rsidR="00A90545">
        <w:rPr>
          <w:rFonts w:cstheme="minorHAnsi"/>
        </w:rPr>
        <w:t>Coyhaique</w:t>
      </w:r>
      <w:r w:rsidR="00693EF8">
        <w:rPr>
          <w:rFonts w:cstheme="minorHAnsi"/>
        </w:rPr>
        <w:t xml:space="preserve"> y </w:t>
      </w:r>
      <w:r>
        <w:rPr>
          <w:rFonts w:cstheme="minorHAnsi"/>
        </w:rPr>
        <w:t>Natales</w:t>
      </w:r>
      <w:r w:rsidR="00A90545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41E458B" w14:textId="77777777" w:rsidR="00871017" w:rsidRDefault="00871017" w:rsidP="00A83902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FEB70E4" w14:textId="034ED81C" w:rsidR="00A83902" w:rsidRPr="009C3A3E" w:rsidRDefault="00A83902" w:rsidP="00A83902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 xml:space="preserve">El Protocolo de Manejo y Prevención ante COVID-19 en casinos y establecimientos de juego y entretención (disponible en: </w:t>
      </w:r>
      <w:hyperlink r:id="rId8" w:history="1">
        <w:r w:rsidRPr="009C3A3E">
          <w:rPr>
            <w:rStyle w:val="Hipervnculo"/>
            <w:rFonts w:cstheme="minorHAnsi"/>
          </w:rPr>
          <w:t>https://www.economia.gob.cl/2020/03/27/protocolos-sanitarios-para-funcionamiento-de-empresas.htm</w:t>
        </w:r>
      </w:hyperlink>
      <w:r w:rsidRPr="009C3A3E">
        <w:rPr>
          <w:rFonts w:cstheme="minorHAnsi"/>
        </w:rPr>
        <w:t>), permit</w:t>
      </w:r>
      <w:r w:rsidR="00871017">
        <w:rPr>
          <w:rFonts w:cstheme="minorHAnsi"/>
        </w:rPr>
        <w:t>ió</w:t>
      </w:r>
      <w:r w:rsidRPr="009C3A3E">
        <w:rPr>
          <w:rFonts w:cstheme="minorHAnsi"/>
        </w:rPr>
        <w:t xml:space="preserve"> la apertura gradual de los casinos de juego </w:t>
      </w:r>
      <w:r w:rsidR="009B5316">
        <w:rPr>
          <w:rFonts w:cstheme="minorHAnsi"/>
        </w:rPr>
        <w:t>ubicados</w:t>
      </w:r>
      <w:r w:rsidRPr="009C3A3E">
        <w:rPr>
          <w:rFonts w:cstheme="minorHAnsi"/>
        </w:rPr>
        <w:t xml:space="preserve"> en las comunas que se encuentren en los Pasos 3, 4 o 5, de acuerdo con las condiciones de resguardo sanitario que refiere el protocolo. </w:t>
      </w:r>
      <w:r w:rsidR="000627B3">
        <w:rPr>
          <w:rFonts w:cstheme="minorHAnsi"/>
        </w:rPr>
        <w:t>Asimismo, a partir del 19 de febrero se permitió la apertura de casinos en comunas en</w:t>
      </w:r>
      <w:r w:rsidR="009B5316">
        <w:rPr>
          <w:rFonts w:cstheme="minorHAnsi"/>
        </w:rPr>
        <w:t xml:space="preserve"> el</w:t>
      </w:r>
      <w:r w:rsidR="000627B3">
        <w:rPr>
          <w:rFonts w:cstheme="minorHAnsi"/>
        </w:rPr>
        <w:t xml:space="preserve"> Paso 2 del plan Paso a Paso, solo en terrazas y de lunes a viernes.</w:t>
      </w:r>
    </w:p>
    <w:p w14:paraId="3656DBB5" w14:textId="77777777" w:rsidR="00A83902" w:rsidRPr="009C3A3E" w:rsidRDefault="00A83902" w:rsidP="00A83902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4EEE601C" w14:textId="387D60B2" w:rsidR="00A83902" w:rsidRPr="009C3A3E" w:rsidRDefault="00A83902" w:rsidP="00A83902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>La reapertura de los recintos ubicados en aquellas comunas que se encuentren en los Pasos</w:t>
      </w:r>
      <w:r w:rsidR="000627B3">
        <w:rPr>
          <w:rFonts w:cstheme="minorHAnsi"/>
        </w:rPr>
        <w:t xml:space="preserve"> 2, </w:t>
      </w:r>
      <w:r w:rsidRPr="009C3A3E">
        <w:rPr>
          <w:rFonts w:cstheme="minorHAnsi"/>
        </w:rPr>
        <w:t>3 y 4 es de carácter voluntaria, mientras que los casinos de juego tienen la instrucción de efectuar la reapertura obligatoria en aquellas comunas que entren en el Paso 5 “Apertura Avanzada”. Hasta la fecha solo han abierto casinos de manera voluntaria en Pasos</w:t>
      </w:r>
      <w:r w:rsidR="000627B3">
        <w:rPr>
          <w:rFonts w:cstheme="minorHAnsi"/>
        </w:rPr>
        <w:t xml:space="preserve"> 2,</w:t>
      </w:r>
      <w:r w:rsidRPr="009C3A3E">
        <w:rPr>
          <w:rFonts w:cstheme="minorHAnsi"/>
        </w:rPr>
        <w:t xml:space="preserve"> 3 y 4 ya que ninguna comuna ha transitado a Paso 5. Asimismo, una vez que las sociedades operadoras y concesionarias municipales de casinos de juego reinicien las operaciones deberán mantener el </w:t>
      </w:r>
      <w:r w:rsidRPr="009C3A3E">
        <w:rPr>
          <w:rFonts w:cstheme="minorHAnsi"/>
        </w:rPr>
        <w:lastRenderedPageBreak/>
        <w:t>funcionamiento a lo menos durante tres días a la semana, mientras la comuna respectiva se mantenga en los Pasos 3, 4 o 5.</w:t>
      </w:r>
      <w:r w:rsidR="00871017" w:rsidRPr="00871017">
        <w:rPr>
          <w:rFonts w:cstheme="minorHAnsi"/>
        </w:rPr>
        <w:t xml:space="preserve"> </w:t>
      </w:r>
    </w:p>
    <w:p w14:paraId="22D93D31" w14:textId="0041BA3E" w:rsidR="00A83902" w:rsidRPr="009C3A3E" w:rsidRDefault="00A83902" w:rsidP="00A83902">
      <w:pPr>
        <w:tabs>
          <w:tab w:val="left" w:pos="0"/>
        </w:tabs>
        <w:spacing w:after="0" w:line="240" w:lineRule="auto"/>
        <w:rPr>
          <w:rFonts w:cstheme="minorHAnsi"/>
        </w:rPr>
      </w:pPr>
    </w:p>
    <w:bookmarkEnd w:id="0"/>
    <w:p w14:paraId="6E2DF934" w14:textId="36A0CB02" w:rsidR="00A83902" w:rsidRPr="009C3A3E" w:rsidRDefault="00A83902" w:rsidP="006E4A5E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>Ingresos y visitas</w:t>
      </w:r>
    </w:p>
    <w:p w14:paraId="5198CC3D" w14:textId="77777777" w:rsidR="00A83902" w:rsidRPr="009C3A3E" w:rsidRDefault="00A83902" w:rsidP="006E4A5E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20F562B6" w14:textId="21E7AE95" w:rsidR="00CF2067" w:rsidRPr="004C5EE7" w:rsidRDefault="00B86E4A" w:rsidP="006E4A5E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  <w:r w:rsidRPr="009C3A3E">
        <w:t>Los</w:t>
      </w:r>
      <w:r w:rsidR="006F7CA6" w:rsidRPr="009C3A3E">
        <w:t xml:space="preserve"> 1</w:t>
      </w:r>
      <w:r w:rsidR="004C5EE7">
        <w:t>4</w:t>
      </w:r>
      <w:r w:rsidR="00AA4471" w:rsidRPr="009C3A3E">
        <w:t xml:space="preserve"> casinos de juego autorizados por la </w:t>
      </w:r>
      <w:r w:rsidR="005B01F2" w:rsidRPr="009C3A3E">
        <w:t xml:space="preserve">Ley N° 19.995 </w:t>
      </w:r>
      <w:r w:rsidR="00AA4471" w:rsidRPr="009C3A3E">
        <w:t xml:space="preserve">y los </w:t>
      </w:r>
      <w:r w:rsidR="00146B10">
        <w:t>5</w:t>
      </w:r>
      <w:r w:rsidR="006F7CA6" w:rsidRPr="009C3A3E">
        <w:t xml:space="preserve"> </w:t>
      </w:r>
      <w:r w:rsidR="00AA4471" w:rsidRPr="009C3A3E">
        <w:t>casinos de concesión municipal</w:t>
      </w:r>
      <w:r w:rsidRPr="009C3A3E">
        <w:t xml:space="preserve"> que tuvieron operaciones durante el mes de </w:t>
      </w:r>
      <w:r w:rsidR="00146B10">
        <w:t>febrero</w:t>
      </w:r>
      <w:r w:rsidR="00AA4471" w:rsidRPr="009C3A3E">
        <w:t xml:space="preserve"> </w:t>
      </w:r>
      <w:r w:rsidRPr="009C3A3E">
        <w:t xml:space="preserve">de </w:t>
      </w:r>
      <w:r w:rsidR="003A0DBE" w:rsidRPr="009C3A3E">
        <w:t>20</w:t>
      </w:r>
      <w:r w:rsidR="00B22B12" w:rsidRPr="009C3A3E">
        <w:t>2</w:t>
      </w:r>
      <w:r w:rsidR="00871017">
        <w:t>1</w:t>
      </w:r>
      <w:r w:rsidR="00964EC6" w:rsidRPr="009C3A3E">
        <w:t>,</w:t>
      </w:r>
      <w:r w:rsidR="003A0DBE" w:rsidRPr="009C3A3E">
        <w:t xml:space="preserve"> </w:t>
      </w:r>
      <w:r w:rsidRPr="009C3A3E">
        <w:t xml:space="preserve">registraron </w:t>
      </w:r>
      <w:r w:rsidR="00A729EA" w:rsidRPr="009C3A3E">
        <w:t>ingresos bru</w:t>
      </w:r>
      <w:r w:rsidR="00AA4471" w:rsidRPr="009C3A3E">
        <w:t>tos del juego (win) por $</w:t>
      </w:r>
      <w:r w:rsidR="00146B10">
        <w:t>8</w:t>
      </w:r>
      <w:r w:rsidR="006F7CA6" w:rsidRPr="009C3A3E">
        <w:t>.</w:t>
      </w:r>
      <w:r w:rsidR="00146B10">
        <w:t>1</w:t>
      </w:r>
      <w:r w:rsidR="00871017">
        <w:t>00</w:t>
      </w:r>
      <w:r w:rsidR="00AA4471" w:rsidRPr="009C3A3E">
        <w:t xml:space="preserve"> millones</w:t>
      </w:r>
      <w:r w:rsidR="006E4A5E" w:rsidRPr="009C3A3E">
        <w:t xml:space="preserve">. Así, </w:t>
      </w:r>
      <w:r w:rsidR="006E4A5E" w:rsidRPr="004C5EE7">
        <w:rPr>
          <w:rFonts w:ascii="Calibri" w:hAnsi="Calibri" w:cs="Calibri"/>
          <w:lang w:eastAsia="es-CL"/>
        </w:rPr>
        <w:t>los ingresos</w:t>
      </w:r>
      <w:r w:rsidR="006F7CA6" w:rsidRPr="004C5EE7">
        <w:rPr>
          <w:rFonts w:ascii="Calibri" w:hAnsi="Calibri" w:cs="Calibri"/>
          <w:lang w:eastAsia="es-CL"/>
        </w:rPr>
        <w:t xml:space="preserve">, </w:t>
      </w:r>
      <w:r w:rsidR="006E4A5E" w:rsidRPr="004C5EE7">
        <w:rPr>
          <w:rFonts w:ascii="Calibri" w:hAnsi="Calibri" w:cs="Calibri"/>
          <w:lang w:eastAsia="es-CL"/>
        </w:rPr>
        <w:t xml:space="preserve">en términos reales, </w:t>
      </w:r>
      <w:r w:rsidR="006F7CA6" w:rsidRPr="004C5EE7">
        <w:rPr>
          <w:rFonts w:ascii="Calibri" w:hAnsi="Calibri" w:cs="Calibri"/>
          <w:lang w:eastAsia="es-CL"/>
        </w:rPr>
        <w:t>alcanzaron a un</w:t>
      </w:r>
      <w:r w:rsidR="006E4A5E" w:rsidRPr="004C5EE7">
        <w:rPr>
          <w:rFonts w:ascii="Calibri" w:hAnsi="Calibri" w:cs="Calibri"/>
          <w:lang w:eastAsia="es-CL"/>
        </w:rPr>
        <w:t xml:space="preserve"> </w:t>
      </w:r>
      <w:r w:rsidR="004C5EE7" w:rsidRPr="004C5EE7">
        <w:rPr>
          <w:rFonts w:ascii="Calibri" w:hAnsi="Calibri" w:cs="Calibri"/>
          <w:lang w:eastAsia="es-CL"/>
        </w:rPr>
        <w:t>32</w:t>
      </w:r>
      <w:r w:rsidR="006E4A5E" w:rsidRPr="004C5EE7">
        <w:rPr>
          <w:rFonts w:ascii="Calibri" w:hAnsi="Calibri" w:cs="Calibri"/>
          <w:lang w:eastAsia="es-CL"/>
        </w:rPr>
        <w:t>,</w:t>
      </w:r>
      <w:r w:rsidR="004C5EE7" w:rsidRPr="004C5EE7">
        <w:rPr>
          <w:rFonts w:ascii="Calibri" w:hAnsi="Calibri" w:cs="Calibri"/>
          <w:lang w:eastAsia="es-CL"/>
        </w:rPr>
        <w:t>4</w:t>
      </w:r>
      <w:r w:rsidR="006E4A5E" w:rsidRPr="004C5EE7">
        <w:rPr>
          <w:rFonts w:ascii="Calibri" w:hAnsi="Calibri" w:cs="Calibri"/>
          <w:lang w:eastAsia="es-CL"/>
        </w:rPr>
        <w:t xml:space="preserve">% </w:t>
      </w:r>
      <w:r w:rsidR="006F7CA6" w:rsidRPr="004C5EE7">
        <w:rPr>
          <w:rFonts w:ascii="Calibri" w:hAnsi="Calibri" w:cs="Calibri"/>
          <w:lang w:eastAsia="es-CL"/>
        </w:rPr>
        <w:t>de</w:t>
      </w:r>
      <w:r w:rsidR="006E4A5E" w:rsidRPr="004C5EE7">
        <w:rPr>
          <w:rFonts w:ascii="Calibri" w:hAnsi="Calibri" w:cs="Calibri"/>
          <w:lang w:eastAsia="es-CL"/>
        </w:rPr>
        <w:t xml:space="preserve"> lo obtenido en </w:t>
      </w:r>
      <w:r w:rsidR="00146B10" w:rsidRPr="004C5EE7">
        <w:rPr>
          <w:rFonts w:ascii="Calibri" w:hAnsi="Calibri" w:cs="Calibri"/>
          <w:lang w:eastAsia="es-CL"/>
        </w:rPr>
        <w:t>febrero</w:t>
      </w:r>
      <w:r w:rsidR="006E4A5E" w:rsidRPr="004C5EE7">
        <w:rPr>
          <w:rFonts w:ascii="Calibri" w:hAnsi="Calibri" w:cs="Calibri"/>
          <w:lang w:eastAsia="es-CL"/>
        </w:rPr>
        <w:t xml:space="preserve"> de 20</w:t>
      </w:r>
      <w:r w:rsidR="00871017" w:rsidRPr="004C5EE7">
        <w:rPr>
          <w:rFonts w:ascii="Calibri" w:hAnsi="Calibri" w:cs="Calibri"/>
          <w:lang w:eastAsia="es-CL"/>
        </w:rPr>
        <w:t>2</w:t>
      </w:r>
      <w:r w:rsidR="004C5EE7" w:rsidRPr="004C5EE7">
        <w:rPr>
          <w:rFonts w:ascii="Calibri" w:hAnsi="Calibri" w:cs="Calibri"/>
          <w:lang w:eastAsia="es-CL"/>
        </w:rPr>
        <w:t>0</w:t>
      </w:r>
      <w:r w:rsidR="006E4A5E" w:rsidRPr="004C5EE7">
        <w:rPr>
          <w:rFonts w:ascii="Calibri" w:hAnsi="Calibri" w:cs="Calibri"/>
          <w:lang w:eastAsia="es-CL"/>
        </w:rPr>
        <w:t xml:space="preserve"> para el conjunto de los casinos que </w:t>
      </w:r>
      <w:r w:rsidR="004C5EE7" w:rsidRPr="004C5EE7">
        <w:rPr>
          <w:rFonts w:ascii="Calibri" w:hAnsi="Calibri" w:cs="Calibri"/>
          <w:lang w:eastAsia="es-CL"/>
        </w:rPr>
        <w:t>operaron</w:t>
      </w:r>
      <w:r w:rsidR="006E4A5E" w:rsidRPr="004C5EE7">
        <w:rPr>
          <w:rFonts w:ascii="Calibri" w:hAnsi="Calibri" w:cs="Calibri"/>
          <w:lang w:eastAsia="es-CL"/>
        </w:rPr>
        <w:t>.</w:t>
      </w:r>
      <w:r w:rsidR="00871017" w:rsidRPr="004C5EE7">
        <w:rPr>
          <w:rFonts w:ascii="Calibri" w:hAnsi="Calibri" w:cs="Calibri"/>
          <w:lang w:eastAsia="es-CL"/>
        </w:rPr>
        <w:t xml:space="preserve"> </w:t>
      </w:r>
      <w:r w:rsidR="00E64DD6" w:rsidRPr="004C5EE7">
        <w:rPr>
          <w:rFonts w:ascii="Calibri" w:hAnsi="Calibri" w:cs="Calibri"/>
          <w:lang w:eastAsia="es-CL"/>
        </w:rPr>
        <w:t xml:space="preserve">De igual forma, considerando los ingresos por días efectivamente en funcionamiento, en términos reales se alcanzó un </w:t>
      </w:r>
      <w:r w:rsidR="004C5EE7" w:rsidRPr="004C5EE7">
        <w:rPr>
          <w:rFonts w:ascii="Calibri" w:hAnsi="Calibri" w:cs="Calibri"/>
          <w:lang w:eastAsia="es-CL"/>
        </w:rPr>
        <w:t>54</w:t>
      </w:r>
      <w:r w:rsidR="00E64DD6" w:rsidRPr="004C5EE7">
        <w:rPr>
          <w:rFonts w:ascii="Calibri" w:hAnsi="Calibri" w:cs="Calibri"/>
          <w:lang w:eastAsia="es-CL"/>
        </w:rPr>
        <w:t>,</w:t>
      </w:r>
      <w:r w:rsidR="004C5EE7" w:rsidRPr="004C5EE7">
        <w:rPr>
          <w:rFonts w:ascii="Calibri" w:hAnsi="Calibri" w:cs="Calibri"/>
          <w:lang w:eastAsia="es-CL"/>
        </w:rPr>
        <w:t>1</w:t>
      </w:r>
      <w:r w:rsidR="00E64DD6" w:rsidRPr="004C5EE7">
        <w:rPr>
          <w:rFonts w:ascii="Calibri" w:hAnsi="Calibri" w:cs="Calibri"/>
          <w:lang w:eastAsia="es-CL"/>
        </w:rPr>
        <w:t>% de los ingresos diarios, en promedio.</w:t>
      </w:r>
      <w:r w:rsidR="006E4A5E" w:rsidRPr="004C5EE7">
        <w:rPr>
          <w:rFonts w:ascii="Calibri" w:hAnsi="Calibri" w:cs="Calibri"/>
          <w:lang w:eastAsia="es-CL"/>
        </w:rPr>
        <w:t xml:space="preserve"> </w:t>
      </w:r>
    </w:p>
    <w:p w14:paraId="32DFEFAB" w14:textId="77777777" w:rsidR="00ED60A3" w:rsidRPr="004C5EE7" w:rsidRDefault="00ED60A3" w:rsidP="00083908">
      <w:pPr>
        <w:tabs>
          <w:tab w:val="left" w:pos="0"/>
        </w:tabs>
        <w:spacing w:after="0" w:line="240" w:lineRule="auto"/>
      </w:pPr>
    </w:p>
    <w:p w14:paraId="710E670A" w14:textId="2297175C" w:rsidR="00265A30" w:rsidRPr="004C5EE7" w:rsidRDefault="006E4A5E" w:rsidP="00083908">
      <w:pPr>
        <w:tabs>
          <w:tab w:val="left" w:pos="0"/>
        </w:tabs>
        <w:spacing w:after="0" w:line="240" w:lineRule="auto"/>
      </w:pPr>
      <w:r w:rsidRPr="004C5EE7">
        <w:t xml:space="preserve">En cuanto a las visitas, se registraron </w:t>
      </w:r>
      <w:r w:rsidR="002E7643" w:rsidRPr="004C5EE7">
        <w:t>74</w:t>
      </w:r>
      <w:r w:rsidR="00E64DD6" w:rsidRPr="004C5EE7">
        <w:t>.</w:t>
      </w:r>
      <w:r w:rsidR="002E7643" w:rsidRPr="004C5EE7">
        <w:t>840</w:t>
      </w:r>
      <w:r w:rsidRPr="004C5EE7">
        <w:t xml:space="preserve"> personas que ingresaron a los </w:t>
      </w:r>
      <w:r w:rsidR="004C5EE7" w:rsidRPr="004C5EE7">
        <w:t>19</w:t>
      </w:r>
      <w:r w:rsidRPr="004C5EE7">
        <w:t xml:space="preserve"> casinos que operaron durante </w:t>
      </w:r>
      <w:r w:rsidR="002E7643" w:rsidRPr="004C5EE7">
        <w:t>febrero</w:t>
      </w:r>
      <w:r w:rsidRPr="004C5EE7">
        <w:t xml:space="preserve"> de 202</w:t>
      </w:r>
      <w:r w:rsidR="002E7643" w:rsidRPr="004C5EE7">
        <w:t>1</w:t>
      </w:r>
      <w:r w:rsidRPr="004C5EE7">
        <w:t>. En forma comparada, las visitas diarias fueron</w:t>
      </w:r>
      <w:r w:rsidR="006F7CA6" w:rsidRPr="004C5EE7">
        <w:t xml:space="preserve"> </w:t>
      </w:r>
      <w:r w:rsidR="004C5EE7" w:rsidRPr="004C5EE7">
        <w:t>solo un 10%</w:t>
      </w:r>
      <w:r w:rsidR="00FF1CAB" w:rsidRPr="004C5EE7">
        <w:t xml:space="preserve"> </w:t>
      </w:r>
      <w:r w:rsidR="004C5EE7" w:rsidRPr="004C5EE7">
        <w:t>de</w:t>
      </w:r>
      <w:r w:rsidR="00FF1CAB" w:rsidRPr="004C5EE7">
        <w:t xml:space="preserve"> las recibidas en </w:t>
      </w:r>
      <w:r w:rsidR="002E7643" w:rsidRPr="004C5EE7">
        <w:t>febrero</w:t>
      </w:r>
      <w:r w:rsidR="00FF1CAB" w:rsidRPr="004C5EE7">
        <w:t xml:space="preserve"> de 20</w:t>
      </w:r>
      <w:r w:rsidR="00E64DD6" w:rsidRPr="004C5EE7">
        <w:t>20</w:t>
      </w:r>
      <w:r w:rsidR="004C5EE7" w:rsidRPr="004C5EE7">
        <w:t>.</w:t>
      </w:r>
    </w:p>
    <w:p w14:paraId="2FE7878F" w14:textId="77777777" w:rsidR="00B84B30" w:rsidRPr="004C5EE7" w:rsidRDefault="00B84B30" w:rsidP="00083908">
      <w:pPr>
        <w:tabs>
          <w:tab w:val="left" w:pos="0"/>
        </w:tabs>
        <w:spacing w:after="0" w:line="240" w:lineRule="auto"/>
      </w:pPr>
    </w:p>
    <w:p w14:paraId="5579C75A" w14:textId="66D9302D" w:rsidR="00265A30" w:rsidRPr="009C3A3E" w:rsidRDefault="00265A30" w:rsidP="00083908">
      <w:pPr>
        <w:tabs>
          <w:tab w:val="left" w:pos="0"/>
        </w:tabs>
        <w:spacing w:after="0" w:line="240" w:lineRule="auto"/>
      </w:pPr>
      <w:r w:rsidRPr="004C5EE7">
        <w:t>Respecto del gasto de los visitantes, durante el mes de</w:t>
      </w:r>
      <w:r w:rsidRPr="009C3A3E">
        <w:t xml:space="preserve"> </w:t>
      </w:r>
      <w:r w:rsidR="002E7643">
        <w:t>febrero</w:t>
      </w:r>
      <w:r w:rsidR="00790E9F" w:rsidRPr="009C3A3E">
        <w:t xml:space="preserve"> </w:t>
      </w:r>
      <w:r w:rsidR="003F05FA" w:rsidRPr="009C3A3E">
        <w:t>se</w:t>
      </w:r>
      <w:r w:rsidRPr="009C3A3E">
        <w:t xml:space="preserve"> registró un gasto promedio </w:t>
      </w:r>
      <w:r w:rsidR="00A51CDD" w:rsidRPr="009C3A3E">
        <w:t>de $</w:t>
      </w:r>
      <w:r w:rsidR="00E64DD6">
        <w:t>1</w:t>
      </w:r>
      <w:r w:rsidR="002E7643">
        <w:t>15.0</w:t>
      </w:r>
      <w:r w:rsidR="004C5EE7">
        <w:t>70</w:t>
      </w:r>
      <w:r w:rsidRPr="009C3A3E">
        <w:t xml:space="preserve"> por visita, lo que </w:t>
      </w:r>
      <w:r w:rsidR="000D6BF6" w:rsidRPr="009C3A3E">
        <w:t xml:space="preserve">implica </w:t>
      </w:r>
      <w:r w:rsidRPr="009C3A3E">
        <w:t>un</w:t>
      </w:r>
      <w:r w:rsidR="00E64DD6">
        <w:t xml:space="preserve"> aumento real de alrededor de un </w:t>
      </w:r>
      <w:r w:rsidR="004C5EE7">
        <w:t>100%</w:t>
      </w:r>
      <w:r w:rsidRPr="009C3A3E">
        <w:t xml:space="preserve"> respecto de </w:t>
      </w:r>
      <w:r w:rsidR="002E7643">
        <w:t>febrero</w:t>
      </w:r>
      <w:r w:rsidR="00790E9F" w:rsidRPr="009C3A3E">
        <w:t xml:space="preserve"> </w:t>
      </w:r>
      <w:r w:rsidR="009A5B96" w:rsidRPr="009C3A3E">
        <w:t>de 20</w:t>
      </w:r>
      <w:r w:rsidR="00E64DD6">
        <w:t>20</w:t>
      </w:r>
      <w:r w:rsidRPr="009C3A3E">
        <w:t>.</w:t>
      </w:r>
    </w:p>
    <w:p w14:paraId="0381DB9E" w14:textId="4BE9DCA9" w:rsidR="00330D14" w:rsidRPr="009C3A3E" w:rsidRDefault="00330D14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4164E209" w14:textId="77777777" w:rsidR="00EF4E0C" w:rsidRDefault="00EF4E0C" w:rsidP="00EF4E0C">
      <w:pPr>
        <w:tabs>
          <w:tab w:val="left" w:pos="0"/>
        </w:tabs>
        <w:spacing w:after="0" w:line="240" w:lineRule="auto"/>
        <w:rPr>
          <w:b/>
          <w:bCs/>
        </w:rPr>
      </w:pPr>
      <w:r>
        <w:rPr>
          <w:b/>
          <w:bCs/>
        </w:rPr>
        <w:t>Autoexclusión voluntaria</w:t>
      </w:r>
    </w:p>
    <w:p w14:paraId="564054D3" w14:textId="77777777" w:rsidR="00EF4E0C" w:rsidRDefault="00EF4E0C" w:rsidP="00EF4E0C">
      <w:pPr>
        <w:tabs>
          <w:tab w:val="left" w:pos="0"/>
        </w:tabs>
        <w:spacing w:after="0" w:line="240" w:lineRule="auto"/>
        <w:rPr>
          <w:b/>
          <w:bCs/>
        </w:rPr>
      </w:pPr>
    </w:p>
    <w:p w14:paraId="7D030F85" w14:textId="4A44A088" w:rsidR="00EF4E0C" w:rsidRPr="004C5EE7" w:rsidRDefault="00EF4E0C" w:rsidP="00EF4E0C">
      <w:pPr>
        <w:tabs>
          <w:tab w:val="left" w:pos="0"/>
        </w:tabs>
        <w:spacing w:after="0" w:line="240" w:lineRule="auto"/>
      </w:pPr>
      <w:r>
        <w:t xml:space="preserve">Una medida de protección de los jugadores respecto a los riesgos que presenta el </w:t>
      </w:r>
      <w:r w:rsidR="004C5EE7">
        <w:t>juego</w:t>
      </w:r>
      <w:r w:rsidR="009822E6">
        <w:t xml:space="preserve">, </w:t>
      </w:r>
      <w:r w:rsidR="004C5EE7">
        <w:t>ampliamente utilizada</w:t>
      </w:r>
      <w:r>
        <w:t xml:space="preserve"> a nivel mundial</w:t>
      </w:r>
      <w:r w:rsidR="009822E6">
        <w:t>,</w:t>
      </w:r>
      <w:r>
        <w:t xml:space="preserve"> es la autoexclusión voluntaria de los casinos de juego. En agosto de 2019, mediante la circular Nº102 la Superintendencia implementó un mecanismo transversal a todos los casinos de juego, el que simplifica el proceso, permitiendo que se realice de </w:t>
      </w:r>
      <w:r w:rsidRPr="004C5EE7">
        <w:t>manera remota y lo estandariza a nivel nacional.</w:t>
      </w:r>
    </w:p>
    <w:p w14:paraId="79775E98" w14:textId="77777777" w:rsidR="00EF4E0C" w:rsidRPr="004C5EE7" w:rsidRDefault="00EF4E0C" w:rsidP="00EF4E0C">
      <w:pPr>
        <w:tabs>
          <w:tab w:val="left" w:pos="0"/>
        </w:tabs>
        <w:spacing w:after="0" w:line="240" w:lineRule="auto"/>
      </w:pPr>
    </w:p>
    <w:p w14:paraId="7374E207" w14:textId="45CF5840" w:rsidR="00EF4E0C" w:rsidRDefault="00EF4E0C" w:rsidP="00EF4E0C">
      <w:pPr>
        <w:tabs>
          <w:tab w:val="left" w:pos="0"/>
        </w:tabs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4C5EE7">
        <w:t xml:space="preserve">Así, a poco más de un año, la cantidad de autoexcluidos ha aumentado en un </w:t>
      </w:r>
      <w:r w:rsidR="00B45B9F">
        <w:t>71</w:t>
      </w:r>
      <w:r w:rsidRPr="004C5EE7">
        <w:t>%, llegando a 1.6</w:t>
      </w:r>
      <w:r w:rsidR="004C5EE7" w:rsidRPr="004C5EE7">
        <w:t>69</w:t>
      </w:r>
      <w:r w:rsidR="00B45B9F">
        <w:t xml:space="preserve">, mientras que </w:t>
      </w:r>
      <w:r w:rsidR="00B45B9F" w:rsidRPr="004C5EE7">
        <w:t>entre 2011 y agosto de 2019</w:t>
      </w:r>
      <w:r w:rsidR="00B45B9F">
        <w:t>,</w:t>
      </w:r>
      <w:r w:rsidRPr="004C5EE7">
        <w:t xml:space="preserve"> </w:t>
      </w:r>
      <w:r w:rsidR="00B45B9F" w:rsidRPr="004C5EE7">
        <w:t>de manera previa a la dictación de la circular N°102</w:t>
      </w:r>
      <w:r w:rsidR="00B45B9F">
        <w:t>,</w:t>
      </w:r>
      <w:r w:rsidR="004C5EE7" w:rsidRPr="004C5EE7">
        <w:t xml:space="preserve"> </w:t>
      </w:r>
      <w:r w:rsidR="00B45B9F" w:rsidRPr="004C5EE7">
        <w:t>976 personas habían realizado el proceso</w:t>
      </w:r>
      <w:r w:rsidR="00B45B9F">
        <w:t xml:space="preserve"> en algún casino de juego o ante la Superintendencia. Desde </w:t>
      </w:r>
      <w:r w:rsidR="004C5EE7" w:rsidRPr="004C5EE7">
        <w:t>la dictación de la circular</w:t>
      </w:r>
      <w:r w:rsidRPr="004C5EE7">
        <w:t xml:space="preserve"> Nº102</w:t>
      </w:r>
      <w:r w:rsidR="004C5EE7" w:rsidRPr="004C5EE7">
        <w:t xml:space="preserve"> se han autoexcluido 855 personas</w:t>
      </w:r>
      <w:r w:rsidRPr="004C5EE7">
        <w:t xml:space="preserve"> mientras que</w:t>
      </w:r>
      <w:r w:rsidR="004C5EE7" w:rsidRPr="004C5EE7">
        <w:t xml:space="preserve"> 162 personas han revocado su registro en el sistema de autoexclusión.</w:t>
      </w:r>
    </w:p>
    <w:p w14:paraId="29894801" w14:textId="129C17F2" w:rsidR="0090460C" w:rsidRPr="009C3A3E" w:rsidRDefault="0090460C" w:rsidP="00E64DD6">
      <w:pPr>
        <w:tabs>
          <w:tab w:val="left" w:pos="0"/>
        </w:tabs>
        <w:rPr>
          <w:rFonts w:ascii="Calibri" w:hAnsi="Calibri" w:cs="Calibri"/>
          <w:b/>
          <w:sz w:val="21"/>
          <w:szCs w:val="21"/>
        </w:rPr>
      </w:pPr>
    </w:p>
    <w:p w14:paraId="094F60A1" w14:textId="77777777" w:rsidR="0090460C" w:rsidRPr="009C3A3E" w:rsidRDefault="0090460C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3E626E17" w14:textId="160E4EAD" w:rsidR="00330D14" w:rsidRPr="009C3A3E" w:rsidRDefault="00330D14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3DED10A0" w14:textId="32256467" w:rsidR="00A51CDD" w:rsidRPr="009C3A3E" w:rsidRDefault="00A51CDD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5E57D3D6" w14:textId="25713024" w:rsidR="00DB2A3C" w:rsidRPr="009C3A3E" w:rsidRDefault="00DB2A3C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0250A255" w14:textId="6A7054C4" w:rsidR="00A83902" w:rsidRPr="009C3A3E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7270E4C1" w14:textId="7004B320" w:rsidR="00A83902" w:rsidRPr="009C3A3E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7F58CBEE" w14:textId="0C946CAA" w:rsidR="00A83902" w:rsidRPr="009C3A3E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35196B55" w14:textId="2B3770D9" w:rsidR="00A83902" w:rsidRPr="009C3A3E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08F10DED" w14:textId="22AFEF74" w:rsidR="00A83902" w:rsidRPr="009C3A3E" w:rsidRDefault="00A83902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41752E6A" w14:textId="77777777" w:rsidR="00EF4E0C" w:rsidRDefault="00EF4E0C" w:rsidP="00E0320F">
      <w:pPr>
        <w:tabs>
          <w:tab w:val="left" w:pos="0"/>
        </w:tabs>
        <w:spacing w:after="0" w:line="240" w:lineRule="auto"/>
        <w:rPr>
          <w:rFonts w:ascii="Calibri" w:hAnsi="Calibri" w:cs="Arial"/>
          <w:b/>
          <w:sz w:val="20"/>
          <w:szCs w:val="20"/>
        </w:rPr>
      </w:pPr>
    </w:p>
    <w:p w14:paraId="342A86DA" w14:textId="37793F11" w:rsidR="009858E3" w:rsidRPr="009C3A3E" w:rsidRDefault="00FB3D8B" w:rsidP="00E0320F">
      <w:pPr>
        <w:tabs>
          <w:tab w:val="left" w:pos="0"/>
        </w:tabs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9C3A3E">
        <w:rPr>
          <w:rFonts w:ascii="Calibri" w:hAnsi="Calibri" w:cs="Arial"/>
          <w:b/>
          <w:sz w:val="20"/>
          <w:szCs w:val="20"/>
        </w:rPr>
        <w:t>Unidad de Atención Ciudadana y Comunicaciones</w:t>
      </w:r>
    </w:p>
    <w:p w14:paraId="5E841895" w14:textId="77777777" w:rsidR="00196290" w:rsidRPr="009C3A3E" w:rsidRDefault="00196290" w:rsidP="00FB3D8B">
      <w:pPr>
        <w:spacing w:after="0" w:line="240" w:lineRule="auto"/>
        <w:ind w:right="-136"/>
        <w:rPr>
          <w:rFonts w:ascii="Calibri" w:hAnsi="Calibri" w:cs="Arial"/>
          <w:b/>
          <w:sz w:val="18"/>
          <w:szCs w:val="18"/>
        </w:rPr>
      </w:pPr>
      <w:r w:rsidRPr="009C3A3E">
        <w:rPr>
          <w:rFonts w:ascii="Calibri" w:hAnsi="Calibri" w:cs="Arial"/>
          <w:b/>
          <w:sz w:val="18"/>
          <w:szCs w:val="18"/>
        </w:rPr>
        <w:t xml:space="preserve">Tel. 2589 3004 -3024 </w:t>
      </w:r>
    </w:p>
    <w:p w14:paraId="56ED4089" w14:textId="0C233B8E" w:rsidR="00FB3D8B" w:rsidRPr="008349C4" w:rsidRDefault="00FB3D8B" w:rsidP="00F3483A">
      <w:pPr>
        <w:spacing w:after="0" w:line="240" w:lineRule="auto"/>
        <w:ind w:right="-136"/>
        <w:rPr>
          <w:rFonts w:ascii="Calibri" w:hAnsi="Calibri" w:cs="Arial"/>
          <w:b/>
          <w:sz w:val="20"/>
          <w:szCs w:val="20"/>
        </w:rPr>
      </w:pPr>
      <w:r w:rsidRPr="009C3A3E">
        <w:rPr>
          <w:rFonts w:ascii="Calibri" w:hAnsi="Calibri" w:cs="Arial"/>
          <w:b/>
          <w:sz w:val="18"/>
          <w:szCs w:val="18"/>
        </w:rPr>
        <w:t xml:space="preserve">Contacto: Claudia Valladares </w:t>
      </w:r>
      <w:hyperlink r:id="rId9" w:history="1">
        <w:r w:rsidRPr="009C3A3E">
          <w:rPr>
            <w:rStyle w:val="Hipervnculo"/>
            <w:rFonts w:ascii="Calibri" w:hAnsi="Calibri" w:cs="Arial"/>
            <w:b/>
            <w:sz w:val="18"/>
            <w:szCs w:val="18"/>
          </w:rPr>
          <w:t>cvalladares@scj.gob.cl</w:t>
        </w:r>
      </w:hyperlink>
      <w:r w:rsidR="0081667E">
        <w:rPr>
          <w:rFonts w:ascii="Calibri" w:hAnsi="Calibri" w:cs="Arial"/>
          <w:b/>
          <w:sz w:val="18"/>
          <w:szCs w:val="18"/>
        </w:rPr>
        <w:t xml:space="preserve"> </w:t>
      </w:r>
    </w:p>
    <w:sectPr w:rsidR="00FB3D8B" w:rsidRPr="008349C4" w:rsidSect="00DC75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3FF9C" w14:textId="77777777" w:rsidR="006F76EC" w:rsidRDefault="006F76EC" w:rsidP="00FD382C">
      <w:r>
        <w:separator/>
      </w:r>
    </w:p>
  </w:endnote>
  <w:endnote w:type="continuationSeparator" w:id="0">
    <w:p w14:paraId="34ACF116" w14:textId="77777777" w:rsidR="006F76EC" w:rsidRDefault="006F76EC" w:rsidP="00F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3F89C" w14:textId="77777777" w:rsidR="00261261" w:rsidRDefault="002612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FCC90" w14:textId="77777777" w:rsidR="00261261" w:rsidRDefault="002612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39C85" w14:textId="77777777" w:rsidR="006F76EC" w:rsidRDefault="006F76EC" w:rsidP="00FD382C">
      <w:r>
        <w:separator/>
      </w:r>
    </w:p>
  </w:footnote>
  <w:footnote w:type="continuationSeparator" w:id="0">
    <w:p w14:paraId="73FB4927" w14:textId="77777777" w:rsidR="006F76EC" w:rsidRDefault="006F76EC" w:rsidP="00FD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3E699" w14:textId="77777777" w:rsidR="00261261" w:rsidRDefault="002612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0B206E86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261261">
      <w:rPr>
        <w:b/>
      </w:rPr>
      <w:t>Lunes 12</w:t>
    </w:r>
    <w:r>
      <w:rPr>
        <w:b/>
      </w:rPr>
      <w:t xml:space="preserve"> de </w:t>
    </w:r>
    <w:r w:rsidR="00EF24A0">
      <w:rPr>
        <w:b/>
      </w:rPr>
      <w:t>abril</w:t>
    </w:r>
    <w:r>
      <w:rPr>
        <w:b/>
      </w:rPr>
      <w:t xml:space="preserve"> de 2021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0C0F1" w14:textId="77777777" w:rsidR="00261261" w:rsidRDefault="002612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2994"/>
    <w:rsid w:val="0000694C"/>
    <w:rsid w:val="00010609"/>
    <w:rsid w:val="00010D78"/>
    <w:rsid w:val="000249BB"/>
    <w:rsid w:val="0003225F"/>
    <w:rsid w:val="0004531A"/>
    <w:rsid w:val="0005196B"/>
    <w:rsid w:val="00053038"/>
    <w:rsid w:val="0005531F"/>
    <w:rsid w:val="00060DE8"/>
    <w:rsid w:val="000627B3"/>
    <w:rsid w:val="00066507"/>
    <w:rsid w:val="00067327"/>
    <w:rsid w:val="00070A8B"/>
    <w:rsid w:val="00070FBD"/>
    <w:rsid w:val="00072032"/>
    <w:rsid w:val="00082A4E"/>
    <w:rsid w:val="00083908"/>
    <w:rsid w:val="00084B20"/>
    <w:rsid w:val="00097898"/>
    <w:rsid w:val="000A4502"/>
    <w:rsid w:val="000A7117"/>
    <w:rsid w:val="000B159F"/>
    <w:rsid w:val="000B22E7"/>
    <w:rsid w:val="000B5535"/>
    <w:rsid w:val="000B71FE"/>
    <w:rsid w:val="000C1CF5"/>
    <w:rsid w:val="000C25C4"/>
    <w:rsid w:val="000C3DDF"/>
    <w:rsid w:val="000C7455"/>
    <w:rsid w:val="000D1DA8"/>
    <w:rsid w:val="000D553D"/>
    <w:rsid w:val="000D6BF6"/>
    <w:rsid w:val="000D7911"/>
    <w:rsid w:val="000D7975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30C0E"/>
    <w:rsid w:val="00146B10"/>
    <w:rsid w:val="00152CF7"/>
    <w:rsid w:val="00156507"/>
    <w:rsid w:val="0016144B"/>
    <w:rsid w:val="00161F8D"/>
    <w:rsid w:val="00171452"/>
    <w:rsid w:val="001723D4"/>
    <w:rsid w:val="00172CAF"/>
    <w:rsid w:val="0017349B"/>
    <w:rsid w:val="00181717"/>
    <w:rsid w:val="00181AB5"/>
    <w:rsid w:val="00184005"/>
    <w:rsid w:val="0018689C"/>
    <w:rsid w:val="00186B7F"/>
    <w:rsid w:val="001914DF"/>
    <w:rsid w:val="00196290"/>
    <w:rsid w:val="001A0CCF"/>
    <w:rsid w:val="001A472E"/>
    <w:rsid w:val="001A595F"/>
    <w:rsid w:val="001C0AC0"/>
    <w:rsid w:val="001C606D"/>
    <w:rsid w:val="001C6139"/>
    <w:rsid w:val="001D33F7"/>
    <w:rsid w:val="001D7E9E"/>
    <w:rsid w:val="001E1087"/>
    <w:rsid w:val="001E2D5F"/>
    <w:rsid w:val="001E5525"/>
    <w:rsid w:val="001E65B3"/>
    <w:rsid w:val="001E78D6"/>
    <w:rsid w:val="00200053"/>
    <w:rsid w:val="0020351D"/>
    <w:rsid w:val="002075E8"/>
    <w:rsid w:val="00211790"/>
    <w:rsid w:val="00231FE9"/>
    <w:rsid w:val="00234145"/>
    <w:rsid w:val="002406D6"/>
    <w:rsid w:val="00242E1D"/>
    <w:rsid w:val="002506AE"/>
    <w:rsid w:val="00252772"/>
    <w:rsid w:val="002542B1"/>
    <w:rsid w:val="00255940"/>
    <w:rsid w:val="00261261"/>
    <w:rsid w:val="00265A30"/>
    <w:rsid w:val="00271B88"/>
    <w:rsid w:val="00274F17"/>
    <w:rsid w:val="0027564E"/>
    <w:rsid w:val="0027633E"/>
    <w:rsid w:val="0028027D"/>
    <w:rsid w:val="002814E3"/>
    <w:rsid w:val="00286C33"/>
    <w:rsid w:val="00290D7F"/>
    <w:rsid w:val="00292769"/>
    <w:rsid w:val="002B2B3F"/>
    <w:rsid w:val="002B3DB3"/>
    <w:rsid w:val="002B5C3A"/>
    <w:rsid w:val="002C1871"/>
    <w:rsid w:val="002C1CD9"/>
    <w:rsid w:val="002C3586"/>
    <w:rsid w:val="002C3DCB"/>
    <w:rsid w:val="002C5E7D"/>
    <w:rsid w:val="002D141C"/>
    <w:rsid w:val="002D5B47"/>
    <w:rsid w:val="002E1437"/>
    <w:rsid w:val="002E1BFC"/>
    <w:rsid w:val="002E396F"/>
    <w:rsid w:val="002E651C"/>
    <w:rsid w:val="002E7643"/>
    <w:rsid w:val="00302ACB"/>
    <w:rsid w:val="00303081"/>
    <w:rsid w:val="00303230"/>
    <w:rsid w:val="0030406A"/>
    <w:rsid w:val="0031661E"/>
    <w:rsid w:val="00330916"/>
    <w:rsid w:val="00330D14"/>
    <w:rsid w:val="00332200"/>
    <w:rsid w:val="00332EC7"/>
    <w:rsid w:val="003361BC"/>
    <w:rsid w:val="003404EF"/>
    <w:rsid w:val="00341575"/>
    <w:rsid w:val="003457CE"/>
    <w:rsid w:val="0035639B"/>
    <w:rsid w:val="00356EEF"/>
    <w:rsid w:val="00357728"/>
    <w:rsid w:val="00364B35"/>
    <w:rsid w:val="0036723F"/>
    <w:rsid w:val="00367E30"/>
    <w:rsid w:val="00370E47"/>
    <w:rsid w:val="00372044"/>
    <w:rsid w:val="00373A16"/>
    <w:rsid w:val="00373CA8"/>
    <w:rsid w:val="00374B15"/>
    <w:rsid w:val="00385B98"/>
    <w:rsid w:val="00387E7B"/>
    <w:rsid w:val="00396B60"/>
    <w:rsid w:val="003A0DBE"/>
    <w:rsid w:val="003A4D71"/>
    <w:rsid w:val="003A7E46"/>
    <w:rsid w:val="003B0C64"/>
    <w:rsid w:val="003B0FF3"/>
    <w:rsid w:val="003B2794"/>
    <w:rsid w:val="003B6933"/>
    <w:rsid w:val="003C18CD"/>
    <w:rsid w:val="003C4894"/>
    <w:rsid w:val="003C690E"/>
    <w:rsid w:val="003D02FA"/>
    <w:rsid w:val="003D15B6"/>
    <w:rsid w:val="003D3437"/>
    <w:rsid w:val="003D3765"/>
    <w:rsid w:val="003D6DD3"/>
    <w:rsid w:val="003E14B0"/>
    <w:rsid w:val="003E7430"/>
    <w:rsid w:val="003F05FA"/>
    <w:rsid w:val="003F334D"/>
    <w:rsid w:val="003F35F6"/>
    <w:rsid w:val="003F4F95"/>
    <w:rsid w:val="00400831"/>
    <w:rsid w:val="004044A8"/>
    <w:rsid w:val="00404CEA"/>
    <w:rsid w:val="0041118A"/>
    <w:rsid w:val="00411580"/>
    <w:rsid w:val="00414497"/>
    <w:rsid w:val="00426C10"/>
    <w:rsid w:val="00427615"/>
    <w:rsid w:val="004360E3"/>
    <w:rsid w:val="004432D4"/>
    <w:rsid w:val="004530F2"/>
    <w:rsid w:val="00457BCD"/>
    <w:rsid w:val="00462DA6"/>
    <w:rsid w:val="0046773A"/>
    <w:rsid w:val="00474076"/>
    <w:rsid w:val="004768DF"/>
    <w:rsid w:val="00480047"/>
    <w:rsid w:val="004830B6"/>
    <w:rsid w:val="004843DA"/>
    <w:rsid w:val="00484918"/>
    <w:rsid w:val="00484BF8"/>
    <w:rsid w:val="00491666"/>
    <w:rsid w:val="004942E1"/>
    <w:rsid w:val="004B3B37"/>
    <w:rsid w:val="004C5EE7"/>
    <w:rsid w:val="004C761E"/>
    <w:rsid w:val="004D351E"/>
    <w:rsid w:val="004D3E92"/>
    <w:rsid w:val="004D3F62"/>
    <w:rsid w:val="004D4205"/>
    <w:rsid w:val="004D618C"/>
    <w:rsid w:val="004E6E42"/>
    <w:rsid w:val="004F4336"/>
    <w:rsid w:val="004F66A2"/>
    <w:rsid w:val="004F674A"/>
    <w:rsid w:val="005004A0"/>
    <w:rsid w:val="005009A7"/>
    <w:rsid w:val="00501B39"/>
    <w:rsid w:val="00502A0B"/>
    <w:rsid w:val="00513F0E"/>
    <w:rsid w:val="005304CD"/>
    <w:rsid w:val="005305FC"/>
    <w:rsid w:val="00536AD9"/>
    <w:rsid w:val="0054215E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4E2D"/>
    <w:rsid w:val="00587B0F"/>
    <w:rsid w:val="005B01F2"/>
    <w:rsid w:val="005B1CCB"/>
    <w:rsid w:val="005B279E"/>
    <w:rsid w:val="005B3F73"/>
    <w:rsid w:val="005C3AFE"/>
    <w:rsid w:val="005C3CAF"/>
    <w:rsid w:val="005C443C"/>
    <w:rsid w:val="005D4916"/>
    <w:rsid w:val="005F0263"/>
    <w:rsid w:val="005F17F7"/>
    <w:rsid w:val="005F2731"/>
    <w:rsid w:val="006022DC"/>
    <w:rsid w:val="00603448"/>
    <w:rsid w:val="00611B01"/>
    <w:rsid w:val="006124CA"/>
    <w:rsid w:val="00616099"/>
    <w:rsid w:val="00620E4A"/>
    <w:rsid w:val="00625D82"/>
    <w:rsid w:val="006320E4"/>
    <w:rsid w:val="006343C2"/>
    <w:rsid w:val="00634709"/>
    <w:rsid w:val="00642CAD"/>
    <w:rsid w:val="00643409"/>
    <w:rsid w:val="00650542"/>
    <w:rsid w:val="0065648C"/>
    <w:rsid w:val="00670528"/>
    <w:rsid w:val="00670C50"/>
    <w:rsid w:val="006717A5"/>
    <w:rsid w:val="006741BF"/>
    <w:rsid w:val="006756C9"/>
    <w:rsid w:val="006769E2"/>
    <w:rsid w:val="00692B82"/>
    <w:rsid w:val="00693EF8"/>
    <w:rsid w:val="00696BDD"/>
    <w:rsid w:val="006A4494"/>
    <w:rsid w:val="006A7C2D"/>
    <w:rsid w:val="006A7C49"/>
    <w:rsid w:val="006B0280"/>
    <w:rsid w:val="006C2E93"/>
    <w:rsid w:val="006C4C1B"/>
    <w:rsid w:val="006D0D1F"/>
    <w:rsid w:val="006E0442"/>
    <w:rsid w:val="006E14F9"/>
    <w:rsid w:val="006E2F75"/>
    <w:rsid w:val="006E3960"/>
    <w:rsid w:val="006E4A5E"/>
    <w:rsid w:val="006E4FFE"/>
    <w:rsid w:val="006E6197"/>
    <w:rsid w:val="006F36F7"/>
    <w:rsid w:val="006F449E"/>
    <w:rsid w:val="006F6C40"/>
    <w:rsid w:val="006F76EC"/>
    <w:rsid w:val="006F7CA6"/>
    <w:rsid w:val="00702836"/>
    <w:rsid w:val="00720BD2"/>
    <w:rsid w:val="0072731F"/>
    <w:rsid w:val="00731F65"/>
    <w:rsid w:val="0073400A"/>
    <w:rsid w:val="007348DB"/>
    <w:rsid w:val="007368D5"/>
    <w:rsid w:val="0073758F"/>
    <w:rsid w:val="00750625"/>
    <w:rsid w:val="007537E1"/>
    <w:rsid w:val="00756B18"/>
    <w:rsid w:val="00765889"/>
    <w:rsid w:val="00773FDD"/>
    <w:rsid w:val="00774921"/>
    <w:rsid w:val="0077523F"/>
    <w:rsid w:val="00787820"/>
    <w:rsid w:val="00790E9F"/>
    <w:rsid w:val="007A2C4B"/>
    <w:rsid w:val="007A3DC5"/>
    <w:rsid w:val="007B3621"/>
    <w:rsid w:val="007B5B90"/>
    <w:rsid w:val="007C4E85"/>
    <w:rsid w:val="007C6AB3"/>
    <w:rsid w:val="007D18AC"/>
    <w:rsid w:val="007D1CD3"/>
    <w:rsid w:val="007D2B56"/>
    <w:rsid w:val="007D6C07"/>
    <w:rsid w:val="007F3AA1"/>
    <w:rsid w:val="007F6746"/>
    <w:rsid w:val="007F70D0"/>
    <w:rsid w:val="00801D21"/>
    <w:rsid w:val="00803DBB"/>
    <w:rsid w:val="00804E4B"/>
    <w:rsid w:val="008062BF"/>
    <w:rsid w:val="008161A3"/>
    <w:rsid w:val="0081667E"/>
    <w:rsid w:val="00821C31"/>
    <w:rsid w:val="00826557"/>
    <w:rsid w:val="00831D0C"/>
    <w:rsid w:val="00834D9E"/>
    <w:rsid w:val="00841E68"/>
    <w:rsid w:val="00842039"/>
    <w:rsid w:val="00842993"/>
    <w:rsid w:val="00864D11"/>
    <w:rsid w:val="00871017"/>
    <w:rsid w:val="00871A54"/>
    <w:rsid w:val="00877A61"/>
    <w:rsid w:val="0088217E"/>
    <w:rsid w:val="00884744"/>
    <w:rsid w:val="00885B46"/>
    <w:rsid w:val="0089072C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901177"/>
    <w:rsid w:val="0090460C"/>
    <w:rsid w:val="0090700B"/>
    <w:rsid w:val="009070A6"/>
    <w:rsid w:val="009151B9"/>
    <w:rsid w:val="009152F2"/>
    <w:rsid w:val="009169F2"/>
    <w:rsid w:val="009265AF"/>
    <w:rsid w:val="009303C5"/>
    <w:rsid w:val="00936EAE"/>
    <w:rsid w:val="00943C82"/>
    <w:rsid w:val="0094407B"/>
    <w:rsid w:val="00946AAC"/>
    <w:rsid w:val="00950E82"/>
    <w:rsid w:val="0095264F"/>
    <w:rsid w:val="0095441A"/>
    <w:rsid w:val="0096014A"/>
    <w:rsid w:val="00964EC6"/>
    <w:rsid w:val="009670FC"/>
    <w:rsid w:val="009703D7"/>
    <w:rsid w:val="00974918"/>
    <w:rsid w:val="00975153"/>
    <w:rsid w:val="009822E6"/>
    <w:rsid w:val="00982E0D"/>
    <w:rsid w:val="00984B54"/>
    <w:rsid w:val="009858E3"/>
    <w:rsid w:val="00990053"/>
    <w:rsid w:val="00990617"/>
    <w:rsid w:val="00991AC4"/>
    <w:rsid w:val="00992425"/>
    <w:rsid w:val="00993795"/>
    <w:rsid w:val="009A098F"/>
    <w:rsid w:val="009A5B96"/>
    <w:rsid w:val="009B0FCF"/>
    <w:rsid w:val="009B5316"/>
    <w:rsid w:val="009B7B79"/>
    <w:rsid w:val="009C1D22"/>
    <w:rsid w:val="009C3A3E"/>
    <w:rsid w:val="009C4049"/>
    <w:rsid w:val="009C6BC2"/>
    <w:rsid w:val="009C7CE2"/>
    <w:rsid w:val="009E0798"/>
    <w:rsid w:val="009E1466"/>
    <w:rsid w:val="009E36D2"/>
    <w:rsid w:val="009E3CDD"/>
    <w:rsid w:val="009E5593"/>
    <w:rsid w:val="00A03BA6"/>
    <w:rsid w:val="00A0576A"/>
    <w:rsid w:val="00A12283"/>
    <w:rsid w:val="00A1369B"/>
    <w:rsid w:val="00A139E6"/>
    <w:rsid w:val="00A148ED"/>
    <w:rsid w:val="00A14A88"/>
    <w:rsid w:val="00A17581"/>
    <w:rsid w:val="00A22215"/>
    <w:rsid w:val="00A2663C"/>
    <w:rsid w:val="00A27E18"/>
    <w:rsid w:val="00A32C3B"/>
    <w:rsid w:val="00A32D29"/>
    <w:rsid w:val="00A37DA2"/>
    <w:rsid w:val="00A41280"/>
    <w:rsid w:val="00A51CDD"/>
    <w:rsid w:val="00A541A3"/>
    <w:rsid w:val="00A55386"/>
    <w:rsid w:val="00A63E30"/>
    <w:rsid w:val="00A667EF"/>
    <w:rsid w:val="00A71A63"/>
    <w:rsid w:val="00A729EA"/>
    <w:rsid w:val="00A73100"/>
    <w:rsid w:val="00A74B36"/>
    <w:rsid w:val="00A80DE9"/>
    <w:rsid w:val="00A81680"/>
    <w:rsid w:val="00A82760"/>
    <w:rsid w:val="00A83902"/>
    <w:rsid w:val="00A83B60"/>
    <w:rsid w:val="00A84B76"/>
    <w:rsid w:val="00A8514F"/>
    <w:rsid w:val="00A86A67"/>
    <w:rsid w:val="00A86A9B"/>
    <w:rsid w:val="00A902A1"/>
    <w:rsid w:val="00A90545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786"/>
    <w:rsid w:val="00AD51A3"/>
    <w:rsid w:val="00AE152A"/>
    <w:rsid w:val="00AE5679"/>
    <w:rsid w:val="00AE5A4F"/>
    <w:rsid w:val="00AF1989"/>
    <w:rsid w:val="00AF48C7"/>
    <w:rsid w:val="00AF4C94"/>
    <w:rsid w:val="00B0351E"/>
    <w:rsid w:val="00B07563"/>
    <w:rsid w:val="00B10381"/>
    <w:rsid w:val="00B14621"/>
    <w:rsid w:val="00B214DF"/>
    <w:rsid w:val="00B22B12"/>
    <w:rsid w:val="00B3402A"/>
    <w:rsid w:val="00B36B82"/>
    <w:rsid w:val="00B37C0F"/>
    <w:rsid w:val="00B41AFC"/>
    <w:rsid w:val="00B45B9F"/>
    <w:rsid w:val="00B57C17"/>
    <w:rsid w:val="00B57DCD"/>
    <w:rsid w:val="00B57FF1"/>
    <w:rsid w:val="00B73927"/>
    <w:rsid w:val="00B8275E"/>
    <w:rsid w:val="00B82BFF"/>
    <w:rsid w:val="00B8365F"/>
    <w:rsid w:val="00B84B30"/>
    <w:rsid w:val="00B86E4A"/>
    <w:rsid w:val="00B93B36"/>
    <w:rsid w:val="00BA3504"/>
    <w:rsid w:val="00BA7A93"/>
    <w:rsid w:val="00BC029B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4E04"/>
    <w:rsid w:val="00C17937"/>
    <w:rsid w:val="00C2062A"/>
    <w:rsid w:val="00C253AC"/>
    <w:rsid w:val="00C44D28"/>
    <w:rsid w:val="00C5279C"/>
    <w:rsid w:val="00C547FE"/>
    <w:rsid w:val="00C60FC7"/>
    <w:rsid w:val="00C64155"/>
    <w:rsid w:val="00C708EE"/>
    <w:rsid w:val="00C73FD0"/>
    <w:rsid w:val="00C742BA"/>
    <w:rsid w:val="00C8471D"/>
    <w:rsid w:val="00C85945"/>
    <w:rsid w:val="00C87255"/>
    <w:rsid w:val="00C905F9"/>
    <w:rsid w:val="00C90A65"/>
    <w:rsid w:val="00C973D6"/>
    <w:rsid w:val="00CA4C34"/>
    <w:rsid w:val="00CA4FF0"/>
    <w:rsid w:val="00CA6C7B"/>
    <w:rsid w:val="00CB5765"/>
    <w:rsid w:val="00CC6392"/>
    <w:rsid w:val="00CE05DF"/>
    <w:rsid w:val="00CF05B4"/>
    <w:rsid w:val="00CF2067"/>
    <w:rsid w:val="00CF3270"/>
    <w:rsid w:val="00CF5C17"/>
    <w:rsid w:val="00CF66DC"/>
    <w:rsid w:val="00CF73CD"/>
    <w:rsid w:val="00D02BB0"/>
    <w:rsid w:val="00D0788B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2C6C"/>
    <w:rsid w:val="00D54C54"/>
    <w:rsid w:val="00D6432E"/>
    <w:rsid w:val="00D67977"/>
    <w:rsid w:val="00D702DD"/>
    <w:rsid w:val="00D72742"/>
    <w:rsid w:val="00D9007C"/>
    <w:rsid w:val="00D93080"/>
    <w:rsid w:val="00D97301"/>
    <w:rsid w:val="00DA04BC"/>
    <w:rsid w:val="00DA20B1"/>
    <w:rsid w:val="00DA21E5"/>
    <w:rsid w:val="00DA6495"/>
    <w:rsid w:val="00DB1263"/>
    <w:rsid w:val="00DB2A3C"/>
    <w:rsid w:val="00DB3239"/>
    <w:rsid w:val="00DB5082"/>
    <w:rsid w:val="00DC75C9"/>
    <w:rsid w:val="00DD3AA0"/>
    <w:rsid w:val="00DD47CC"/>
    <w:rsid w:val="00DE1747"/>
    <w:rsid w:val="00DE53E5"/>
    <w:rsid w:val="00DF0994"/>
    <w:rsid w:val="00E0320F"/>
    <w:rsid w:val="00E15981"/>
    <w:rsid w:val="00E15A41"/>
    <w:rsid w:val="00E2119D"/>
    <w:rsid w:val="00E2370C"/>
    <w:rsid w:val="00E305E8"/>
    <w:rsid w:val="00E36BEB"/>
    <w:rsid w:val="00E40D37"/>
    <w:rsid w:val="00E43884"/>
    <w:rsid w:val="00E470DA"/>
    <w:rsid w:val="00E57CA1"/>
    <w:rsid w:val="00E64DD6"/>
    <w:rsid w:val="00E660DE"/>
    <w:rsid w:val="00E6618E"/>
    <w:rsid w:val="00E701DB"/>
    <w:rsid w:val="00E71238"/>
    <w:rsid w:val="00E737FC"/>
    <w:rsid w:val="00E76DF5"/>
    <w:rsid w:val="00E76E1B"/>
    <w:rsid w:val="00E8098C"/>
    <w:rsid w:val="00E80D82"/>
    <w:rsid w:val="00E80F2B"/>
    <w:rsid w:val="00E810C5"/>
    <w:rsid w:val="00E810F9"/>
    <w:rsid w:val="00E850D1"/>
    <w:rsid w:val="00E86146"/>
    <w:rsid w:val="00E9741E"/>
    <w:rsid w:val="00EA4151"/>
    <w:rsid w:val="00EA48A8"/>
    <w:rsid w:val="00EA493F"/>
    <w:rsid w:val="00EA60AE"/>
    <w:rsid w:val="00EA72CD"/>
    <w:rsid w:val="00EA78D0"/>
    <w:rsid w:val="00EB0B62"/>
    <w:rsid w:val="00EB33ED"/>
    <w:rsid w:val="00EB4FB2"/>
    <w:rsid w:val="00EC0FC2"/>
    <w:rsid w:val="00EC15C7"/>
    <w:rsid w:val="00EC56BB"/>
    <w:rsid w:val="00ED4DB5"/>
    <w:rsid w:val="00ED60A3"/>
    <w:rsid w:val="00EE1D4A"/>
    <w:rsid w:val="00EE3264"/>
    <w:rsid w:val="00EE51F5"/>
    <w:rsid w:val="00EE656D"/>
    <w:rsid w:val="00EF24A0"/>
    <w:rsid w:val="00EF38DA"/>
    <w:rsid w:val="00EF4E0C"/>
    <w:rsid w:val="00F033B3"/>
    <w:rsid w:val="00F038FF"/>
    <w:rsid w:val="00F161F8"/>
    <w:rsid w:val="00F21254"/>
    <w:rsid w:val="00F3199D"/>
    <w:rsid w:val="00F3483A"/>
    <w:rsid w:val="00F35AD0"/>
    <w:rsid w:val="00F41C39"/>
    <w:rsid w:val="00F46909"/>
    <w:rsid w:val="00F7324B"/>
    <w:rsid w:val="00F733DC"/>
    <w:rsid w:val="00F73810"/>
    <w:rsid w:val="00F762A7"/>
    <w:rsid w:val="00F764AE"/>
    <w:rsid w:val="00F83B6C"/>
    <w:rsid w:val="00F849F9"/>
    <w:rsid w:val="00F86774"/>
    <w:rsid w:val="00F86F05"/>
    <w:rsid w:val="00F9112E"/>
    <w:rsid w:val="00F9221C"/>
    <w:rsid w:val="00F9341A"/>
    <w:rsid w:val="00FA3F21"/>
    <w:rsid w:val="00FB2921"/>
    <w:rsid w:val="00FB3D8B"/>
    <w:rsid w:val="00FB5931"/>
    <w:rsid w:val="00FC76DD"/>
    <w:rsid w:val="00FD0394"/>
    <w:rsid w:val="00FD382C"/>
    <w:rsid w:val="00FE3662"/>
    <w:rsid w:val="00FE65AC"/>
    <w:rsid w:val="00FE74AA"/>
    <w:rsid w:val="00FF1CAB"/>
    <w:rsid w:val="00FF3C8C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a.gob.cl/2020/03/27/protocolos-sanitarios-para-funcionamiento-de-empresas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valladares@scj.gob.c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Claudia Valladares</cp:lastModifiedBy>
  <cp:revision>3</cp:revision>
  <cp:lastPrinted>2019-08-27T13:47:00Z</cp:lastPrinted>
  <dcterms:created xsi:type="dcterms:W3CDTF">2021-04-09T21:11:00Z</dcterms:created>
  <dcterms:modified xsi:type="dcterms:W3CDTF">2021-04-09T21:15:00Z</dcterms:modified>
</cp:coreProperties>
</file>