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7DED" w14:textId="1B96FEE6" w:rsidR="003567CA" w:rsidRPr="009A3511" w:rsidRDefault="00265F9E" w:rsidP="00A731C0">
      <w:pPr>
        <w:rPr>
          <w:rFonts w:ascii="Calibri" w:hAnsi="Calibri" w:cs="Arial"/>
          <w:b/>
          <w:sz w:val="32"/>
          <w:szCs w:val="35"/>
        </w:rPr>
      </w:pPr>
      <w:r w:rsidRPr="009A35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F24BE" wp14:editId="5A3175FF">
                <wp:simplePos x="0" y="0"/>
                <wp:positionH relativeFrom="margin">
                  <wp:align>right</wp:align>
                </wp:positionH>
                <wp:positionV relativeFrom="paragraph">
                  <wp:posOffset>-607695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80BB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2C5A842B" w14:textId="2E53B42E" w:rsidR="007C01C3" w:rsidRPr="002E2F19" w:rsidRDefault="007C01C3" w:rsidP="000B7431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0B7431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miércoles 26 de mayo de 2021</w:t>
                            </w:r>
                          </w:p>
                          <w:p w14:paraId="278D2D67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6E13A2B4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F2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7.8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BJQ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" strokecolor="white">
                <v:textbox>
                  <w:txbxContent>
                    <w:p w14:paraId="1E7780BB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2C5A842B" w14:textId="2E53B42E" w:rsidR="007C01C3" w:rsidRPr="002E2F19" w:rsidRDefault="007C01C3" w:rsidP="000B7431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0B7431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miércoles 26 de mayo de 2021</w:t>
                      </w:r>
                    </w:p>
                    <w:p w14:paraId="278D2D67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6E13A2B4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4BFF7" w14:textId="5FB5B20A" w:rsidR="003567CA" w:rsidRPr="009A3511" w:rsidRDefault="003567CA" w:rsidP="003567CA">
      <w:pPr>
        <w:jc w:val="both"/>
        <w:rPr>
          <w:rFonts w:ascii="Calibri" w:hAnsi="Calibri" w:cs="Arial"/>
          <w:b/>
          <w:sz w:val="35"/>
          <w:szCs w:val="35"/>
        </w:rPr>
      </w:pPr>
      <w:r w:rsidRPr="009A3511">
        <w:rPr>
          <w:rFonts w:ascii="Calibri" w:hAnsi="Calibri" w:cs="Arial"/>
          <w:b/>
          <w:sz w:val="35"/>
          <w:szCs w:val="35"/>
        </w:rPr>
        <w:t xml:space="preserve">Superintendencia </w:t>
      </w:r>
      <w:r w:rsidR="000B7431" w:rsidRPr="009A3511">
        <w:rPr>
          <w:rFonts w:ascii="Calibri" w:hAnsi="Calibri" w:cs="Arial"/>
          <w:b/>
          <w:sz w:val="35"/>
          <w:szCs w:val="35"/>
        </w:rPr>
        <w:t xml:space="preserve">publica respuestas a consultas sobre Bases Técnicas del </w:t>
      </w:r>
      <w:r w:rsidRPr="009A3511">
        <w:rPr>
          <w:rFonts w:ascii="Calibri" w:hAnsi="Calibri" w:cs="Arial"/>
          <w:b/>
          <w:sz w:val="35"/>
          <w:szCs w:val="35"/>
        </w:rPr>
        <w:t>proceso de otorgamiento</w:t>
      </w:r>
      <w:r w:rsidR="00DC43F0">
        <w:rPr>
          <w:rFonts w:ascii="Calibri" w:hAnsi="Calibri" w:cs="Arial"/>
          <w:b/>
          <w:sz w:val="35"/>
          <w:szCs w:val="35"/>
        </w:rPr>
        <w:t xml:space="preserve"> o renovación</w:t>
      </w:r>
      <w:r w:rsidRPr="009A3511">
        <w:rPr>
          <w:rFonts w:ascii="Calibri" w:hAnsi="Calibri" w:cs="Arial"/>
          <w:b/>
          <w:sz w:val="35"/>
          <w:szCs w:val="35"/>
        </w:rPr>
        <w:t xml:space="preserve"> de </w:t>
      </w:r>
      <w:r w:rsidR="004776AC" w:rsidRPr="009A3511">
        <w:rPr>
          <w:rFonts w:ascii="Calibri" w:hAnsi="Calibri" w:cs="Arial"/>
          <w:b/>
          <w:sz w:val="35"/>
          <w:szCs w:val="35"/>
        </w:rPr>
        <w:t>permisos de operación para doce</w:t>
      </w:r>
      <w:r w:rsidRPr="009A3511">
        <w:rPr>
          <w:rFonts w:ascii="Calibri" w:hAnsi="Calibri" w:cs="Arial"/>
          <w:b/>
          <w:sz w:val="35"/>
          <w:szCs w:val="35"/>
        </w:rPr>
        <w:t xml:space="preserve"> casinos </w:t>
      </w:r>
      <w:r w:rsidR="000D57EB">
        <w:rPr>
          <w:rFonts w:ascii="Calibri" w:hAnsi="Calibri" w:cs="Arial"/>
          <w:b/>
          <w:sz w:val="35"/>
          <w:szCs w:val="35"/>
        </w:rPr>
        <w:t xml:space="preserve">de juego </w:t>
      </w:r>
      <w:r w:rsidRPr="009A3511">
        <w:rPr>
          <w:rFonts w:ascii="Calibri" w:hAnsi="Calibri" w:cs="Arial"/>
          <w:b/>
          <w:sz w:val="35"/>
          <w:szCs w:val="35"/>
        </w:rPr>
        <w:t>en Chile</w:t>
      </w:r>
    </w:p>
    <w:p w14:paraId="406562E3" w14:textId="77777777" w:rsidR="003567CA" w:rsidRPr="009A3511" w:rsidRDefault="003567CA" w:rsidP="003567CA">
      <w:pPr>
        <w:pStyle w:val="Listavistosa-nfasis11"/>
        <w:jc w:val="both"/>
        <w:rPr>
          <w:rFonts w:ascii="Calibri" w:hAnsi="Calibri"/>
          <w:sz w:val="22"/>
          <w:szCs w:val="22"/>
        </w:rPr>
      </w:pPr>
    </w:p>
    <w:p w14:paraId="69978698" w14:textId="4E0AE503" w:rsidR="00A10009" w:rsidRPr="009A3511" w:rsidRDefault="000B7431" w:rsidP="00A1000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9A3511">
        <w:rPr>
          <w:rFonts w:ascii="Calibri" w:hAnsi="Calibri" w:cs="Calibri"/>
          <w:color w:val="000000"/>
          <w:sz w:val="22"/>
          <w:szCs w:val="22"/>
        </w:rPr>
        <w:t>Dentro del plazo establecido y luego que este lunes 24 de mayo se reinici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>ara</w:t>
      </w:r>
      <w:r w:rsidRPr="009A3511">
        <w:rPr>
          <w:rFonts w:ascii="Calibri" w:hAnsi="Calibri" w:cs="Calibri"/>
          <w:color w:val="000000"/>
          <w:sz w:val="22"/>
          <w:szCs w:val="22"/>
        </w:rPr>
        <w:t xml:space="preserve"> el proceso de otorgamiento o renovación de permisos de operación 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 xml:space="preserve">para los 12 cupos que quedarán disponibles entre el 29 de julio de 2023 y el 14 de mayo de 2024, la Superintendencia de Casinos de Juego publicó </w:t>
      </w:r>
      <w:r w:rsidR="002F46E8">
        <w:rPr>
          <w:rFonts w:ascii="Calibri" w:hAnsi="Calibri" w:cs="Calibri"/>
          <w:color w:val="000000"/>
          <w:sz w:val="22"/>
          <w:szCs w:val="22"/>
        </w:rPr>
        <w:t xml:space="preserve">mediante la Circular Aclaratoria N°1, 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>las respuestas a las consultas y solicitudes realizadas por eventuales postulantes, a las Bases Técnicas del proceso.</w:t>
      </w:r>
    </w:p>
    <w:p w14:paraId="0FD60075" w14:textId="77777777" w:rsidR="00A10009" w:rsidRPr="009A3511" w:rsidRDefault="00A10009" w:rsidP="001A709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76332C" w14:textId="38771000" w:rsidR="00A10009" w:rsidRPr="009A3511" w:rsidRDefault="000B7431" w:rsidP="00A1000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9A3511">
        <w:rPr>
          <w:rFonts w:ascii="Calibri" w:hAnsi="Calibri" w:cs="Calibri"/>
          <w:color w:val="000000"/>
          <w:sz w:val="22"/>
          <w:szCs w:val="22"/>
        </w:rPr>
        <w:t xml:space="preserve">Asimismo, </w:t>
      </w:r>
      <w:r w:rsidR="000D03C9" w:rsidRPr="009A3511">
        <w:rPr>
          <w:rFonts w:ascii="Calibri" w:hAnsi="Calibri" w:cs="Calibri"/>
          <w:color w:val="000000"/>
          <w:sz w:val="22"/>
          <w:szCs w:val="22"/>
        </w:rPr>
        <w:t>el organismo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>,</w:t>
      </w:r>
      <w:r w:rsidR="000D03C9" w:rsidRPr="009A35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>a través de</w:t>
      </w:r>
      <w:r w:rsidR="002F46E8">
        <w:rPr>
          <w:rFonts w:ascii="Calibri" w:hAnsi="Calibri" w:cs="Calibri"/>
          <w:color w:val="000000"/>
          <w:sz w:val="22"/>
          <w:szCs w:val="22"/>
        </w:rPr>
        <w:t xml:space="preserve"> la Circular Aclaratoria N°2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D03C9" w:rsidRPr="009A3511">
        <w:rPr>
          <w:rFonts w:ascii="Calibri" w:hAnsi="Calibri" w:cs="Calibri"/>
          <w:color w:val="000000"/>
          <w:sz w:val="22"/>
          <w:szCs w:val="22"/>
        </w:rPr>
        <w:t xml:space="preserve">formuló de oficio aclaraciones, rectificaciones y precisiones a las citadas </w:t>
      </w:r>
      <w:r w:rsidR="002F46E8">
        <w:rPr>
          <w:rFonts w:ascii="Calibri" w:hAnsi="Calibri" w:cs="Calibri"/>
          <w:color w:val="000000"/>
          <w:sz w:val="22"/>
          <w:szCs w:val="22"/>
        </w:rPr>
        <w:t>B</w:t>
      </w:r>
      <w:r w:rsidR="000D03C9" w:rsidRPr="009A3511">
        <w:rPr>
          <w:rFonts w:ascii="Calibri" w:hAnsi="Calibri" w:cs="Calibri"/>
          <w:color w:val="000000"/>
          <w:sz w:val="22"/>
          <w:szCs w:val="22"/>
        </w:rPr>
        <w:t>ases, de acuerdo con la normativa vigente</w:t>
      </w:r>
      <w:r w:rsidR="00DC43F0">
        <w:rPr>
          <w:rFonts w:ascii="Calibri" w:hAnsi="Calibri" w:cs="Calibri"/>
          <w:color w:val="000000"/>
          <w:sz w:val="22"/>
          <w:szCs w:val="22"/>
        </w:rPr>
        <w:t>,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 xml:space="preserve"> pasando ambas a formar parte íntegra de éstas (</w:t>
      </w:r>
      <w:r w:rsidR="00A731C0">
        <w:rPr>
          <w:rFonts w:ascii="Calibri" w:hAnsi="Calibri" w:cs="Calibri"/>
          <w:color w:val="000000"/>
          <w:sz w:val="22"/>
          <w:szCs w:val="22"/>
        </w:rPr>
        <w:t>d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 xml:space="preserve">isponibles en el sitio </w:t>
      </w:r>
      <w:hyperlink r:id="rId8" w:history="1">
        <w:r w:rsidR="00A10009" w:rsidRPr="009A3511">
          <w:rPr>
            <w:rStyle w:val="Hipervnculo"/>
            <w:rFonts w:ascii="Calibri" w:hAnsi="Calibri" w:cs="Calibri"/>
            <w:sz w:val="22"/>
            <w:szCs w:val="22"/>
          </w:rPr>
          <w:t>http://betchile.scj.cl/</w:t>
        </w:r>
      </w:hyperlink>
      <w:r w:rsidR="00A731C0" w:rsidRPr="00A731C0">
        <w:rPr>
          <w:rStyle w:val="Hipervnculo"/>
          <w:rFonts w:ascii="Calibri" w:hAnsi="Calibri" w:cs="Calibri"/>
          <w:color w:val="auto"/>
          <w:sz w:val="22"/>
          <w:szCs w:val="22"/>
        </w:rPr>
        <w:t>)</w:t>
      </w:r>
      <w:r w:rsidR="00A731C0">
        <w:rPr>
          <w:rStyle w:val="Hipervnculo"/>
          <w:rFonts w:ascii="Calibri" w:hAnsi="Calibri" w:cs="Calibri"/>
          <w:color w:val="auto"/>
          <w:sz w:val="22"/>
          <w:szCs w:val="22"/>
        </w:rPr>
        <w:t>.</w:t>
      </w:r>
    </w:p>
    <w:p w14:paraId="221808FC" w14:textId="0F1D6878" w:rsidR="000D03C9" w:rsidRPr="009A3511" w:rsidRDefault="000D03C9" w:rsidP="001A709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CE759F" w14:textId="28AF19EB" w:rsidR="000D03C9" w:rsidRPr="009A3511" w:rsidRDefault="000D03C9" w:rsidP="000D03C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9A3511">
        <w:rPr>
          <w:rFonts w:ascii="Calibri" w:hAnsi="Calibri" w:cs="Calibri"/>
          <w:color w:val="000000"/>
          <w:sz w:val="22"/>
          <w:szCs w:val="22"/>
        </w:rPr>
        <w:t>Cumplido este hito</w:t>
      </w:r>
      <w:r w:rsidR="00632104" w:rsidRPr="009A351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52104" w:rsidRPr="009A3511">
        <w:rPr>
          <w:rFonts w:ascii="Calibri" w:hAnsi="Calibri" w:cs="Calibri"/>
          <w:color w:val="000000"/>
          <w:sz w:val="22"/>
          <w:szCs w:val="22"/>
        </w:rPr>
        <w:t xml:space="preserve">continúa </w:t>
      </w:r>
      <w:r w:rsidRPr="009A3511">
        <w:rPr>
          <w:rFonts w:ascii="Calibri" w:hAnsi="Calibri" w:cs="Calibri"/>
          <w:color w:val="000000"/>
          <w:sz w:val="22"/>
          <w:szCs w:val="22"/>
        </w:rPr>
        <w:t xml:space="preserve">la </w:t>
      </w:r>
      <w:r w:rsidR="00632104" w:rsidRPr="009A3511">
        <w:rPr>
          <w:rFonts w:ascii="Calibri" w:hAnsi="Calibri" w:cs="Calibri"/>
          <w:color w:val="000000"/>
          <w:sz w:val="22"/>
          <w:szCs w:val="22"/>
        </w:rPr>
        <w:t xml:space="preserve">etapa de </w:t>
      </w:r>
      <w:r w:rsidRPr="009A3511">
        <w:rPr>
          <w:rFonts w:ascii="Calibri" w:hAnsi="Calibri" w:cs="Calibri"/>
          <w:color w:val="000000"/>
          <w:sz w:val="22"/>
          <w:szCs w:val="22"/>
        </w:rPr>
        <w:t xml:space="preserve">preparación de las Ofertas Técnicas y Económicas por parte de los interesados en 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>obtener</w:t>
      </w:r>
      <w:r w:rsidRPr="009A3511">
        <w:rPr>
          <w:rFonts w:ascii="Calibri" w:hAnsi="Calibri" w:cs="Calibri"/>
          <w:color w:val="000000"/>
          <w:sz w:val="22"/>
          <w:szCs w:val="22"/>
        </w:rPr>
        <w:t xml:space="preserve"> un permiso de operación, </w:t>
      </w:r>
      <w:r w:rsidR="00632104" w:rsidRPr="009A3511">
        <w:rPr>
          <w:rFonts w:ascii="Calibri" w:hAnsi="Calibri" w:cs="Calibri"/>
          <w:color w:val="000000"/>
          <w:sz w:val="22"/>
          <w:szCs w:val="22"/>
        </w:rPr>
        <w:t>según l</w:t>
      </w:r>
      <w:r w:rsidRPr="009A3511">
        <w:rPr>
          <w:rFonts w:ascii="Calibri" w:hAnsi="Calibri" w:cs="Calibri"/>
          <w:color w:val="000000"/>
          <w:sz w:val="22"/>
          <w:szCs w:val="22"/>
        </w:rPr>
        <w:t>os requerimientos esta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 xml:space="preserve">blecidos en las referidas </w:t>
      </w:r>
      <w:r w:rsidR="002F46E8">
        <w:rPr>
          <w:rFonts w:ascii="Calibri" w:hAnsi="Calibri" w:cs="Calibri"/>
          <w:color w:val="000000"/>
          <w:sz w:val="22"/>
          <w:szCs w:val="22"/>
        </w:rPr>
        <w:t>B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>ases.</w:t>
      </w:r>
      <w:r w:rsidRPr="009A35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104" w:rsidRPr="009A3511">
        <w:rPr>
          <w:rFonts w:ascii="Calibri" w:hAnsi="Calibri" w:cs="Calibri"/>
          <w:color w:val="000000"/>
          <w:sz w:val="22"/>
          <w:szCs w:val="22"/>
        </w:rPr>
        <w:t>L</w:t>
      </w:r>
      <w:r w:rsidRPr="009A3511">
        <w:rPr>
          <w:rFonts w:ascii="Calibri" w:hAnsi="Calibri" w:cs="Calibri"/>
          <w:color w:val="000000"/>
          <w:sz w:val="22"/>
          <w:szCs w:val="22"/>
        </w:rPr>
        <w:t>a Audiencia de Presentación de Ofertas Técnicas y Económicas está programada para el 18 de octubre de 2021, a las 10:00 horas en el Hotel Gran Palace de Santiago, de acuerdo con lo señalado en la Resolución Exenta N°746 de 24 de noviembre de 2020.</w:t>
      </w:r>
    </w:p>
    <w:p w14:paraId="7915F243" w14:textId="59FBEA93" w:rsidR="00A2498A" w:rsidRPr="009A3511" w:rsidRDefault="00A2498A" w:rsidP="000D03C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9262E5F" w14:textId="60820A2F" w:rsidR="00A10009" w:rsidRPr="009A3511" w:rsidRDefault="00632104" w:rsidP="00A1000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9A3511">
        <w:rPr>
          <w:rFonts w:ascii="Calibri" w:hAnsi="Calibri" w:cs="Calibri"/>
          <w:color w:val="000000"/>
          <w:sz w:val="22"/>
          <w:szCs w:val="22"/>
        </w:rPr>
        <w:t xml:space="preserve">Los </w:t>
      </w:r>
      <w:r w:rsidR="003567CA" w:rsidRPr="009A3511">
        <w:rPr>
          <w:rFonts w:ascii="Calibri" w:hAnsi="Calibri" w:cs="Calibri"/>
          <w:color w:val="000000"/>
          <w:sz w:val="22"/>
          <w:szCs w:val="22"/>
        </w:rPr>
        <w:t xml:space="preserve">oferentes interesados en </w:t>
      </w:r>
      <w:r w:rsidR="00F85E11" w:rsidRPr="009A3511">
        <w:rPr>
          <w:rFonts w:ascii="Calibri" w:hAnsi="Calibri" w:cs="Calibri"/>
          <w:color w:val="000000"/>
          <w:sz w:val="22"/>
          <w:szCs w:val="22"/>
        </w:rPr>
        <w:t>postular a un permi</w:t>
      </w:r>
      <w:r w:rsidR="00606539" w:rsidRPr="009A3511">
        <w:rPr>
          <w:rFonts w:ascii="Calibri" w:hAnsi="Calibri" w:cs="Calibri"/>
          <w:color w:val="000000"/>
          <w:sz w:val="22"/>
          <w:szCs w:val="22"/>
        </w:rPr>
        <w:t>s</w:t>
      </w:r>
      <w:r w:rsidR="001A7099" w:rsidRPr="009A3511">
        <w:rPr>
          <w:rFonts w:ascii="Calibri" w:hAnsi="Calibri" w:cs="Calibri"/>
          <w:color w:val="000000"/>
          <w:sz w:val="22"/>
          <w:szCs w:val="22"/>
        </w:rPr>
        <w:t xml:space="preserve">o de operación, o en renovar su permiso vigente, </w:t>
      </w:r>
      <w:r w:rsidR="003567CA" w:rsidRPr="009A3511">
        <w:rPr>
          <w:rFonts w:ascii="Calibri" w:hAnsi="Calibri" w:cs="Calibri"/>
          <w:color w:val="000000"/>
          <w:sz w:val="22"/>
          <w:szCs w:val="22"/>
        </w:rPr>
        <w:t xml:space="preserve">podrán descargar las bases técnicas </w:t>
      </w:r>
      <w:r w:rsidR="00E839CA" w:rsidRPr="009A3511">
        <w:rPr>
          <w:rFonts w:ascii="Calibri" w:hAnsi="Calibri" w:cs="Calibri"/>
          <w:color w:val="000000"/>
          <w:sz w:val="22"/>
          <w:szCs w:val="22"/>
        </w:rPr>
        <w:t xml:space="preserve">de modo íntegro, así como el </w:t>
      </w:r>
      <w:r w:rsidR="003567CA" w:rsidRPr="009A3511">
        <w:rPr>
          <w:rFonts w:ascii="Calibri" w:hAnsi="Calibri" w:cs="Calibri"/>
          <w:color w:val="000000"/>
          <w:sz w:val="22"/>
          <w:szCs w:val="22"/>
        </w:rPr>
        <w:t xml:space="preserve">Sistema de Postulación </w:t>
      </w:r>
      <w:r w:rsidR="00E839CA" w:rsidRPr="009A3511">
        <w:rPr>
          <w:rFonts w:ascii="Calibri" w:hAnsi="Calibri" w:cs="Calibri"/>
          <w:color w:val="000000"/>
          <w:sz w:val="22"/>
          <w:szCs w:val="22"/>
        </w:rPr>
        <w:t xml:space="preserve">y el manual de uso de este último, 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 xml:space="preserve">en la página web de la SCJ, </w:t>
      </w:r>
      <w:proofErr w:type="spellStart"/>
      <w:r w:rsidR="00A10009" w:rsidRPr="009A3511">
        <w:rPr>
          <w:rFonts w:ascii="Calibri" w:hAnsi="Calibri" w:cs="Calibri"/>
          <w:color w:val="000000"/>
          <w:sz w:val="22"/>
          <w:szCs w:val="22"/>
        </w:rPr>
        <w:t>betchile</w:t>
      </w:r>
      <w:proofErr w:type="spellEnd"/>
      <w:r w:rsidR="00A10009" w:rsidRPr="009A3511">
        <w:rPr>
          <w:rFonts w:ascii="Calibri" w:hAnsi="Calibri" w:cs="Calibri"/>
          <w:color w:val="000000"/>
          <w:sz w:val="22"/>
          <w:szCs w:val="22"/>
        </w:rPr>
        <w:t>, sección etapas del proceso, apertura del proceso (</w:t>
      </w:r>
      <w:hyperlink r:id="rId9" w:history="1">
        <w:r w:rsidR="00A10009" w:rsidRPr="009A3511">
          <w:rPr>
            <w:rStyle w:val="Hipervnculo"/>
            <w:rFonts w:asciiTheme="majorHAnsi" w:hAnsiTheme="majorHAnsi" w:cstheme="majorHAnsi"/>
          </w:rPr>
          <w:t>http://betchile.scj.cl/apertura-del-proceso/</w:t>
        </w:r>
      </w:hyperlink>
      <w:r w:rsidR="00A10009" w:rsidRPr="009A3511">
        <w:rPr>
          <w:rFonts w:asciiTheme="majorHAnsi" w:hAnsiTheme="majorHAnsi" w:cstheme="majorHAnsi"/>
        </w:rPr>
        <w:t>)</w:t>
      </w:r>
      <w:r w:rsidR="002F46E8">
        <w:rPr>
          <w:rFonts w:asciiTheme="majorHAnsi" w:hAnsiTheme="majorHAnsi" w:cstheme="majorHAnsi"/>
        </w:rPr>
        <w:t>.</w:t>
      </w:r>
    </w:p>
    <w:p w14:paraId="07D36A0C" w14:textId="4C4E7688" w:rsidR="00054663" w:rsidRPr="009A3511" w:rsidRDefault="00054663" w:rsidP="00A1000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300B3B" w14:textId="5FF75202" w:rsidR="00380E06" w:rsidRPr="009A3511" w:rsidRDefault="00632104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9A3511">
        <w:rPr>
          <w:rFonts w:ascii="Calibri" w:hAnsi="Calibri" w:cs="Calibri"/>
          <w:color w:val="000000"/>
          <w:sz w:val="22"/>
          <w:szCs w:val="22"/>
        </w:rPr>
        <w:t>Cabe recordar que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>, según la normativa,</w:t>
      </w:r>
      <w:r w:rsidRPr="009A35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>es posible</w:t>
      </w:r>
      <w:r w:rsidR="004E735E" w:rsidRPr="009A3511">
        <w:rPr>
          <w:rFonts w:ascii="Calibri" w:hAnsi="Calibri" w:cs="Calibri"/>
          <w:color w:val="000000"/>
          <w:sz w:val="22"/>
          <w:szCs w:val="22"/>
        </w:rPr>
        <w:t xml:space="preserve"> postular a un permiso de operación en todas las regiones del país, con excepción de la Región Metropolitana y que, además, la Región de Valparaíso se encuentra excluida de este proceso, puesto que ya cuenta con el máximo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 xml:space="preserve"> permitido</w:t>
      </w:r>
      <w:r w:rsidR="004E735E" w:rsidRPr="009A3511">
        <w:rPr>
          <w:rFonts w:ascii="Calibri" w:hAnsi="Calibri" w:cs="Calibri"/>
          <w:color w:val="000000"/>
          <w:sz w:val="22"/>
          <w:szCs w:val="22"/>
        </w:rPr>
        <w:t xml:space="preserve"> de tres casinos</w:t>
      </w:r>
      <w:r w:rsidR="00A10009" w:rsidRPr="009A3511">
        <w:rPr>
          <w:rFonts w:ascii="Calibri" w:hAnsi="Calibri" w:cs="Calibri"/>
          <w:color w:val="000000"/>
          <w:sz w:val="22"/>
          <w:szCs w:val="22"/>
        </w:rPr>
        <w:t>,</w:t>
      </w:r>
      <w:r w:rsidR="004E735E" w:rsidRPr="009A3511">
        <w:rPr>
          <w:rFonts w:ascii="Calibri" w:hAnsi="Calibri" w:cs="Calibri"/>
          <w:color w:val="000000"/>
          <w:sz w:val="22"/>
          <w:szCs w:val="22"/>
        </w:rPr>
        <w:t xml:space="preserve"> con permiso de operación vigente.</w:t>
      </w:r>
      <w:r w:rsidR="003F2ACD" w:rsidRPr="009A351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C1F6AE" w14:textId="77777777" w:rsidR="00632104" w:rsidRPr="009A3511" w:rsidRDefault="00632104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D71B3E" w14:textId="11AD9C34" w:rsidR="00606539" w:rsidRPr="009A3511" w:rsidRDefault="00606539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9A3511">
        <w:rPr>
          <w:rFonts w:ascii="Calibri" w:hAnsi="Calibri" w:cs="Calibri"/>
          <w:color w:val="000000"/>
          <w:sz w:val="22"/>
          <w:szCs w:val="22"/>
        </w:rPr>
        <w:t xml:space="preserve">Toda la información sobre el proceso se encuentra disponible en el sitio web </w:t>
      </w:r>
      <w:hyperlink r:id="rId10" w:history="1">
        <w:r w:rsidRPr="009A3511">
          <w:rPr>
            <w:rStyle w:val="Hipervnculo"/>
            <w:rFonts w:ascii="Calibri" w:hAnsi="Calibri" w:cs="Calibri"/>
            <w:sz w:val="22"/>
            <w:szCs w:val="22"/>
          </w:rPr>
          <w:t>www.betchile.scj.cl</w:t>
        </w:r>
      </w:hyperlink>
      <w:r w:rsidR="002F46E8">
        <w:rPr>
          <w:rStyle w:val="Hipervnculo"/>
          <w:rFonts w:ascii="Calibri" w:hAnsi="Calibri" w:cs="Calibri"/>
          <w:sz w:val="22"/>
          <w:szCs w:val="22"/>
        </w:rPr>
        <w:t>.</w:t>
      </w:r>
    </w:p>
    <w:p w14:paraId="113CDAB7" w14:textId="77777777" w:rsidR="004E735E" w:rsidRPr="009A3511" w:rsidRDefault="004E735E" w:rsidP="004E7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669F5301" w14:textId="77CDA7A7" w:rsidR="004E735E" w:rsidRPr="009A3511" w:rsidRDefault="004E735E" w:rsidP="004E7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9A3511">
        <w:rPr>
          <w:rFonts w:ascii="Calibri" w:hAnsi="Calibri" w:cs="Calibri"/>
          <w:color w:val="000000"/>
          <w:sz w:val="22"/>
          <w:szCs w:val="22"/>
          <w:lang w:val="es-ES" w:eastAsia="es-ES"/>
        </w:rPr>
        <w:t>Cupos de casinos que quedarán disponibles, a partir del año 2023</w:t>
      </w:r>
      <w:r w:rsidR="002F46E8">
        <w:rPr>
          <w:rFonts w:ascii="Calibri" w:hAnsi="Calibri" w:cs="Calibri"/>
          <w:color w:val="000000"/>
          <w:sz w:val="22"/>
          <w:szCs w:val="22"/>
          <w:lang w:val="es-ES" w:eastAsia="es-ES"/>
        </w:rPr>
        <w:t>:</w:t>
      </w:r>
    </w:p>
    <w:p w14:paraId="09404ADF" w14:textId="77777777" w:rsidR="004E735E" w:rsidRPr="009A3511" w:rsidRDefault="004E735E" w:rsidP="004E7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51"/>
        <w:gridCol w:w="1617"/>
        <w:gridCol w:w="1701"/>
        <w:gridCol w:w="1983"/>
        <w:gridCol w:w="1277"/>
        <w:gridCol w:w="1418"/>
      </w:tblGrid>
      <w:tr w:rsidR="00C010B2" w:rsidRPr="009A3511" w14:paraId="44DD9CA8" w14:textId="77777777" w:rsidTr="00696E3A">
        <w:trPr>
          <w:trHeight w:val="352"/>
        </w:trPr>
        <w:tc>
          <w:tcPr>
            <w:tcW w:w="10207" w:type="dxa"/>
            <w:gridSpan w:val="7"/>
            <w:shd w:val="clear" w:color="auto" w:fill="1F497D" w:themeFill="text2"/>
            <w:vAlign w:val="center"/>
          </w:tcPr>
          <w:p w14:paraId="02850A02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Casinos Ley </w:t>
            </w: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N°19.995 según fecha de inicio de operación de casino de juego con vencimiento de permisos a mayo de 2024</w:t>
            </w:r>
          </w:p>
        </w:tc>
      </w:tr>
      <w:tr w:rsidR="00C010B2" w:rsidRPr="009A3511" w14:paraId="0D28DA2E" w14:textId="77777777" w:rsidTr="00696E3A">
        <w:trPr>
          <w:trHeight w:val="352"/>
        </w:trPr>
        <w:tc>
          <w:tcPr>
            <w:tcW w:w="1560" w:type="dxa"/>
            <w:vMerge w:val="restart"/>
            <w:shd w:val="clear" w:color="auto" w:fill="1F497D" w:themeFill="text2"/>
            <w:vAlign w:val="center"/>
          </w:tcPr>
          <w:p w14:paraId="04CFC024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268" w:type="dxa"/>
            <w:gridSpan w:val="2"/>
            <w:vMerge w:val="restart"/>
            <w:shd w:val="clear" w:color="auto" w:fill="1F497D" w:themeFill="text2"/>
            <w:vAlign w:val="center"/>
          </w:tcPr>
          <w:p w14:paraId="310AC6CC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Sociedad operadora</w:t>
            </w:r>
          </w:p>
        </w:tc>
        <w:tc>
          <w:tcPr>
            <w:tcW w:w="1701" w:type="dxa"/>
            <w:vMerge w:val="restart"/>
            <w:shd w:val="clear" w:color="auto" w:fill="1F497D" w:themeFill="text2"/>
            <w:vAlign w:val="center"/>
          </w:tcPr>
          <w:p w14:paraId="05794FE9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983" w:type="dxa"/>
            <w:vMerge w:val="restart"/>
            <w:shd w:val="clear" w:color="auto" w:fill="1F497D" w:themeFill="text2"/>
            <w:vAlign w:val="center"/>
          </w:tcPr>
          <w:p w14:paraId="19FB6248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Fecha de otorgamiento permiso de operación</w:t>
            </w:r>
          </w:p>
        </w:tc>
        <w:tc>
          <w:tcPr>
            <w:tcW w:w="2695" w:type="dxa"/>
            <w:gridSpan w:val="2"/>
            <w:shd w:val="clear" w:color="auto" w:fill="1F497D" w:themeFill="text2"/>
            <w:vAlign w:val="center"/>
          </w:tcPr>
          <w:p w14:paraId="5BF62651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Operación casino de juego</w:t>
            </w:r>
          </w:p>
        </w:tc>
      </w:tr>
      <w:tr w:rsidR="00C010B2" w:rsidRPr="009A3511" w14:paraId="4EE82A64" w14:textId="77777777" w:rsidTr="00696E3A">
        <w:trPr>
          <w:trHeight w:val="804"/>
        </w:trPr>
        <w:tc>
          <w:tcPr>
            <w:tcW w:w="1560" w:type="dxa"/>
            <w:vMerge/>
            <w:shd w:val="clear" w:color="auto" w:fill="1F497D" w:themeFill="text2"/>
            <w:vAlign w:val="center"/>
            <w:hideMark/>
          </w:tcPr>
          <w:p w14:paraId="7346C7A3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gridSpan w:val="2"/>
            <w:vMerge/>
            <w:shd w:val="clear" w:color="auto" w:fill="1F497D" w:themeFill="text2"/>
          </w:tcPr>
          <w:p w14:paraId="7D65A981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vMerge/>
            <w:shd w:val="clear" w:color="auto" w:fill="1F497D" w:themeFill="text2"/>
            <w:vAlign w:val="center"/>
            <w:hideMark/>
          </w:tcPr>
          <w:p w14:paraId="4024AC47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983" w:type="dxa"/>
            <w:vMerge/>
            <w:shd w:val="clear" w:color="auto" w:fill="1F497D" w:themeFill="text2"/>
            <w:vAlign w:val="center"/>
            <w:hideMark/>
          </w:tcPr>
          <w:p w14:paraId="59F207B8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277" w:type="dxa"/>
            <w:shd w:val="clear" w:color="auto" w:fill="1F497D" w:themeFill="text2"/>
            <w:vAlign w:val="center"/>
            <w:hideMark/>
          </w:tcPr>
          <w:p w14:paraId="351EF536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Fecha de Inicio</w:t>
            </w:r>
          </w:p>
          <w:p w14:paraId="7FB1EA83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operaciones </w:t>
            </w:r>
          </w:p>
        </w:tc>
        <w:tc>
          <w:tcPr>
            <w:tcW w:w="1418" w:type="dxa"/>
            <w:shd w:val="clear" w:color="auto" w:fill="1F497D" w:themeFill="text2"/>
            <w:vAlign w:val="center"/>
            <w:hideMark/>
          </w:tcPr>
          <w:p w14:paraId="677E91E2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Fecha de Término</w:t>
            </w:r>
          </w:p>
          <w:p w14:paraId="7DAF7353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permiso de operación </w:t>
            </w:r>
          </w:p>
        </w:tc>
      </w:tr>
      <w:tr w:rsidR="00C010B2" w:rsidRPr="009A3511" w14:paraId="7923717B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BAF2641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495B62FB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Gran Los Ángeles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F10914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Gran Los Ángeles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26F63290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DFE802D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7880B3A" w14:textId="35F5CDC4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9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-jul-23</w:t>
            </w:r>
          </w:p>
        </w:tc>
      </w:tr>
      <w:tr w:rsidR="00C010B2" w:rsidRPr="009A3511" w14:paraId="70F32F96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FC56B7A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Atacama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33B90176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Gran Casino de Copiapó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79D30C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Antay Casino &amp; Hotel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6BA262A0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FAE8A36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07-ago-08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5F91DA5" w14:textId="31E39712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7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-ago-23</w:t>
            </w:r>
          </w:p>
        </w:tc>
      </w:tr>
      <w:tr w:rsidR="00C010B2" w:rsidRPr="009A3511" w14:paraId="05E89F03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C757605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</w:t>
            </w:r>
            <w:r w:rsidR="00E039AC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l Libertador General Bernardo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O'Higgins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13D6048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Colchagua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A3620E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Colchagua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58F579E5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5C521E1E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12-sept-08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55A57D6" w14:textId="0327503B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-sept-23</w:t>
            </w:r>
          </w:p>
        </w:tc>
      </w:tr>
      <w:tr w:rsidR="00C010B2" w:rsidRPr="009A3511" w14:paraId="5501678F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828E9A4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lastRenderedPageBreak/>
              <w:t>De</w:t>
            </w:r>
            <w:r w:rsidR="00E039AC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l Libertador General Bernardo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O'Higgins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64981137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San Francisco Investment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D9669D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Sun Monticello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074263A4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8F52C73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08-oct-08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0B6EF27" w14:textId="163D8DE0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8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-oct-23</w:t>
            </w:r>
          </w:p>
        </w:tc>
      </w:tr>
      <w:tr w:rsidR="00C010B2" w:rsidRPr="009A3511" w14:paraId="630B3DCA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1EEC23A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Antofagasta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F9DE66A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Operaciones El Escorial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9D44F3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Enjoy Antofagasta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476B1351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71D0D99F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11-nov-08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439A8BD" w14:textId="527884D2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-nov-23</w:t>
            </w:r>
          </w:p>
        </w:tc>
      </w:tr>
      <w:tr w:rsidR="00C010B2" w:rsidRPr="009A3511" w14:paraId="0907CEBB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14E5436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75016FAF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268522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07CE4D3C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075AF25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13-nov-08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DCCE8B3" w14:textId="748C50D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3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-nov-23</w:t>
            </w:r>
          </w:p>
        </w:tc>
      </w:tr>
      <w:tr w:rsidR="00C010B2" w:rsidRPr="009A3511" w14:paraId="4AFCF3C2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B929C27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Del Maule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127D2AD6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Sociedad Casino de Juego de Talca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E0FCBA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Gran Casino de Talca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604C531F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6B1DA726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26-dic-08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BA2434E" w14:textId="46063F2B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6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-dic-23</w:t>
            </w:r>
          </w:p>
        </w:tc>
      </w:tr>
      <w:tr w:rsidR="00C010B2" w:rsidRPr="009A3511" w14:paraId="07F2AE0E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65202D05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los Lagos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1E6C06F7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Latin Gaming Osorno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3153E5A8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 Osorno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7A9E3326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221D1FD5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13-ene-09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525AFEED" w14:textId="78B22038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3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-ene-24</w:t>
            </w:r>
          </w:p>
        </w:tc>
      </w:tr>
      <w:tr w:rsidR="00C010B2" w:rsidRPr="009A3511" w14:paraId="5EB2E0B6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040C0E68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la Araucanía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5D914B8D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Juegos Temuco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2A0C3AAA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Dreams Temuco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32334873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746F428F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14-ene-09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6B595F88" w14:textId="648B0F1C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4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-ene-24</w:t>
            </w:r>
          </w:p>
        </w:tc>
      </w:tr>
      <w:tr w:rsidR="00C010B2" w:rsidRPr="009A3511" w14:paraId="4AA16C73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0F638D26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los Ríos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792A94E9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Juegos Valdivia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719FB1FE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Dreams Valdivia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167C4726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38C2499B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20-feb-09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108EA01F" w14:textId="45CF8E4C" w:rsidR="00C010B2" w:rsidRPr="009A3511" w:rsidRDefault="003F2ACD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20</w:t>
            </w:r>
            <w:r w:rsidR="00C010B2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-feb-24</w:t>
            </w:r>
          </w:p>
        </w:tc>
      </w:tr>
      <w:tr w:rsidR="00C010B2" w:rsidRPr="009A3511" w14:paraId="5AEC6043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2DCA518B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Magallanes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45A70C33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Juegos Punta Arenas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348BDE0A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Dreams Punta Arenas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74D1F37B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3576AB52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13-mar-09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24974986" w14:textId="4692CD61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3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-mar-24</w:t>
            </w:r>
          </w:p>
        </w:tc>
      </w:tr>
      <w:tr w:rsidR="00C010B2" w:rsidRPr="009A3511" w14:paraId="584BF853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3935C83A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Antofagasta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5F4F2366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Latin Gaming Calama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7A0DE115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 Calama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0180EB74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21-sept-06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49D56854" w14:textId="77777777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14-may-09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1B103849" w14:textId="08DDDEEE" w:rsidR="00C010B2" w:rsidRPr="009A3511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4</w:t>
            </w:r>
            <w:r w:rsidRPr="009A3511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-may-24</w:t>
            </w:r>
          </w:p>
        </w:tc>
      </w:tr>
      <w:tr w:rsidR="00C010B2" w:rsidRPr="009A3511" w14:paraId="1382B5D1" w14:textId="77777777" w:rsidTr="00730A66">
        <w:trPr>
          <w:trHeight w:val="268"/>
        </w:trPr>
        <w:tc>
          <w:tcPr>
            <w:tcW w:w="2211" w:type="dxa"/>
            <w:gridSpan w:val="2"/>
            <w:shd w:val="clear" w:color="auto" w:fill="1F497D" w:themeFill="text2"/>
            <w:vAlign w:val="center"/>
          </w:tcPr>
          <w:p w14:paraId="75825DA5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5301" w:type="dxa"/>
            <w:gridSpan w:val="3"/>
            <w:shd w:val="clear" w:color="auto" w:fill="1F497D" w:themeFill="text2"/>
            <w:noWrap/>
            <w:vAlign w:val="center"/>
            <w:hideMark/>
          </w:tcPr>
          <w:p w14:paraId="254F6673" w14:textId="77777777" w:rsidR="00C010B2" w:rsidRPr="009A3511" w:rsidRDefault="00C010B2" w:rsidP="00C93F79">
            <w:pPr>
              <w:ind w:left="-1174" w:firstLine="1174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proofErr w:type="gramStart"/>
            <w:r w:rsidRPr="009A3511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Total</w:t>
            </w:r>
            <w:proofErr w:type="gramEnd"/>
            <w:r w:rsidRPr="009A3511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casinos: 12</w:t>
            </w:r>
          </w:p>
        </w:tc>
        <w:tc>
          <w:tcPr>
            <w:tcW w:w="1277" w:type="dxa"/>
            <w:shd w:val="clear" w:color="auto" w:fill="1F497D" w:themeFill="text2"/>
            <w:noWrap/>
            <w:vAlign w:val="center"/>
            <w:hideMark/>
          </w:tcPr>
          <w:p w14:paraId="721A05A4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shd w:val="clear" w:color="auto" w:fill="1F497D" w:themeFill="text2"/>
            <w:noWrap/>
            <w:vAlign w:val="center"/>
            <w:hideMark/>
          </w:tcPr>
          <w:p w14:paraId="6B5769CC" w14:textId="77777777" w:rsidR="00C010B2" w:rsidRPr="009A3511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9A3511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</w:tr>
    </w:tbl>
    <w:p w14:paraId="1885CC66" w14:textId="77777777" w:rsidR="00A00077" w:rsidRPr="009A3511" w:rsidRDefault="00A00077" w:rsidP="00091DA2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00077" w:rsidRPr="009A3511" w:rsidSect="00FE532E">
      <w:headerReference w:type="default" r:id="rId11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EA3B" w14:textId="77777777" w:rsidR="00596586" w:rsidRDefault="00596586" w:rsidP="00B15F33">
      <w:r>
        <w:separator/>
      </w:r>
    </w:p>
  </w:endnote>
  <w:endnote w:type="continuationSeparator" w:id="0">
    <w:p w14:paraId="43210221" w14:textId="77777777" w:rsidR="00596586" w:rsidRDefault="00596586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23DB" w14:textId="77777777" w:rsidR="00596586" w:rsidRDefault="00596586" w:rsidP="00B15F33">
      <w:r>
        <w:separator/>
      </w:r>
    </w:p>
  </w:footnote>
  <w:footnote w:type="continuationSeparator" w:id="0">
    <w:p w14:paraId="6F4264C7" w14:textId="77777777" w:rsidR="00596586" w:rsidRDefault="00596586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A3D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2066D717" wp14:editId="2456513E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.25pt;height:2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1B63"/>
    <w:multiLevelType w:val="hybridMultilevel"/>
    <w:tmpl w:val="A2260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55DCA"/>
    <w:multiLevelType w:val="hybridMultilevel"/>
    <w:tmpl w:val="CC4A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E31"/>
    <w:multiLevelType w:val="hybridMultilevel"/>
    <w:tmpl w:val="38A2F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5EF5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4663"/>
    <w:rsid w:val="000631C9"/>
    <w:rsid w:val="000669B6"/>
    <w:rsid w:val="000678EE"/>
    <w:rsid w:val="000719FC"/>
    <w:rsid w:val="00072518"/>
    <w:rsid w:val="00075ECD"/>
    <w:rsid w:val="000770DE"/>
    <w:rsid w:val="00077E4E"/>
    <w:rsid w:val="00086885"/>
    <w:rsid w:val="00086CD4"/>
    <w:rsid w:val="0009050A"/>
    <w:rsid w:val="00091DA2"/>
    <w:rsid w:val="0009533D"/>
    <w:rsid w:val="000973A9"/>
    <w:rsid w:val="000A075D"/>
    <w:rsid w:val="000A309C"/>
    <w:rsid w:val="000A3743"/>
    <w:rsid w:val="000A741C"/>
    <w:rsid w:val="000B0CBE"/>
    <w:rsid w:val="000B7431"/>
    <w:rsid w:val="000C00C7"/>
    <w:rsid w:val="000C19C6"/>
    <w:rsid w:val="000C2206"/>
    <w:rsid w:val="000C3D49"/>
    <w:rsid w:val="000C3DA6"/>
    <w:rsid w:val="000C54DE"/>
    <w:rsid w:val="000C61F5"/>
    <w:rsid w:val="000C66E6"/>
    <w:rsid w:val="000D03C9"/>
    <w:rsid w:val="000D03F0"/>
    <w:rsid w:val="000D49CB"/>
    <w:rsid w:val="000D4E3B"/>
    <w:rsid w:val="000D57EB"/>
    <w:rsid w:val="000D5E31"/>
    <w:rsid w:val="000D7C7C"/>
    <w:rsid w:val="000E3507"/>
    <w:rsid w:val="000E7112"/>
    <w:rsid w:val="000E7E94"/>
    <w:rsid w:val="000F0BE5"/>
    <w:rsid w:val="000F3CA4"/>
    <w:rsid w:val="000F472C"/>
    <w:rsid w:val="000F5601"/>
    <w:rsid w:val="000F5780"/>
    <w:rsid w:val="000F726E"/>
    <w:rsid w:val="00102A48"/>
    <w:rsid w:val="0010456A"/>
    <w:rsid w:val="00107D46"/>
    <w:rsid w:val="0011166B"/>
    <w:rsid w:val="00116422"/>
    <w:rsid w:val="0011757E"/>
    <w:rsid w:val="00120E98"/>
    <w:rsid w:val="001214F9"/>
    <w:rsid w:val="00125B7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ABF"/>
    <w:rsid w:val="00187EB2"/>
    <w:rsid w:val="0019435B"/>
    <w:rsid w:val="00195FA9"/>
    <w:rsid w:val="00196495"/>
    <w:rsid w:val="00196964"/>
    <w:rsid w:val="00197563"/>
    <w:rsid w:val="001A0A26"/>
    <w:rsid w:val="001A50F2"/>
    <w:rsid w:val="001A7099"/>
    <w:rsid w:val="001A7C43"/>
    <w:rsid w:val="001A7D2B"/>
    <w:rsid w:val="001B0D2C"/>
    <w:rsid w:val="001B15F5"/>
    <w:rsid w:val="001B24C6"/>
    <w:rsid w:val="001B3169"/>
    <w:rsid w:val="001C09F1"/>
    <w:rsid w:val="001D09F7"/>
    <w:rsid w:val="001D56DF"/>
    <w:rsid w:val="001D720C"/>
    <w:rsid w:val="001E0795"/>
    <w:rsid w:val="001E17A0"/>
    <w:rsid w:val="001E28B2"/>
    <w:rsid w:val="001E7024"/>
    <w:rsid w:val="001F100E"/>
    <w:rsid w:val="00201CFC"/>
    <w:rsid w:val="00201DCE"/>
    <w:rsid w:val="00202E1E"/>
    <w:rsid w:val="00206BA8"/>
    <w:rsid w:val="00216624"/>
    <w:rsid w:val="002167DD"/>
    <w:rsid w:val="00222133"/>
    <w:rsid w:val="00224782"/>
    <w:rsid w:val="00225766"/>
    <w:rsid w:val="002277BC"/>
    <w:rsid w:val="0023635A"/>
    <w:rsid w:val="002365F3"/>
    <w:rsid w:val="00247753"/>
    <w:rsid w:val="00250560"/>
    <w:rsid w:val="00251BFE"/>
    <w:rsid w:val="00252A9B"/>
    <w:rsid w:val="00253365"/>
    <w:rsid w:val="00261CDD"/>
    <w:rsid w:val="00262F82"/>
    <w:rsid w:val="00265F9E"/>
    <w:rsid w:val="00266FCE"/>
    <w:rsid w:val="00267CA8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6E8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C9E"/>
    <w:rsid w:val="003240D8"/>
    <w:rsid w:val="003261DB"/>
    <w:rsid w:val="003335EF"/>
    <w:rsid w:val="0033380E"/>
    <w:rsid w:val="00341712"/>
    <w:rsid w:val="00343B52"/>
    <w:rsid w:val="003567CA"/>
    <w:rsid w:val="0035714B"/>
    <w:rsid w:val="0036086C"/>
    <w:rsid w:val="00365464"/>
    <w:rsid w:val="003665B8"/>
    <w:rsid w:val="00370C26"/>
    <w:rsid w:val="00376F6B"/>
    <w:rsid w:val="00380094"/>
    <w:rsid w:val="00380C1F"/>
    <w:rsid w:val="00380E06"/>
    <w:rsid w:val="0038167A"/>
    <w:rsid w:val="0038183B"/>
    <w:rsid w:val="00391F10"/>
    <w:rsid w:val="00395FCA"/>
    <w:rsid w:val="003A06AB"/>
    <w:rsid w:val="003A450E"/>
    <w:rsid w:val="003A47D5"/>
    <w:rsid w:val="003A4BD3"/>
    <w:rsid w:val="003A4E01"/>
    <w:rsid w:val="003A6672"/>
    <w:rsid w:val="003A7BA3"/>
    <w:rsid w:val="003B01CB"/>
    <w:rsid w:val="003D1BB1"/>
    <w:rsid w:val="003D53AE"/>
    <w:rsid w:val="003D5DDE"/>
    <w:rsid w:val="003E236C"/>
    <w:rsid w:val="003F0917"/>
    <w:rsid w:val="003F17D8"/>
    <w:rsid w:val="003F2ACD"/>
    <w:rsid w:val="003F353E"/>
    <w:rsid w:val="003F7AC8"/>
    <w:rsid w:val="00403B1C"/>
    <w:rsid w:val="00412841"/>
    <w:rsid w:val="004148E6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5766"/>
    <w:rsid w:val="00466B2D"/>
    <w:rsid w:val="00472FCD"/>
    <w:rsid w:val="004748D5"/>
    <w:rsid w:val="0047612B"/>
    <w:rsid w:val="004776AC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E04E2"/>
    <w:rsid w:val="004E1B12"/>
    <w:rsid w:val="004E735E"/>
    <w:rsid w:val="004F1266"/>
    <w:rsid w:val="004F1F83"/>
    <w:rsid w:val="004F2787"/>
    <w:rsid w:val="004F51D3"/>
    <w:rsid w:val="005015A7"/>
    <w:rsid w:val="00510B93"/>
    <w:rsid w:val="005209DF"/>
    <w:rsid w:val="005236F9"/>
    <w:rsid w:val="00525B4B"/>
    <w:rsid w:val="00525E9C"/>
    <w:rsid w:val="00526383"/>
    <w:rsid w:val="005317C1"/>
    <w:rsid w:val="00537134"/>
    <w:rsid w:val="0054102E"/>
    <w:rsid w:val="005416B1"/>
    <w:rsid w:val="00541C7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55555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6586"/>
    <w:rsid w:val="00597CD6"/>
    <w:rsid w:val="00597F7C"/>
    <w:rsid w:val="005A01DC"/>
    <w:rsid w:val="005A74B9"/>
    <w:rsid w:val="005B02CE"/>
    <w:rsid w:val="005B260B"/>
    <w:rsid w:val="005B3F00"/>
    <w:rsid w:val="005B41A9"/>
    <w:rsid w:val="005B6A3F"/>
    <w:rsid w:val="005B7F84"/>
    <w:rsid w:val="005C3D80"/>
    <w:rsid w:val="005C4D21"/>
    <w:rsid w:val="005C5C17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5A9F"/>
    <w:rsid w:val="00606539"/>
    <w:rsid w:val="0060673B"/>
    <w:rsid w:val="00606F73"/>
    <w:rsid w:val="00611B7F"/>
    <w:rsid w:val="0061233D"/>
    <w:rsid w:val="00612472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2104"/>
    <w:rsid w:val="00633984"/>
    <w:rsid w:val="00634469"/>
    <w:rsid w:val="00636735"/>
    <w:rsid w:val="00644DFE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C49"/>
    <w:rsid w:val="0066510B"/>
    <w:rsid w:val="006671D4"/>
    <w:rsid w:val="00670AF7"/>
    <w:rsid w:val="00672C19"/>
    <w:rsid w:val="006812EE"/>
    <w:rsid w:val="00681FAD"/>
    <w:rsid w:val="006841FD"/>
    <w:rsid w:val="00685974"/>
    <w:rsid w:val="00685B9F"/>
    <w:rsid w:val="00690D4E"/>
    <w:rsid w:val="00696C86"/>
    <w:rsid w:val="00696D90"/>
    <w:rsid w:val="00696E3A"/>
    <w:rsid w:val="00696E7C"/>
    <w:rsid w:val="006A1743"/>
    <w:rsid w:val="006A19C8"/>
    <w:rsid w:val="006A2020"/>
    <w:rsid w:val="006A2B7F"/>
    <w:rsid w:val="006A4223"/>
    <w:rsid w:val="006A46F3"/>
    <w:rsid w:val="006A4CFF"/>
    <w:rsid w:val="006B2530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0A66"/>
    <w:rsid w:val="00731899"/>
    <w:rsid w:val="007333FF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7DC"/>
    <w:rsid w:val="00764873"/>
    <w:rsid w:val="00767E87"/>
    <w:rsid w:val="00771220"/>
    <w:rsid w:val="007730C0"/>
    <w:rsid w:val="007735F7"/>
    <w:rsid w:val="00775477"/>
    <w:rsid w:val="00775BC3"/>
    <w:rsid w:val="00775DCB"/>
    <w:rsid w:val="007817F7"/>
    <w:rsid w:val="00790322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4E84"/>
    <w:rsid w:val="007C5471"/>
    <w:rsid w:val="007D0898"/>
    <w:rsid w:val="007D7E7B"/>
    <w:rsid w:val="007E0A10"/>
    <w:rsid w:val="007E3A9E"/>
    <w:rsid w:val="007E489C"/>
    <w:rsid w:val="007E6A3D"/>
    <w:rsid w:val="007F0F33"/>
    <w:rsid w:val="007F39BE"/>
    <w:rsid w:val="007F69FF"/>
    <w:rsid w:val="007F6D13"/>
    <w:rsid w:val="007F7F96"/>
    <w:rsid w:val="0080491A"/>
    <w:rsid w:val="00804EB4"/>
    <w:rsid w:val="0080717E"/>
    <w:rsid w:val="0081425C"/>
    <w:rsid w:val="00814FC9"/>
    <w:rsid w:val="0081611E"/>
    <w:rsid w:val="00817648"/>
    <w:rsid w:val="00817BB3"/>
    <w:rsid w:val="00823186"/>
    <w:rsid w:val="00830B4C"/>
    <w:rsid w:val="00831235"/>
    <w:rsid w:val="008336FE"/>
    <w:rsid w:val="0083457C"/>
    <w:rsid w:val="0083547D"/>
    <w:rsid w:val="00835C8C"/>
    <w:rsid w:val="008364A1"/>
    <w:rsid w:val="0084434F"/>
    <w:rsid w:val="008459BC"/>
    <w:rsid w:val="008465C1"/>
    <w:rsid w:val="008508EB"/>
    <w:rsid w:val="0085130B"/>
    <w:rsid w:val="00851B90"/>
    <w:rsid w:val="0085380A"/>
    <w:rsid w:val="00856252"/>
    <w:rsid w:val="00856344"/>
    <w:rsid w:val="00866A83"/>
    <w:rsid w:val="00867861"/>
    <w:rsid w:val="008771B8"/>
    <w:rsid w:val="0088259B"/>
    <w:rsid w:val="0089082D"/>
    <w:rsid w:val="0089404A"/>
    <w:rsid w:val="008A2CA8"/>
    <w:rsid w:val="008A7152"/>
    <w:rsid w:val="008B0AE0"/>
    <w:rsid w:val="008B17EB"/>
    <w:rsid w:val="008B2438"/>
    <w:rsid w:val="008B709D"/>
    <w:rsid w:val="008C191D"/>
    <w:rsid w:val="008C3BC7"/>
    <w:rsid w:val="008D4433"/>
    <w:rsid w:val="008D56CB"/>
    <w:rsid w:val="008D7D78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44"/>
    <w:rsid w:val="00925DA0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48AF"/>
    <w:rsid w:val="009657FF"/>
    <w:rsid w:val="009664DF"/>
    <w:rsid w:val="009718D2"/>
    <w:rsid w:val="009807A6"/>
    <w:rsid w:val="00981D25"/>
    <w:rsid w:val="009857C8"/>
    <w:rsid w:val="009858AF"/>
    <w:rsid w:val="00990AB4"/>
    <w:rsid w:val="00993638"/>
    <w:rsid w:val="00993A1A"/>
    <w:rsid w:val="0099692E"/>
    <w:rsid w:val="0099739C"/>
    <w:rsid w:val="009A1949"/>
    <w:rsid w:val="009A1C9B"/>
    <w:rsid w:val="009A3511"/>
    <w:rsid w:val="009A3A4D"/>
    <w:rsid w:val="009A780F"/>
    <w:rsid w:val="009B1539"/>
    <w:rsid w:val="009B4FEF"/>
    <w:rsid w:val="009B562A"/>
    <w:rsid w:val="009B6684"/>
    <w:rsid w:val="009B6850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719E"/>
    <w:rsid w:val="009F77AC"/>
    <w:rsid w:val="00A00077"/>
    <w:rsid w:val="00A004A8"/>
    <w:rsid w:val="00A00D68"/>
    <w:rsid w:val="00A014C9"/>
    <w:rsid w:val="00A03738"/>
    <w:rsid w:val="00A0525C"/>
    <w:rsid w:val="00A10009"/>
    <w:rsid w:val="00A10F87"/>
    <w:rsid w:val="00A11A25"/>
    <w:rsid w:val="00A1258C"/>
    <w:rsid w:val="00A13929"/>
    <w:rsid w:val="00A13A17"/>
    <w:rsid w:val="00A14CF0"/>
    <w:rsid w:val="00A23E84"/>
    <w:rsid w:val="00A2498A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30A"/>
    <w:rsid w:val="00A57648"/>
    <w:rsid w:val="00A60232"/>
    <w:rsid w:val="00A60FD3"/>
    <w:rsid w:val="00A64E9D"/>
    <w:rsid w:val="00A64EAD"/>
    <w:rsid w:val="00A731C0"/>
    <w:rsid w:val="00A74C26"/>
    <w:rsid w:val="00A75B01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A1549"/>
    <w:rsid w:val="00AA1A9E"/>
    <w:rsid w:val="00AA3F5A"/>
    <w:rsid w:val="00AA4144"/>
    <w:rsid w:val="00AA5811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AE43A4"/>
    <w:rsid w:val="00B02441"/>
    <w:rsid w:val="00B076E2"/>
    <w:rsid w:val="00B07CBC"/>
    <w:rsid w:val="00B148E5"/>
    <w:rsid w:val="00B15F33"/>
    <w:rsid w:val="00B16B4A"/>
    <w:rsid w:val="00B17BDA"/>
    <w:rsid w:val="00B21D6F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A353B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10B2"/>
    <w:rsid w:val="00C04044"/>
    <w:rsid w:val="00C056BC"/>
    <w:rsid w:val="00C11AA0"/>
    <w:rsid w:val="00C13A08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2104"/>
    <w:rsid w:val="00C5316A"/>
    <w:rsid w:val="00C54DFE"/>
    <w:rsid w:val="00C5624D"/>
    <w:rsid w:val="00C57B9E"/>
    <w:rsid w:val="00C72FF3"/>
    <w:rsid w:val="00C74C28"/>
    <w:rsid w:val="00C8674D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6982"/>
    <w:rsid w:val="00CF14E5"/>
    <w:rsid w:val="00D01641"/>
    <w:rsid w:val="00D04ACA"/>
    <w:rsid w:val="00D065D5"/>
    <w:rsid w:val="00D1151D"/>
    <w:rsid w:val="00D11627"/>
    <w:rsid w:val="00D11AD6"/>
    <w:rsid w:val="00D217D9"/>
    <w:rsid w:val="00D22A47"/>
    <w:rsid w:val="00D25390"/>
    <w:rsid w:val="00D27FE6"/>
    <w:rsid w:val="00D27FFD"/>
    <w:rsid w:val="00D3289E"/>
    <w:rsid w:val="00D36004"/>
    <w:rsid w:val="00D4056F"/>
    <w:rsid w:val="00D40BA3"/>
    <w:rsid w:val="00D44D31"/>
    <w:rsid w:val="00D5491F"/>
    <w:rsid w:val="00D55CDB"/>
    <w:rsid w:val="00D610AB"/>
    <w:rsid w:val="00D61D44"/>
    <w:rsid w:val="00D63C8B"/>
    <w:rsid w:val="00D64351"/>
    <w:rsid w:val="00D70B90"/>
    <w:rsid w:val="00D71D30"/>
    <w:rsid w:val="00D71EE7"/>
    <w:rsid w:val="00D8195D"/>
    <w:rsid w:val="00D8351F"/>
    <w:rsid w:val="00D90725"/>
    <w:rsid w:val="00D9073C"/>
    <w:rsid w:val="00D93A16"/>
    <w:rsid w:val="00D94215"/>
    <w:rsid w:val="00D969AC"/>
    <w:rsid w:val="00DA2838"/>
    <w:rsid w:val="00DA2FEE"/>
    <w:rsid w:val="00DA41E3"/>
    <w:rsid w:val="00DA52AA"/>
    <w:rsid w:val="00DA7802"/>
    <w:rsid w:val="00DB2595"/>
    <w:rsid w:val="00DB2A7D"/>
    <w:rsid w:val="00DB3830"/>
    <w:rsid w:val="00DB4667"/>
    <w:rsid w:val="00DC0A32"/>
    <w:rsid w:val="00DC43F0"/>
    <w:rsid w:val="00DD4455"/>
    <w:rsid w:val="00DD5E75"/>
    <w:rsid w:val="00DD5FC2"/>
    <w:rsid w:val="00DD60E0"/>
    <w:rsid w:val="00DF067F"/>
    <w:rsid w:val="00DF21DD"/>
    <w:rsid w:val="00E039AC"/>
    <w:rsid w:val="00E04E4C"/>
    <w:rsid w:val="00E13F6E"/>
    <w:rsid w:val="00E1493C"/>
    <w:rsid w:val="00E15BD2"/>
    <w:rsid w:val="00E201A8"/>
    <w:rsid w:val="00E2276F"/>
    <w:rsid w:val="00E31B51"/>
    <w:rsid w:val="00E32FBD"/>
    <w:rsid w:val="00E33C85"/>
    <w:rsid w:val="00E415A9"/>
    <w:rsid w:val="00E43F85"/>
    <w:rsid w:val="00E44AE0"/>
    <w:rsid w:val="00E44C34"/>
    <w:rsid w:val="00E607AA"/>
    <w:rsid w:val="00E62403"/>
    <w:rsid w:val="00E65C5C"/>
    <w:rsid w:val="00E7392C"/>
    <w:rsid w:val="00E7491D"/>
    <w:rsid w:val="00E829B3"/>
    <w:rsid w:val="00E839CA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7DFB"/>
    <w:rsid w:val="00EE00FC"/>
    <w:rsid w:val="00EE05E2"/>
    <w:rsid w:val="00EE1836"/>
    <w:rsid w:val="00EF0C31"/>
    <w:rsid w:val="00EF276A"/>
    <w:rsid w:val="00F013C4"/>
    <w:rsid w:val="00F0188F"/>
    <w:rsid w:val="00F06273"/>
    <w:rsid w:val="00F06348"/>
    <w:rsid w:val="00F0748F"/>
    <w:rsid w:val="00F119AE"/>
    <w:rsid w:val="00F12EBE"/>
    <w:rsid w:val="00F1478D"/>
    <w:rsid w:val="00F15CDB"/>
    <w:rsid w:val="00F164D9"/>
    <w:rsid w:val="00F228A9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2567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5E11"/>
    <w:rsid w:val="00F86697"/>
    <w:rsid w:val="00FA1952"/>
    <w:rsid w:val="00FA388E"/>
    <w:rsid w:val="00FA5A0B"/>
    <w:rsid w:val="00FA6941"/>
    <w:rsid w:val="00FA7EAD"/>
    <w:rsid w:val="00FB0587"/>
    <w:rsid w:val="00FB074A"/>
    <w:rsid w:val="00FB4692"/>
    <w:rsid w:val="00FB5986"/>
    <w:rsid w:val="00FB63EE"/>
    <w:rsid w:val="00FC43E3"/>
    <w:rsid w:val="00FD2720"/>
    <w:rsid w:val="00FD2F01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77CD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05A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6F6B"/>
    <w:pPr>
      <w:spacing w:before="100" w:beforeAutospacing="1" w:after="100" w:afterAutospacing="1"/>
    </w:pPr>
    <w:rPr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653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D03C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4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68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710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chile.scj.c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tchile.scj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tchile.scj.cl/apertura-del-proces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B0C4-ADAA-7540-AD05-8B6CAB11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3842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</cp:lastModifiedBy>
  <cp:revision>2</cp:revision>
  <cp:lastPrinted>2016-06-17T23:53:00Z</cp:lastPrinted>
  <dcterms:created xsi:type="dcterms:W3CDTF">2021-05-26T21:03:00Z</dcterms:created>
  <dcterms:modified xsi:type="dcterms:W3CDTF">2021-05-26T21:03:00Z</dcterms:modified>
</cp:coreProperties>
</file>