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5118A872" w:rsidR="0027633E" w:rsidRPr="009C3A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820">
        <w:rPr>
          <w:sz w:val="28"/>
          <w:szCs w:val="28"/>
        </w:rPr>
        <w:t>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</w:t>
      </w:r>
      <w:r w:rsidR="00A05312">
        <w:rPr>
          <w:sz w:val="28"/>
          <w:szCs w:val="28"/>
        </w:rPr>
        <w:t>L</w:t>
      </w:r>
      <w:r w:rsidR="00CF73CD" w:rsidRPr="009C3A3E">
        <w:rPr>
          <w:sz w:val="28"/>
          <w:szCs w:val="28"/>
        </w:rPr>
        <w:t>ey N°19.995</w:t>
      </w:r>
      <w:r w:rsidR="001914DF" w:rsidRPr="009C3A3E">
        <w:rPr>
          <w:sz w:val="28"/>
          <w:szCs w:val="28"/>
        </w:rPr>
        <w:t xml:space="preserve"> gene</w:t>
      </w:r>
      <w:r w:rsidR="00787820" w:rsidRPr="009C3A3E">
        <w:rPr>
          <w:sz w:val="28"/>
          <w:szCs w:val="28"/>
        </w:rPr>
        <w:t>raron</w:t>
      </w:r>
      <w:r w:rsidR="001914DF" w:rsidRPr="009C3A3E">
        <w:rPr>
          <w:sz w:val="28"/>
          <w:szCs w:val="28"/>
        </w:rPr>
        <w:t xml:space="preserve"> un aporte tributario</w:t>
      </w:r>
      <w:r w:rsidR="00787820" w:rsidRPr="009C3A3E">
        <w:rPr>
          <w:sz w:val="28"/>
          <w:szCs w:val="28"/>
        </w:rPr>
        <w:t xml:space="preserve"> </w:t>
      </w:r>
      <w:r w:rsidR="005C4CB2">
        <w:rPr>
          <w:sz w:val="28"/>
          <w:szCs w:val="28"/>
        </w:rPr>
        <w:t xml:space="preserve">por </w:t>
      </w:r>
      <w:r w:rsidR="001914DF" w:rsidRPr="009C3A3E">
        <w:rPr>
          <w:sz w:val="28"/>
          <w:szCs w:val="28"/>
        </w:rPr>
        <w:t>$</w:t>
      </w:r>
      <w:r w:rsidR="003F6D39">
        <w:rPr>
          <w:sz w:val="28"/>
          <w:szCs w:val="28"/>
        </w:rPr>
        <w:t>1.383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en</w:t>
      </w:r>
      <w:r w:rsidR="0028027D" w:rsidRPr="009C3A3E">
        <w:rPr>
          <w:sz w:val="28"/>
          <w:szCs w:val="28"/>
        </w:rPr>
        <w:t xml:space="preserve"> </w:t>
      </w:r>
      <w:r w:rsidR="00624004">
        <w:rPr>
          <w:sz w:val="28"/>
          <w:szCs w:val="28"/>
        </w:rPr>
        <w:t xml:space="preserve">junio </w:t>
      </w:r>
      <w:r w:rsidR="005F0263">
        <w:rPr>
          <w:sz w:val="28"/>
          <w:szCs w:val="28"/>
        </w:rPr>
        <w:t>de</w:t>
      </w:r>
      <w:r w:rsidR="00787820" w:rsidRPr="009C3A3E">
        <w:rPr>
          <w:sz w:val="28"/>
          <w:szCs w:val="28"/>
        </w:rPr>
        <w:t xml:space="preserve"> 202</w:t>
      </w:r>
      <w:r w:rsidR="0028027D" w:rsidRPr="009C3A3E">
        <w:rPr>
          <w:sz w:val="28"/>
          <w:szCs w:val="28"/>
        </w:rPr>
        <w:t>1</w:t>
      </w:r>
    </w:p>
    <w:p w14:paraId="52F5944B" w14:textId="3A02EFB0" w:rsidR="00E7123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En atención a las medidas sanitarias a causa de la pandemia por Covid-19, durante el mes de </w:t>
      </w:r>
      <w:r w:rsidR="00A05312">
        <w:rPr>
          <w:i/>
          <w:sz w:val="22"/>
        </w:rPr>
        <w:t>junio</w:t>
      </w:r>
      <w:r w:rsidR="00803DBB">
        <w:rPr>
          <w:i/>
          <w:sz w:val="22"/>
        </w:rPr>
        <w:t xml:space="preserve">, de un total de </w:t>
      </w:r>
      <w:r w:rsidR="00A90545">
        <w:rPr>
          <w:i/>
          <w:sz w:val="22"/>
        </w:rPr>
        <w:t>26</w:t>
      </w:r>
      <w:r w:rsidR="00803DBB">
        <w:rPr>
          <w:i/>
          <w:sz w:val="22"/>
        </w:rPr>
        <w:t xml:space="preserve"> casinos</w:t>
      </w:r>
      <w:r w:rsidRPr="009C3A3E">
        <w:rPr>
          <w:i/>
          <w:sz w:val="22"/>
        </w:rPr>
        <w:t xml:space="preserve"> </w:t>
      </w:r>
      <w:r w:rsidR="00803DBB">
        <w:rPr>
          <w:i/>
          <w:sz w:val="22"/>
        </w:rPr>
        <w:t xml:space="preserve">en el país </w:t>
      </w:r>
      <w:r w:rsidR="00A05312">
        <w:rPr>
          <w:i/>
          <w:sz w:val="22"/>
        </w:rPr>
        <w:t xml:space="preserve">solo </w:t>
      </w:r>
      <w:r w:rsidRPr="009C3A3E">
        <w:rPr>
          <w:i/>
          <w:sz w:val="22"/>
        </w:rPr>
        <w:t xml:space="preserve">pudieron operar </w:t>
      </w:r>
      <w:r w:rsidR="00A05312">
        <w:rPr>
          <w:i/>
          <w:sz w:val="22"/>
        </w:rPr>
        <w:t xml:space="preserve">tres de ellos </w:t>
      </w:r>
      <w:r w:rsidR="00932D63">
        <w:rPr>
          <w:i/>
          <w:sz w:val="22"/>
        </w:rPr>
        <w:t xml:space="preserve">y por </w:t>
      </w:r>
      <w:r w:rsidR="00B344C1">
        <w:rPr>
          <w:i/>
          <w:sz w:val="22"/>
        </w:rPr>
        <w:t>19</w:t>
      </w:r>
      <w:r w:rsidR="00932D63">
        <w:rPr>
          <w:i/>
          <w:sz w:val="22"/>
        </w:rPr>
        <w:t xml:space="preserve"> días en promedio cada uno</w:t>
      </w:r>
      <w:r w:rsidR="005F0263">
        <w:rPr>
          <w:i/>
          <w:sz w:val="22"/>
        </w:rPr>
        <w:t>.</w:t>
      </w:r>
      <w:r w:rsidR="001914DF" w:rsidRPr="009C3A3E">
        <w:rPr>
          <w:i/>
          <w:sz w:val="22"/>
        </w:rPr>
        <w:t xml:space="preserve"> </w:t>
      </w:r>
    </w:p>
    <w:p w14:paraId="671B6DB7" w14:textId="1F978F47" w:rsidR="00841E68" w:rsidRPr="009C3A3E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>La recaudación s</w:t>
      </w:r>
      <w:r w:rsidR="00CF73CD" w:rsidRPr="009C3A3E">
        <w:rPr>
          <w:i/>
          <w:sz w:val="22"/>
        </w:rPr>
        <w:t>e</w:t>
      </w:r>
      <w:r w:rsidR="001914DF" w:rsidRPr="009C3A3E">
        <w:rPr>
          <w:i/>
          <w:sz w:val="22"/>
        </w:rPr>
        <w:t xml:space="preserve"> distribuye en $</w:t>
      </w:r>
      <w:r w:rsidR="003F6D39">
        <w:rPr>
          <w:i/>
          <w:sz w:val="22"/>
        </w:rPr>
        <w:t>639,8</w:t>
      </w:r>
      <w:r w:rsidR="001914DF" w:rsidRPr="009C3A3E">
        <w:rPr>
          <w:i/>
          <w:sz w:val="22"/>
        </w:rPr>
        <w:t xml:space="preserve"> millones pagados por los casinos 19.995 que se d</w:t>
      </w:r>
      <w:r w:rsidR="00CF73CD" w:rsidRPr="009C3A3E">
        <w:rPr>
          <w:i/>
          <w:sz w:val="22"/>
        </w:rPr>
        <w:t>estinados a las</w:t>
      </w:r>
      <w:r w:rsidR="001914DF" w:rsidRPr="009C3A3E">
        <w:rPr>
          <w:i/>
          <w:sz w:val="22"/>
        </w:rPr>
        <w:t xml:space="preserve"> comunas y gobierno regionales en que se ubican</w:t>
      </w:r>
      <w:r w:rsidR="00186B7F" w:rsidRPr="009C3A3E">
        <w:rPr>
          <w:i/>
          <w:sz w:val="22"/>
        </w:rPr>
        <w:t>, $</w:t>
      </w:r>
      <w:r w:rsidR="003F6D39">
        <w:rPr>
          <w:i/>
          <w:sz w:val="22"/>
        </w:rPr>
        <w:t>607,8</w:t>
      </w:r>
      <w:r w:rsidR="00186B7F" w:rsidRPr="009C3A3E">
        <w:rPr>
          <w:i/>
          <w:sz w:val="22"/>
        </w:rPr>
        <w:t xml:space="preserve"> millones en</w:t>
      </w:r>
      <w:r w:rsidRPr="009C3A3E">
        <w:rPr>
          <w:i/>
          <w:sz w:val="22"/>
        </w:rPr>
        <w:t xml:space="preserve"> IVA al juego y</w:t>
      </w:r>
      <w:r w:rsidR="001914DF" w:rsidRPr="009C3A3E">
        <w:rPr>
          <w:i/>
          <w:sz w:val="22"/>
        </w:rPr>
        <w:t xml:space="preserve"> $</w:t>
      </w:r>
      <w:r w:rsidR="003F6D39">
        <w:rPr>
          <w:i/>
          <w:sz w:val="22"/>
        </w:rPr>
        <w:t>135</w:t>
      </w:r>
      <w:r w:rsidR="00A8087D">
        <w:rPr>
          <w:i/>
          <w:sz w:val="22"/>
        </w:rPr>
        <w:t>,</w:t>
      </w:r>
      <w:r w:rsidR="003F6D39">
        <w:rPr>
          <w:i/>
          <w:sz w:val="22"/>
        </w:rPr>
        <w:t>3</w:t>
      </w:r>
      <w:r w:rsidR="001914DF" w:rsidRPr="009C3A3E">
        <w:rPr>
          <w:i/>
          <w:sz w:val="22"/>
        </w:rPr>
        <w:t xml:space="preserve"> millones en </w:t>
      </w:r>
      <w:r w:rsidRPr="009C3A3E">
        <w:rPr>
          <w:i/>
          <w:sz w:val="22"/>
        </w:rPr>
        <w:t>impuesto a las entradas.</w:t>
      </w:r>
    </w:p>
    <w:p w14:paraId="157C7871" w14:textId="5136BB57" w:rsidR="00B57DCD" w:rsidRPr="000D7975" w:rsidRDefault="00841E68" w:rsidP="000D7975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9C3A3E">
        <w:rPr>
          <w:i/>
          <w:sz w:val="22"/>
        </w:rPr>
        <w:t xml:space="preserve">Los casinos reabiertos tuvieron un nivel de operación que </w:t>
      </w:r>
      <w:r w:rsidR="00B344C1">
        <w:rPr>
          <w:i/>
          <w:sz w:val="22"/>
        </w:rPr>
        <w:t xml:space="preserve">superó los ingresos por día de funcionamiento </w:t>
      </w:r>
      <w:r w:rsidR="00E03E1D">
        <w:rPr>
          <w:i/>
          <w:sz w:val="22"/>
        </w:rPr>
        <w:t xml:space="preserve">previo a la pandemia y </w:t>
      </w:r>
      <w:r w:rsidR="00B344C1">
        <w:rPr>
          <w:i/>
          <w:sz w:val="22"/>
        </w:rPr>
        <w:t>alcanzó un 81,8</w:t>
      </w:r>
      <w:r w:rsidR="00E03E1D">
        <w:rPr>
          <w:i/>
          <w:sz w:val="22"/>
        </w:rPr>
        <w:t>% de l</w:t>
      </w:r>
      <w:r w:rsidR="00B344C1">
        <w:rPr>
          <w:i/>
          <w:sz w:val="22"/>
        </w:rPr>
        <w:t>a actividad</w:t>
      </w:r>
      <w:r w:rsidR="00E03E1D" w:rsidRPr="006379E8">
        <w:rPr>
          <w:i/>
          <w:sz w:val="22"/>
        </w:rPr>
        <w:t xml:space="preserve"> de</w:t>
      </w:r>
      <w:r w:rsidR="00E03E1D">
        <w:rPr>
          <w:i/>
          <w:sz w:val="22"/>
        </w:rPr>
        <w:t xml:space="preserve"> un mes normal</w:t>
      </w:r>
      <w:r w:rsidR="00731D61">
        <w:rPr>
          <w:i/>
          <w:sz w:val="22"/>
        </w:rPr>
        <w:t>.</w:t>
      </w:r>
    </w:p>
    <w:p w14:paraId="554E6C99" w14:textId="7777777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167E8E7F" w14:textId="77777777" w:rsidR="00731D61" w:rsidRDefault="00731D6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CCCBC11" w14:textId="6352F7A7" w:rsidR="00B14621" w:rsidRPr="009C3A3E" w:rsidRDefault="00BA4CC3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Durante el mes de </w:t>
      </w:r>
      <w:r w:rsidR="00B344C1">
        <w:rPr>
          <w:rFonts w:cstheme="minorHAnsi"/>
        </w:rPr>
        <w:t>junio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1</w:t>
      </w:r>
      <w:r w:rsidRPr="009C3A3E">
        <w:rPr>
          <w:rFonts w:cstheme="minorHAnsi"/>
        </w:rPr>
        <w:t xml:space="preserve">, </w:t>
      </w:r>
      <w:r w:rsidR="00A05312">
        <w:rPr>
          <w:rFonts w:cstheme="minorHAnsi"/>
        </w:rPr>
        <w:t>tres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casinos de juego pudieron operar</w:t>
      </w:r>
      <w:r>
        <w:rPr>
          <w:rFonts w:cstheme="minorHAnsi"/>
        </w:rPr>
        <w:t xml:space="preserve"> parcialmente</w:t>
      </w:r>
      <w:r w:rsidR="00A05312">
        <w:rPr>
          <w:rFonts w:cstheme="minorHAnsi"/>
        </w:rPr>
        <w:t xml:space="preserve">, los que </w:t>
      </w:r>
      <w:r w:rsidR="00731D61">
        <w:rPr>
          <w:rFonts w:cstheme="minorHAnsi"/>
        </w:rPr>
        <w:t>a</w:t>
      </w:r>
      <w:r w:rsidR="00B14621" w:rsidRPr="009C3A3E">
        <w:rPr>
          <w:rFonts w:cstheme="minorHAnsi"/>
        </w:rPr>
        <w:t xml:space="preserve">portaron un </w:t>
      </w:r>
      <w:r w:rsidR="006F7CA6" w:rsidRPr="009C3A3E">
        <w:rPr>
          <w:rFonts w:cstheme="minorHAnsi"/>
        </w:rPr>
        <w:t xml:space="preserve">total </w:t>
      </w:r>
      <w:r w:rsidR="00B14621" w:rsidRPr="009C3A3E">
        <w:rPr>
          <w:rFonts w:cstheme="minorHAnsi"/>
        </w:rPr>
        <w:t>de $</w:t>
      </w:r>
      <w:r w:rsidR="00A8087D">
        <w:rPr>
          <w:rFonts w:cstheme="minorHAnsi"/>
        </w:rPr>
        <w:t>522</w:t>
      </w:r>
      <w:r w:rsidR="00B14621" w:rsidRPr="009C3A3E">
        <w:rPr>
          <w:rFonts w:cstheme="minorHAnsi"/>
        </w:rPr>
        <w:t xml:space="preserve"> millones en impuestos, de los cuales $</w:t>
      </w:r>
      <w:r w:rsidR="0052553D">
        <w:rPr>
          <w:rFonts w:cstheme="minorHAnsi"/>
        </w:rPr>
        <w:t>2</w:t>
      </w:r>
      <w:r w:rsidR="00A8087D">
        <w:rPr>
          <w:rFonts w:cstheme="minorHAnsi"/>
        </w:rPr>
        <w:t>44</w:t>
      </w:r>
      <w:r w:rsidR="0052553D">
        <w:rPr>
          <w:rFonts w:cstheme="minorHAnsi"/>
        </w:rPr>
        <w:t>,</w:t>
      </w:r>
      <w:r w:rsidR="00A8087D">
        <w:rPr>
          <w:rFonts w:cstheme="minorHAnsi"/>
        </w:rPr>
        <w:t>9</w:t>
      </w:r>
      <w:r w:rsidR="00B14621" w:rsidRPr="009C3A3E">
        <w:rPr>
          <w:rFonts w:cstheme="minorHAnsi"/>
        </w:rPr>
        <w:t xml:space="preserve"> millones corresponden al impuesto específico al juego destinados a los </w:t>
      </w:r>
      <w:r w:rsidR="00CD5340">
        <w:rPr>
          <w:rFonts w:cstheme="minorHAnsi"/>
        </w:rPr>
        <w:t>g</w:t>
      </w:r>
      <w:r w:rsidR="00B14621" w:rsidRPr="009C3A3E">
        <w:rPr>
          <w:rFonts w:cstheme="minorHAnsi"/>
        </w:rPr>
        <w:t xml:space="preserve">obiernos </w:t>
      </w:r>
      <w:r w:rsidR="00CD5340">
        <w:rPr>
          <w:rFonts w:cstheme="minorHAnsi"/>
        </w:rPr>
        <w:t>r</w:t>
      </w:r>
      <w:r w:rsidR="00B14621" w:rsidRPr="009C3A3E">
        <w:rPr>
          <w:rFonts w:cstheme="minorHAnsi"/>
        </w:rPr>
        <w:t xml:space="preserve">egionales y </w:t>
      </w:r>
      <w:r w:rsidR="00CD5340">
        <w:rPr>
          <w:rFonts w:cstheme="minorHAnsi"/>
        </w:rPr>
        <w:t>m</w:t>
      </w:r>
      <w:r w:rsidR="00B14621" w:rsidRPr="009C3A3E">
        <w:rPr>
          <w:rFonts w:cstheme="minorHAnsi"/>
        </w:rPr>
        <w:t>unicipalidades para el financiamiento de obras de desarrollo, además de $</w:t>
      </w:r>
      <w:r w:rsidR="0052553D">
        <w:rPr>
          <w:rFonts w:cstheme="minorHAnsi"/>
        </w:rPr>
        <w:t>2</w:t>
      </w:r>
      <w:r w:rsidR="00A8087D">
        <w:rPr>
          <w:rFonts w:cstheme="minorHAnsi"/>
        </w:rPr>
        <w:t>32,6</w:t>
      </w:r>
      <w:r w:rsidR="00B14621" w:rsidRPr="009C3A3E">
        <w:rPr>
          <w:rFonts w:cstheme="minorHAnsi"/>
        </w:rPr>
        <w:t xml:space="preserve"> millones asociados al pago de IVA</w:t>
      </w:r>
      <w:r w:rsidR="003D3437">
        <w:rPr>
          <w:rFonts w:cstheme="minorHAnsi"/>
        </w:rPr>
        <w:t xml:space="preserve"> por los ingresos del juego</w:t>
      </w:r>
      <w:r w:rsidR="00B14621" w:rsidRPr="009C3A3E">
        <w:rPr>
          <w:rFonts w:cstheme="minorHAnsi"/>
        </w:rPr>
        <w:t xml:space="preserve"> y $</w:t>
      </w:r>
      <w:r w:rsidR="00A8087D">
        <w:rPr>
          <w:rFonts w:cstheme="minorHAnsi"/>
        </w:rPr>
        <w:t>44</w:t>
      </w:r>
      <w:r w:rsidR="0052553D">
        <w:rPr>
          <w:rFonts w:cstheme="minorHAnsi"/>
        </w:rPr>
        <w:t>,</w:t>
      </w:r>
      <w:r w:rsidR="00A8087D">
        <w:rPr>
          <w:rFonts w:cstheme="minorHAnsi"/>
        </w:rPr>
        <w:t>5</w:t>
      </w:r>
      <w:r w:rsidR="00B14621" w:rsidRPr="009C3A3E">
        <w:rPr>
          <w:rFonts w:cstheme="minorHAnsi"/>
        </w:rPr>
        <w:t xml:space="preserve"> millones correspondientes al impuesto por entrada a las salas de juego, que se destinan a los fondos generales de la nación.</w:t>
      </w:r>
    </w:p>
    <w:p w14:paraId="24152A02" w14:textId="77777777" w:rsidR="00B14621" w:rsidRPr="009C3A3E" w:rsidRDefault="00B14621" w:rsidP="00B57DCD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A8ABCB1" w14:textId="2AC79D03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>La distribución de los impuestos recaudados se muestra a continuación</w:t>
      </w:r>
      <w:r w:rsidR="00BA4CC3">
        <w:rPr>
          <w:rFonts w:cstheme="minorHAnsi"/>
        </w:rPr>
        <w:t>:</w:t>
      </w:r>
    </w:p>
    <w:p w14:paraId="55ADE08A" w14:textId="23C8B59D" w:rsidR="000D7975" w:rsidRDefault="000D797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tbl>
      <w:tblPr>
        <w:tblW w:w="9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523"/>
        <w:gridCol w:w="1143"/>
        <w:gridCol w:w="1286"/>
        <w:gridCol w:w="1000"/>
        <w:gridCol w:w="1000"/>
        <w:gridCol w:w="1146"/>
      </w:tblGrid>
      <w:tr w:rsidR="00F12EB5" w:rsidRPr="00F12EB5" w14:paraId="1EA170F7" w14:textId="77777777" w:rsidTr="00F12EB5">
        <w:trPr>
          <w:trHeight w:val="300"/>
          <w:jc w:val="center"/>
        </w:trPr>
        <w:tc>
          <w:tcPr>
            <w:tcW w:w="9721" w:type="dxa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C66CBB3" w14:textId="1101BDFC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IMPUESTOS </w:t>
            </w:r>
            <w:r w:rsidR="00CA096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junio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</w:t>
            </w: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 ($ Millones)</w:t>
            </w:r>
          </w:p>
        </w:tc>
      </w:tr>
      <w:tr w:rsidR="00F12EB5" w:rsidRPr="00F12EB5" w14:paraId="3F6DF54B" w14:textId="77777777" w:rsidTr="00F12EB5">
        <w:trPr>
          <w:trHeight w:val="929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32776C87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A8B44BF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D914BA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1FCE609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E119F2B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513FB6D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1146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A17764" w14:textId="77777777" w:rsidR="00F12EB5" w:rsidRPr="00F12EB5" w:rsidRDefault="00F12EB5" w:rsidP="00F12E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CA0964" w:rsidRPr="00F12EB5" w14:paraId="3F1B2E95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8682066" w14:textId="50F05DAC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Antofagasta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DAFE74F" w14:textId="199C574F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Enjoy Antofagasta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499E15" w14:textId="20AF2A23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189,6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428A68" w14:textId="6C17AD15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189,6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C49E82" w14:textId="3FEF591D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360,2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401BC31" w14:textId="4923C52E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76,6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9D6AE8" w14:textId="3175B579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815,9</w:t>
            </w:r>
          </w:p>
        </w:tc>
      </w:tr>
      <w:tr w:rsidR="00CA0964" w:rsidRPr="00F12EB5" w14:paraId="2B43C48D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single" w:sz="8" w:space="0" w:color="A6A6A6"/>
              <w:left w:val="single" w:sz="8" w:space="0" w:color="A6A6A6"/>
              <w:bottom w:val="single" w:sz="4" w:space="0" w:color="E7E6E6" w:themeColor="background2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20A676" w14:textId="0904BA8F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O´Higgins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9EB225" w14:textId="5D3DC79E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Casino de Colchagua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24EE89" w14:textId="51FA9AFA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25,8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DFE759" w14:textId="3AFEA7DC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25,8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BAF230" w14:textId="35C0431D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E9DF67" w14:textId="1F7A01D3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6,4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2C1C3B" w14:textId="1BD5DD80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106,9</w:t>
            </w:r>
          </w:p>
        </w:tc>
      </w:tr>
      <w:tr w:rsidR="00CA0964" w:rsidRPr="00F12EB5" w14:paraId="60F3DA5D" w14:textId="77777777" w:rsidTr="002E3F9C">
        <w:trPr>
          <w:trHeight w:val="300"/>
          <w:jc w:val="center"/>
        </w:trPr>
        <w:tc>
          <w:tcPr>
            <w:tcW w:w="1623" w:type="dxa"/>
            <w:tcBorders>
              <w:top w:val="single" w:sz="4" w:space="0" w:color="E7E6E6" w:themeColor="background2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5136DA3" w14:textId="2E107CFD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Magallanes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56205D2" w14:textId="5DE1E340" w:rsidR="00CA0964" w:rsidRPr="00F12EB5" w:rsidRDefault="00CA0964" w:rsidP="00CA096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Dreams Punta Arenas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C8609A8" w14:textId="562BE8DE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D2D26A1" w14:textId="7E7196F1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104,6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82FDBF6" w14:textId="50ACAA58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198,7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4F162E4E" w14:textId="7BD90A07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52,3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0FB3A2F" w14:textId="72612361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460,1</w:t>
            </w:r>
          </w:p>
        </w:tc>
      </w:tr>
      <w:tr w:rsidR="00CA0964" w:rsidRPr="00F12EB5" w14:paraId="4FD148E6" w14:textId="77777777" w:rsidTr="00F12EB5">
        <w:trPr>
          <w:trHeight w:val="300"/>
          <w:jc w:val="center"/>
        </w:trPr>
        <w:tc>
          <w:tcPr>
            <w:tcW w:w="4146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060D11F5" w14:textId="77777777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12EB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E769442" w14:textId="7E44AA69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319,9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62280EA" w14:textId="64E6622E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319,9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4B88226" w14:textId="4E6577E2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607,8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565D049" w14:textId="2AFE0C08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135,3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DF44A3F" w14:textId="498D36FD" w:rsidR="00CA0964" w:rsidRPr="00F12EB5" w:rsidRDefault="00CA0964" w:rsidP="00CA09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1.382,9</w:t>
            </w:r>
          </w:p>
        </w:tc>
      </w:tr>
    </w:tbl>
    <w:p w14:paraId="14B6BEB6" w14:textId="77777777" w:rsidR="00945D38" w:rsidRDefault="00945D38" w:rsidP="000D7975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</w:p>
    <w:p w14:paraId="65EC0793" w14:textId="69530711" w:rsidR="00F12EB5" w:rsidRDefault="00F12EB5" w:rsidP="000D7975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CA0964">
        <w:rPr>
          <w:rFonts w:cstheme="minorHAnsi"/>
        </w:rPr>
        <w:t>septiembre</w:t>
      </w:r>
      <w:r w:rsidRPr="009C3A3E">
        <w:rPr>
          <w:rFonts w:cstheme="minorHAnsi"/>
        </w:rPr>
        <w:t xml:space="preserve"> de 2021.</w:t>
      </w:r>
    </w:p>
    <w:p w14:paraId="4B71C239" w14:textId="77777777" w:rsidR="00CD5340" w:rsidRDefault="00CD5340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</w:p>
    <w:p w14:paraId="4B2FA6E2" w14:textId="53AB7207" w:rsidR="00B57DCD" w:rsidRPr="009C3A3E" w:rsidRDefault="00B57DCD" w:rsidP="00B57DCD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 xml:space="preserve">Apertura de los casinos de juego durante </w:t>
      </w:r>
      <w:r w:rsidR="00CA0964">
        <w:rPr>
          <w:rFonts w:cstheme="minorHAnsi"/>
          <w:b/>
          <w:bCs/>
        </w:rPr>
        <w:t>junio</w:t>
      </w:r>
      <w:r w:rsidRPr="009C3A3E">
        <w:rPr>
          <w:rFonts w:cstheme="minorHAnsi"/>
          <w:b/>
          <w:bCs/>
        </w:rPr>
        <w:t xml:space="preserve"> 202</w:t>
      </w:r>
      <w:r w:rsidR="00A90545">
        <w:rPr>
          <w:rFonts w:cstheme="minorHAnsi"/>
          <w:b/>
          <w:bCs/>
        </w:rPr>
        <w:t>1</w:t>
      </w:r>
    </w:p>
    <w:p w14:paraId="0B36AA4B" w14:textId="77777777" w:rsidR="00B57DCD" w:rsidRPr="009C3A3E" w:rsidRDefault="00B57DCD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FEE025" w14:textId="386C4559" w:rsidR="00CD5340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En atención a las medidas sanitarias dispuestas en el </w:t>
      </w:r>
      <w:r w:rsidRPr="009C3A3E">
        <w:rPr>
          <w:rFonts w:cstheme="minorHAnsi"/>
        </w:rPr>
        <w:t>Protocolo de Manejo y Prevención ante COVID-19 en casinos y establecimientos de juego y entretenció</w:t>
      </w:r>
      <w:r>
        <w:rPr>
          <w:rFonts w:cstheme="minorHAnsi"/>
        </w:rPr>
        <w:t xml:space="preserve">n </w:t>
      </w:r>
      <w:r w:rsidRPr="009C3A3E">
        <w:rPr>
          <w:rFonts w:cstheme="minorHAnsi"/>
        </w:rPr>
        <w:t xml:space="preserve">(disponible en </w:t>
      </w:r>
      <w:hyperlink r:id="rId8" w:anchor="documentos/" w:history="1">
        <w:r w:rsidRPr="005236BE">
          <w:rPr>
            <w:rStyle w:val="Hipervnculo"/>
          </w:rPr>
          <w:t>https://www.gob.cl/pasoapaso#documentos/</w:t>
        </w:r>
      </w:hyperlink>
      <w:r>
        <w:t>)</w:t>
      </w:r>
      <w:r>
        <w:rPr>
          <w:rFonts w:cstheme="minorHAnsi"/>
        </w:rPr>
        <w:t xml:space="preserve">, </w:t>
      </w:r>
      <w:r w:rsidR="00FD4C3A">
        <w:rPr>
          <w:rFonts w:cstheme="minorHAnsi"/>
        </w:rPr>
        <w:t xml:space="preserve">el que </w:t>
      </w:r>
      <w:r>
        <w:rPr>
          <w:rFonts w:cstheme="minorHAnsi"/>
        </w:rPr>
        <w:t>durante junio solo permitía la apertura en</w:t>
      </w:r>
      <w:r w:rsidR="00FD4C3A">
        <w:rPr>
          <w:rFonts w:cstheme="minorHAnsi"/>
        </w:rPr>
        <w:t xml:space="preserve"> los pasos </w:t>
      </w:r>
      <w:r>
        <w:rPr>
          <w:rFonts w:cstheme="minorHAnsi"/>
        </w:rPr>
        <w:t>3 y 4, solo tres casinos pudieron operar y solo uno lo hizo por la totalidad del mes, de acuerdo con el siguiente detalle</w:t>
      </w:r>
      <w:r w:rsidR="002E3F9C">
        <w:rPr>
          <w:rFonts w:cstheme="minorHAnsi"/>
        </w:rPr>
        <w:t>:</w:t>
      </w:r>
      <w:r w:rsidR="006379E8">
        <w:rPr>
          <w:rFonts w:cstheme="minorHAnsi"/>
        </w:rPr>
        <w:t xml:space="preserve"> </w:t>
      </w:r>
      <w:r w:rsidR="005469D3" w:rsidRPr="009C3A3E">
        <w:rPr>
          <w:rFonts w:cstheme="minorHAnsi"/>
        </w:rPr>
        <w:t xml:space="preserve"> </w:t>
      </w:r>
    </w:p>
    <w:p w14:paraId="73F64C27" w14:textId="4AD45FD7" w:rsidR="00CA0964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506D95B1" w14:textId="1714984C" w:rsidR="00CA0964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C234BCB" w14:textId="411F565B" w:rsidR="00CA0964" w:rsidRDefault="00CA0964" w:rsidP="00B07563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7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1490"/>
        <w:gridCol w:w="1492"/>
      </w:tblGrid>
      <w:tr w:rsidR="005469D3" w:rsidRPr="009C3A3E" w14:paraId="77879354" w14:textId="77777777" w:rsidTr="00693EF8">
        <w:trPr>
          <w:trHeight w:val="330"/>
          <w:jc w:val="center"/>
        </w:trPr>
        <w:tc>
          <w:tcPr>
            <w:tcW w:w="7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</w:tcPr>
          <w:p w14:paraId="05826A6D" w14:textId="76747F3E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lastRenderedPageBreak/>
              <w:t xml:space="preserve">CASINOS EN OPERACIÓN DURANTE </w:t>
            </w:r>
            <w:r w:rsidR="00252A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MAYO</w:t>
            </w:r>
          </w:p>
        </w:tc>
      </w:tr>
      <w:tr w:rsidR="005469D3" w:rsidRPr="009C3A3E" w14:paraId="38CF269C" w14:textId="77777777" w:rsidTr="00F12EB5">
        <w:trPr>
          <w:trHeight w:val="858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72BEB23" w14:textId="3E9EFBEE" w:rsidR="005469D3" w:rsidRPr="009C3A3E" w:rsidRDefault="005469D3" w:rsidP="00AB355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 xml:space="preserve">Casino operación parcial en </w:t>
            </w:r>
            <w:r w:rsidR="00252AF5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mayo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AE86DA9" w14:textId="77777777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Comuna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C3E555" w14:textId="1E7AFA2B" w:rsidR="005469D3" w:rsidRPr="009C3A3E" w:rsidRDefault="005469D3" w:rsidP="00AB3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</w:pPr>
            <w:r w:rsidRPr="009C3A3E">
              <w:rPr>
                <w:rFonts w:ascii="Calibri" w:eastAsia="Times New Roman" w:hAnsi="Calibri" w:cs="Calibri"/>
                <w:b/>
                <w:bCs/>
                <w:color w:val="FFFFFF"/>
                <w:lang w:eastAsia="es-CL"/>
              </w:rPr>
              <w:t>Días de operación</w:t>
            </w:r>
          </w:p>
        </w:tc>
      </w:tr>
      <w:tr w:rsidR="00F12EB5" w:rsidRPr="009C3A3E" w14:paraId="4571DA81" w14:textId="77777777" w:rsidTr="00CA096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7A0473F" w14:textId="6C85018E" w:rsidR="00F12EB5" w:rsidRPr="00693EF8" w:rsidRDefault="00F12EB5" w:rsidP="00F12EB5">
            <w:pPr>
              <w:spacing w:after="0" w:line="240" w:lineRule="auto"/>
              <w:jc w:val="left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 xml:space="preserve"> Enjoy </w:t>
            </w:r>
            <w:r w:rsidR="00252AF5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ADA3413" w14:textId="03E78359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00C7DDD" w14:textId="6391E94E" w:rsidR="00F12EB5" w:rsidRPr="00693EF8" w:rsidRDefault="00CA0964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30</w:t>
            </w:r>
          </w:p>
        </w:tc>
      </w:tr>
      <w:tr w:rsidR="00F12EB5" w:rsidRPr="009C3A3E" w14:paraId="06A9495B" w14:textId="77777777" w:rsidTr="00693EF8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ADAEB" w14:textId="1AA1374C" w:rsidR="00F12EB5" w:rsidRPr="00693EF8" w:rsidRDefault="00F12EB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 w:rsidRPr="00693EF8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252AF5">
              <w:rPr>
                <w:rFonts w:cstheme="minorHAnsi"/>
                <w:color w:val="002060"/>
                <w:sz w:val="20"/>
                <w:szCs w:val="20"/>
              </w:rPr>
              <w:t>Casino de Colchagua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2AB6" w14:textId="7CB0CB86" w:rsidR="00F12EB5" w:rsidRPr="00693EF8" w:rsidRDefault="00252AF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Santa Cruz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4A94" w14:textId="5A4836AE" w:rsidR="00F12EB5" w:rsidRPr="00693EF8" w:rsidRDefault="00CA0964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9</w:t>
            </w:r>
          </w:p>
        </w:tc>
      </w:tr>
      <w:tr w:rsidR="00F12EB5" w:rsidRPr="009C3A3E" w14:paraId="41C8EDAD" w14:textId="77777777" w:rsidTr="00DE1BA4">
        <w:trPr>
          <w:trHeight w:val="271"/>
          <w:jc w:val="center"/>
        </w:trPr>
        <w:tc>
          <w:tcPr>
            <w:tcW w:w="4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0F2F366" w14:textId="0A059DB0" w:rsidR="00F12EB5" w:rsidRPr="00693EF8" w:rsidRDefault="00EA5C85" w:rsidP="00F12EB5">
            <w:pPr>
              <w:spacing w:after="0" w:line="240" w:lineRule="auto"/>
              <w:jc w:val="left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="00F12EB5" w:rsidRPr="00693EF8">
              <w:rPr>
                <w:rFonts w:cstheme="minorHAnsi"/>
                <w:color w:val="002060"/>
                <w:sz w:val="20"/>
                <w:szCs w:val="20"/>
              </w:rPr>
              <w:t>Dreams Pu</w:t>
            </w:r>
            <w:r w:rsidR="00CA0964">
              <w:rPr>
                <w:rFonts w:cstheme="minorHAnsi"/>
                <w:color w:val="002060"/>
                <w:sz w:val="20"/>
                <w:szCs w:val="20"/>
              </w:rPr>
              <w:t>nta Arenas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3705033" w14:textId="28BBD5A1" w:rsidR="00F12EB5" w:rsidRPr="00693EF8" w:rsidRDefault="00F12EB5" w:rsidP="00F12EB5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</w:pPr>
            <w:r w:rsidRPr="00693EF8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Pu</w:t>
            </w:r>
            <w:r w:rsidR="00CA0964">
              <w:rPr>
                <w:rFonts w:eastAsia="Times New Roman" w:cstheme="minorHAnsi"/>
                <w:color w:val="002060"/>
                <w:sz w:val="20"/>
                <w:szCs w:val="20"/>
                <w:lang w:eastAsia="es-CL"/>
              </w:rPr>
              <w:t>nta Arenas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06C1543A" w14:textId="77AA6D16" w:rsidR="00F12EB5" w:rsidRPr="00693EF8" w:rsidRDefault="00CA0964" w:rsidP="00F12EB5">
            <w:pPr>
              <w:spacing w:after="0" w:line="240" w:lineRule="auto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17</w:t>
            </w:r>
          </w:p>
        </w:tc>
      </w:tr>
    </w:tbl>
    <w:p w14:paraId="3656DBB5" w14:textId="77777777" w:rsidR="00A83902" w:rsidRPr="009C3A3E" w:rsidRDefault="00A83902" w:rsidP="00A83902">
      <w:pPr>
        <w:tabs>
          <w:tab w:val="left" w:pos="0"/>
        </w:tabs>
        <w:spacing w:after="0" w:line="240" w:lineRule="auto"/>
        <w:rPr>
          <w:rFonts w:cstheme="minorHAnsi"/>
        </w:rPr>
      </w:pPr>
      <w:bookmarkStart w:id="0" w:name="_Hlk510430630"/>
    </w:p>
    <w:p w14:paraId="19C46A18" w14:textId="77777777" w:rsidR="00CD5340" w:rsidRDefault="00CD5340" w:rsidP="00A83902">
      <w:pPr>
        <w:tabs>
          <w:tab w:val="left" w:pos="0"/>
        </w:tabs>
        <w:spacing w:after="0" w:line="240" w:lineRule="auto"/>
        <w:rPr>
          <w:rFonts w:cstheme="minorHAnsi"/>
        </w:rPr>
      </w:pPr>
    </w:p>
    <w:bookmarkEnd w:id="0"/>
    <w:p w14:paraId="6E2DF934" w14:textId="36A0CB02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198CC3D" w14:textId="77777777" w:rsidR="00A83902" w:rsidRPr="009C3A3E" w:rsidRDefault="00A83902" w:rsidP="006E4A5E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20F562B6" w14:textId="616B8CC0" w:rsidR="00CF2067" w:rsidRDefault="00B86E4A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</w:t>
      </w:r>
      <w:r w:rsidR="006F7CA6" w:rsidRPr="009C3A3E">
        <w:t xml:space="preserve"> </w:t>
      </w:r>
      <w:r w:rsidR="00002D5E">
        <w:t>tres</w:t>
      </w:r>
      <w:r w:rsidR="00AA4471" w:rsidRPr="009C3A3E">
        <w:t xml:space="preserve"> casinos de juego autorizados por la </w:t>
      </w:r>
      <w:r w:rsidR="005B01F2" w:rsidRPr="009C3A3E">
        <w:t>Ley N°19.995</w:t>
      </w:r>
      <w:r w:rsidR="00CA0964">
        <w:t xml:space="preserve"> </w:t>
      </w:r>
      <w:r w:rsidRPr="009C3A3E">
        <w:t xml:space="preserve">registraron </w:t>
      </w:r>
      <w:r w:rsidR="00A729EA" w:rsidRPr="009C3A3E">
        <w:t>ingresos bru</w:t>
      </w:r>
      <w:r w:rsidR="00AA4471" w:rsidRPr="009C3A3E">
        <w:t>tos del juego (win) por $</w:t>
      </w:r>
      <w:r w:rsidR="00CA0964">
        <w:t>3</w:t>
      </w:r>
      <w:r w:rsidR="00EA5C85">
        <w:t>.</w:t>
      </w:r>
      <w:r w:rsidR="00CA0964">
        <w:t>807</w:t>
      </w:r>
      <w:r w:rsidR="00AA4471" w:rsidRPr="009C3A3E">
        <w:t xml:space="preserve"> millones</w:t>
      </w:r>
      <w:r w:rsidR="006E4A5E" w:rsidRPr="009C3A3E">
        <w:t xml:space="preserve">. Así, </w:t>
      </w:r>
      <w:r w:rsidR="006E4A5E" w:rsidRPr="004C5EE7">
        <w:rPr>
          <w:rFonts w:ascii="Calibri" w:hAnsi="Calibri" w:cs="Calibri"/>
          <w:lang w:eastAsia="es-CL"/>
        </w:rPr>
        <w:t>los ingresos</w:t>
      </w:r>
      <w:r w:rsidR="006F7CA6" w:rsidRPr="004C5EE7">
        <w:rPr>
          <w:rFonts w:ascii="Calibri" w:hAnsi="Calibri" w:cs="Calibri"/>
          <w:lang w:eastAsia="es-CL"/>
        </w:rPr>
        <w:t xml:space="preserve">, </w:t>
      </w:r>
      <w:r w:rsidR="006E4A5E" w:rsidRPr="004C5EE7">
        <w:rPr>
          <w:rFonts w:ascii="Calibri" w:hAnsi="Calibri" w:cs="Calibri"/>
          <w:lang w:eastAsia="es-CL"/>
        </w:rPr>
        <w:t xml:space="preserve">en términos reales, </w:t>
      </w:r>
      <w:r w:rsidR="006F7CA6" w:rsidRPr="004C5EE7">
        <w:rPr>
          <w:rFonts w:ascii="Calibri" w:hAnsi="Calibri" w:cs="Calibri"/>
          <w:lang w:eastAsia="es-CL"/>
        </w:rPr>
        <w:t>alcanzaron a un</w:t>
      </w:r>
      <w:r w:rsidR="006E4A5E" w:rsidRPr="004C5EE7">
        <w:rPr>
          <w:rFonts w:ascii="Calibri" w:hAnsi="Calibri" w:cs="Calibri"/>
          <w:lang w:eastAsia="es-CL"/>
        </w:rPr>
        <w:t xml:space="preserve"> </w:t>
      </w:r>
      <w:r w:rsidR="00CA0964">
        <w:rPr>
          <w:rFonts w:ascii="Calibri" w:hAnsi="Calibri" w:cs="Calibri"/>
          <w:lang w:eastAsia="es-CL"/>
        </w:rPr>
        <w:t>81,8</w:t>
      </w:r>
      <w:r w:rsidR="006E4A5E" w:rsidRPr="004C5EE7">
        <w:rPr>
          <w:rFonts w:ascii="Calibri" w:hAnsi="Calibri" w:cs="Calibri"/>
          <w:lang w:eastAsia="es-CL"/>
        </w:rPr>
        <w:t xml:space="preserve">% </w:t>
      </w:r>
      <w:r w:rsidR="006F7CA6" w:rsidRPr="004C5EE7">
        <w:rPr>
          <w:rFonts w:ascii="Calibri" w:hAnsi="Calibri" w:cs="Calibri"/>
          <w:lang w:eastAsia="es-CL"/>
        </w:rPr>
        <w:t>de</w:t>
      </w:r>
      <w:r w:rsidR="006E4A5E" w:rsidRPr="004C5EE7">
        <w:rPr>
          <w:rFonts w:ascii="Calibri" w:hAnsi="Calibri" w:cs="Calibri"/>
          <w:lang w:eastAsia="es-CL"/>
        </w:rPr>
        <w:t xml:space="preserve"> lo obtenido en </w:t>
      </w:r>
      <w:r w:rsidR="00CA0964">
        <w:rPr>
          <w:rFonts w:ascii="Calibri" w:hAnsi="Calibri" w:cs="Calibri"/>
          <w:lang w:eastAsia="es-CL"/>
        </w:rPr>
        <w:t>junio</w:t>
      </w:r>
      <w:r w:rsidR="006E4A5E" w:rsidRPr="004C5EE7">
        <w:rPr>
          <w:rFonts w:ascii="Calibri" w:hAnsi="Calibri" w:cs="Calibri"/>
          <w:lang w:eastAsia="es-CL"/>
        </w:rPr>
        <w:t xml:space="preserve"> de 20</w:t>
      </w:r>
      <w:r w:rsidR="00EA5C85">
        <w:rPr>
          <w:rFonts w:ascii="Calibri" w:hAnsi="Calibri" w:cs="Calibri"/>
          <w:lang w:eastAsia="es-CL"/>
        </w:rPr>
        <w:t xml:space="preserve">19 </w:t>
      </w:r>
      <w:r w:rsidR="006E4A5E" w:rsidRPr="004C5EE7">
        <w:rPr>
          <w:rFonts w:ascii="Calibri" w:hAnsi="Calibri" w:cs="Calibri"/>
          <w:lang w:eastAsia="es-CL"/>
        </w:rPr>
        <w:t xml:space="preserve">para el conjunto de los casinos que </w:t>
      </w:r>
      <w:r w:rsidR="004C5EE7" w:rsidRPr="004C5EE7">
        <w:rPr>
          <w:rFonts w:ascii="Calibri" w:hAnsi="Calibri" w:cs="Calibri"/>
          <w:lang w:eastAsia="es-CL"/>
        </w:rPr>
        <w:t>operaron</w:t>
      </w:r>
      <w:r w:rsidR="00EA5C85">
        <w:rPr>
          <w:rFonts w:ascii="Calibri" w:hAnsi="Calibri" w:cs="Calibri"/>
          <w:lang w:eastAsia="es-CL"/>
        </w:rPr>
        <w:t xml:space="preserve"> (no se compara con </w:t>
      </w:r>
      <w:r w:rsidR="00CA0964">
        <w:rPr>
          <w:rFonts w:ascii="Calibri" w:hAnsi="Calibri" w:cs="Calibri"/>
          <w:lang w:eastAsia="es-CL"/>
        </w:rPr>
        <w:t>junio</w:t>
      </w:r>
      <w:r w:rsidR="00EA5C85">
        <w:rPr>
          <w:rFonts w:ascii="Calibri" w:hAnsi="Calibri" w:cs="Calibri"/>
          <w:lang w:eastAsia="es-CL"/>
        </w:rPr>
        <w:t xml:space="preserve"> 2020 ya que en ese mes </w:t>
      </w:r>
      <w:r w:rsidR="009D32C3">
        <w:rPr>
          <w:rFonts w:ascii="Calibri" w:hAnsi="Calibri" w:cs="Calibri"/>
          <w:lang w:eastAsia="es-CL"/>
        </w:rPr>
        <w:t xml:space="preserve">todos los casinos se encontraban cerrados </w:t>
      </w:r>
      <w:r w:rsidR="00CD5340">
        <w:rPr>
          <w:rFonts w:ascii="Calibri" w:hAnsi="Calibri" w:cs="Calibri"/>
          <w:lang w:eastAsia="es-CL"/>
        </w:rPr>
        <w:t xml:space="preserve">debido a la </w:t>
      </w:r>
      <w:r w:rsidR="009D32C3">
        <w:rPr>
          <w:rFonts w:ascii="Calibri" w:hAnsi="Calibri" w:cs="Calibri"/>
          <w:lang w:eastAsia="es-CL"/>
        </w:rPr>
        <w:t>pandemia)</w:t>
      </w:r>
      <w:r w:rsidR="006E4A5E" w:rsidRPr="004C5EE7">
        <w:rPr>
          <w:rFonts w:ascii="Calibri" w:hAnsi="Calibri" w:cs="Calibri"/>
          <w:lang w:eastAsia="es-CL"/>
        </w:rPr>
        <w:t>.</w:t>
      </w:r>
      <w:r w:rsidR="00871017" w:rsidRPr="004C5EE7">
        <w:rPr>
          <w:rFonts w:ascii="Calibri" w:hAnsi="Calibri" w:cs="Calibri"/>
          <w:lang w:eastAsia="es-CL"/>
        </w:rPr>
        <w:t xml:space="preserve"> </w:t>
      </w:r>
      <w:r w:rsidR="00E64DD6" w:rsidRPr="004C5EE7">
        <w:rPr>
          <w:rFonts w:ascii="Calibri" w:hAnsi="Calibri" w:cs="Calibri"/>
          <w:lang w:eastAsia="es-CL"/>
        </w:rPr>
        <w:t xml:space="preserve">De igual forma, considerando los ingresos por días efectivamente en funcionamiento, en términos reales se </w:t>
      </w:r>
      <w:r w:rsidR="00CA0964">
        <w:rPr>
          <w:rFonts w:ascii="Calibri" w:hAnsi="Calibri" w:cs="Calibri"/>
          <w:lang w:eastAsia="es-CL"/>
        </w:rPr>
        <w:t>superó en</w:t>
      </w:r>
      <w:r w:rsidR="00E64DD6" w:rsidRPr="004C5EE7">
        <w:rPr>
          <w:rFonts w:ascii="Calibri" w:hAnsi="Calibri" w:cs="Calibri"/>
          <w:lang w:eastAsia="es-CL"/>
        </w:rPr>
        <w:t xml:space="preserve"> un</w:t>
      </w:r>
      <w:r w:rsidR="00EA5C85">
        <w:rPr>
          <w:rFonts w:ascii="Calibri" w:hAnsi="Calibri" w:cs="Calibri"/>
          <w:lang w:eastAsia="es-CL"/>
        </w:rPr>
        <w:t xml:space="preserve"> </w:t>
      </w:r>
      <w:r w:rsidR="00CA0964">
        <w:rPr>
          <w:rFonts w:ascii="Calibri" w:hAnsi="Calibri" w:cs="Calibri"/>
          <w:lang w:eastAsia="es-CL"/>
        </w:rPr>
        <w:t>17,6</w:t>
      </w:r>
      <w:r w:rsidR="00E64DD6" w:rsidRPr="004C5EE7">
        <w:rPr>
          <w:rFonts w:ascii="Calibri" w:hAnsi="Calibri" w:cs="Calibri"/>
          <w:lang w:eastAsia="es-CL"/>
        </w:rPr>
        <w:t>% los ingresos diarios</w:t>
      </w:r>
      <w:r w:rsidR="00CA0964">
        <w:rPr>
          <w:rFonts w:ascii="Calibri" w:hAnsi="Calibri" w:cs="Calibri"/>
          <w:lang w:eastAsia="es-CL"/>
        </w:rPr>
        <w:t xml:space="preserve"> obtenido por estos casinos en mayo de 2019</w:t>
      </w:r>
      <w:r w:rsidR="00E64DD6" w:rsidRPr="004C5EE7">
        <w:rPr>
          <w:rFonts w:ascii="Calibri" w:hAnsi="Calibri" w:cs="Calibri"/>
          <w:lang w:eastAsia="es-CL"/>
        </w:rPr>
        <w:t>.</w:t>
      </w:r>
      <w:r w:rsidR="006E4A5E" w:rsidRPr="004C5EE7">
        <w:rPr>
          <w:rFonts w:ascii="Calibri" w:hAnsi="Calibri" w:cs="Calibri"/>
          <w:lang w:eastAsia="es-CL"/>
        </w:rPr>
        <w:t xml:space="preserve"> </w:t>
      </w:r>
    </w:p>
    <w:p w14:paraId="38A3CB86" w14:textId="7EC3B29C" w:rsidR="00CA0964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34A81032" w14:textId="69653B1D" w:rsidR="00CA0964" w:rsidRPr="004C5EE7" w:rsidRDefault="00CA0964" w:rsidP="006E4A5E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>
        <w:rPr>
          <w:rFonts w:ascii="Calibri" w:hAnsi="Calibri" w:cs="Calibri"/>
          <w:lang w:eastAsia="es-CL"/>
        </w:rPr>
        <w:t xml:space="preserve">Asimismo, resulta relevante destacar que el </w:t>
      </w:r>
      <w:r w:rsidR="00543268">
        <w:rPr>
          <w:rFonts w:ascii="Calibri" w:hAnsi="Calibri" w:cs="Calibri"/>
          <w:lang w:eastAsia="es-CL"/>
        </w:rPr>
        <w:t xml:space="preserve">único </w:t>
      </w:r>
      <w:r>
        <w:rPr>
          <w:rFonts w:ascii="Calibri" w:hAnsi="Calibri" w:cs="Calibri"/>
          <w:lang w:eastAsia="es-CL"/>
        </w:rPr>
        <w:t>casino de juego que operó durante los 30 días del mes alcanzó un nivel de ingresos equivalentes a los observados pre</w:t>
      </w:r>
      <w:r w:rsidR="00543268">
        <w:rPr>
          <w:rFonts w:ascii="Calibri" w:hAnsi="Calibri" w:cs="Calibri"/>
          <w:lang w:eastAsia="es-CL"/>
        </w:rPr>
        <w:t>vio a la</w:t>
      </w:r>
      <w:r>
        <w:rPr>
          <w:rFonts w:ascii="Calibri" w:hAnsi="Calibri" w:cs="Calibri"/>
          <w:lang w:eastAsia="es-CL"/>
        </w:rPr>
        <w:t xml:space="preserve"> pandemia</w:t>
      </w:r>
      <w:r w:rsidR="00543268">
        <w:rPr>
          <w:rFonts w:ascii="Calibri" w:hAnsi="Calibri" w:cs="Calibri"/>
          <w:lang w:eastAsia="es-CL"/>
        </w:rPr>
        <w:t>,</w:t>
      </w:r>
      <w:r>
        <w:rPr>
          <w:rFonts w:ascii="Calibri" w:hAnsi="Calibri" w:cs="Calibri"/>
          <w:lang w:eastAsia="es-CL"/>
        </w:rPr>
        <w:t xml:space="preserve"> </w:t>
      </w:r>
      <w:r w:rsidR="00543268">
        <w:rPr>
          <w:rFonts w:ascii="Calibri" w:hAnsi="Calibri" w:cs="Calibri"/>
          <w:lang w:eastAsia="es-CL"/>
        </w:rPr>
        <w:t xml:space="preserve">los que se obtuvieron con un aforo y horario de funcionamiento reducido, entre otras restricciones sanitarias. </w:t>
      </w:r>
    </w:p>
    <w:p w14:paraId="32DFEFAB" w14:textId="77777777" w:rsidR="00ED60A3" w:rsidRPr="004C5EE7" w:rsidRDefault="00ED60A3" w:rsidP="00083908">
      <w:pPr>
        <w:tabs>
          <w:tab w:val="left" w:pos="0"/>
        </w:tabs>
        <w:spacing w:after="0" w:line="240" w:lineRule="auto"/>
      </w:pPr>
    </w:p>
    <w:p w14:paraId="710E670A" w14:textId="719D0FD2" w:rsidR="00265A30" w:rsidRPr="004C5EE7" w:rsidRDefault="006E4A5E" w:rsidP="00083908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 w:rsidR="00543268">
        <w:t>36</w:t>
      </w:r>
      <w:r w:rsidR="00E64DD6" w:rsidRPr="004C5EE7">
        <w:t>.</w:t>
      </w:r>
      <w:r w:rsidR="00543268">
        <w:t>462</w:t>
      </w:r>
      <w:r w:rsidRPr="004C5EE7">
        <w:t xml:space="preserve"> personas que ingresaron a los </w:t>
      </w:r>
      <w:r w:rsidR="00FD4C3A">
        <w:t>tres</w:t>
      </w:r>
      <w:r w:rsidRPr="004C5EE7">
        <w:t xml:space="preserve"> casinos </w:t>
      </w:r>
      <w:r w:rsidR="00CD5340">
        <w:t>de la</w:t>
      </w:r>
      <w:r w:rsidRPr="004C5EE7">
        <w:t xml:space="preserve"> </w:t>
      </w:r>
      <w:r w:rsidR="009D32C3">
        <w:t>Ley N°19.995</w:t>
      </w:r>
      <w:r w:rsidR="006379E8">
        <w:t xml:space="preserve">, </w:t>
      </w:r>
      <w:r w:rsidR="00CD5340">
        <w:t xml:space="preserve">lo que representa </w:t>
      </w:r>
      <w:r w:rsidR="004C5EE7" w:rsidRPr="004C5EE7">
        <w:t xml:space="preserve">solo un </w:t>
      </w:r>
      <w:r w:rsidR="00543268">
        <w:t>45,3</w:t>
      </w:r>
      <w:r w:rsidR="004C5EE7" w:rsidRPr="004C5EE7">
        <w:t>%</w:t>
      </w:r>
      <w:r w:rsidR="00FF1CAB" w:rsidRPr="004C5EE7">
        <w:t xml:space="preserve"> </w:t>
      </w:r>
      <w:r w:rsidR="004C5EE7" w:rsidRPr="004C5EE7">
        <w:t>de</w:t>
      </w:r>
      <w:r w:rsidR="00FF1CAB" w:rsidRPr="004C5EE7">
        <w:t xml:space="preserve"> las recibidas en </w:t>
      </w:r>
      <w:r w:rsidR="00543268">
        <w:t>junio</w:t>
      </w:r>
      <w:r w:rsidR="00FF1CAB" w:rsidRPr="004C5EE7">
        <w:t xml:space="preserve"> de 20</w:t>
      </w:r>
      <w:r w:rsidR="00EA5C85">
        <w:t>19</w:t>
      </w:r>
      <w:r w:rsidR="00252AF5">
        <w:t xml:space="preserve"> por esos casinos.</w:t>
      </w:r>
    </w:p>
    <w:p w14:paraId="2FE7878F" w14:textId="77777777" w:rsidR="00B84B30" w:rsidRPr="004C5EE7" w:rsidRDefault="00B84B30" w:rsidP="00083908">
      <w:pPr>
        <w:tabs>
          <w:tab w:val="left" w:pos="0"/>
        </w:tabs>
        <w:spacing w:after="0" w:line="240" w:lineRule="auto"/>
      </w:pPr>
    </w:p>
    <w:p w14:paraId="0381DB9E" w14:textId="5CB26E84" w:rsidR="00330D14" w:rsidRDefault="006379E8" w:rsidP="00EA5C85">
      <w:pPr>
        <w:tabs>
          <w:tab w:val="left" w:pos="0"/>
        </w:tabs>
        <w:spacing w:after="0" w:line="240" w:lineRule="auto"/>
      </w:pPr>
      <w:r>
        <w:t xml:space="preserve">Además, </w:t>
      </w:r>
      <w:r w:rsidR="00265A30" w:rsidRPr="004C5EE7">
        <w:t xml:space="preserve">durante </w:t>
      </w:r>
      <w:r w:rsidR="00543268">
        <w:t>junio</w:t>
      </w:r>
      <w:r w:rsidR="00790E9F" w:rsidRPr="009C3A3E">
        <w:t xml:space="preserve"> </w:t>
      </w:r>
      <w:r w:rsidR="003F05FA" w:rsidRPr="009C3A3E">
        <w:t>se</w:t>
      </w:r>
      <w:r w:rsidR="00265A30" w:rsidRPr="009C3A3E">
        <w:t xml:space="preserve"> registró un gasto promedio </w:t>
      </w:r>
      <w:r w:rsidR="00A51CDD" w:rsidRPr="009C3A3E">
        <w:t>de $</w:t>
      </w:r>
      <w:r w:rsidR="00E64DD6">
        <w:t>1</w:t>
      </w:r>
      <w:r w:rsidR="00543268">
        <w:t>04</w:t>
      </w:r>
      <w:r w:rsidR="002E7643">
        <w:t>.</w:t>
      </w:r>
      <w:r w:rsidR="00543268">
        <w:t>408</w:t>
      </w:r>
      <w:r w:rsidR="00265A30" w:rsidRPr="009C3A3E">
        <w:t xml:space="preserve"> por visita, lo que </w:t>
      </w:r>
      <w:r w:rsidR="000D6BF6" w:rsidRPr="009C3A3E">
        <w:t xml:space="preserve">implica </w:t>
      </w:r>
      <w:r w:rsidR="00265A30" w:rsidRPr="009C3A3E">
        <w:t>un</w:t>
      </w:r>
      <w:r w:rsidR="00E64DD6">
        <w:t xml:space="preserve"> aumento real de alrededor de un </w:t>
      </w:r>
      <w:r w:rsidR="00543268">
        <w:t>45</w:t>
      </w:r>
      <w:r w:rsidR="004C5EE7">
        <w:t>%</w:t>
      </w:r>
      <w:r w:rsidR="00265A30" w:rsidRPr="009C3A3E">
        <w:t xml:space="preserve"> respecto de </w:t>
      </w:r>
      <w:r w:rsidR="00543268">
        <w:t>junio</w:t>
      </w:r>
      <w:r w:rsidR="00790E9F" w:rsidRPr="009C3A3E">
        <w:t xml:space="preserve"> </w:t>
      </w:r>
      <w:r w:rsidR="009A5B96" w:rsidRPr="009C3A3E">
        <w:t>de 20</w:t>
      </w:r>
      <w:r w:rsidR="00EA5C85">
        <w:t>19</w:t>
      </w:r>
      <w:r w:rsidR="00265A30" w:rsidRPr="009C3A3E">
        <w:t>.</w:t>
      </w:r>
    </w:p>
    <w:p w14:paraId="563B8A29" w14:textId="77777777" w:rsidR="00EA5C85" w:rsidRPr="00EA5C85" w:rsidRDefault="00EA5C85" w:rsidP="00EA5C85">
      <w:pPr>
        <w:tabs>
          <w:tab w:val="left" w:pos="0"/>
        </w:tabs>
        <w:spacing w:after="0" w:line="240" w:lineRule="auto"/>
      </w:pPr>
    </w:p>
    <w:p w14:paraId="4164E209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  <w:r>
        <w:rPr>
          <w:b/>
          <w:bCs/>
        </w:rPr>
        <w:t>Autoexclusión voluntaria</w:t>
      </w:r>
    </w:p>
    <w:p w14:paraId="564054D3" w14:textId="77777777" w:rsidR="00EF4E0C" w:rsidRDefault="00EF4E0C" w:rsidP="00EF4E0C">
      <w:pPr>
        <w:tabs>
          <w:tab w:val="left" w:pos="0"/>
        </w:tabs>
        <w:spacing w:after="0" w:line="240" w:lineRule="auto"/>
        <w:rPr>
          <w:b/>
          <w:bCs/>
        </w:rPr>
      </w:pPr>
    </w:p>
    <w:p w14:paraId="7D030F85" w14:textId="5A518463" w:rsidR="00EF4E0C" w:rsidRPr="004C5EE7" w:rsidRDefault="00EF4E0C" w:rsidP="00EF4E0C">
      <w:pPr>
        <w:tabs>
          <w:tab w:val="left" w:pos="0"/>
        </w:tabs>
        <w:spacing w:after="0" w:line="240" w:lineRule="auto"/>
      </w:pPr>
      <w:r>
        <w:t xml:space="preserve">Una medida de protección de los jugadores respecto a los riesgos que presenta el </w:t>
      </w:r>
      <w:r w:rsidR="004C5EE7">
        <w:t>juego</w:t>
      </w:r>
      <w:r w:rsidR="00EA5C85">
        <w:t xml:space="preserve">, </w:t>
      </w:r>
      <w:r w:rsidR="004C5EE7">
        <w:t>ampliamente utilizada</w:t>
      </w:r>
      <w:r>
        <w:t xml:space="preserve"> a nivel </w:t>
      </w:r>
      <w:r w:rsidR="00EA5C85">
        <w:t>mundial,</w:t>
      </w:r>
      <w:r>
        <w:t xml:space="preserve"> es la autoexclusión voluntaria de los casinos de juego. En agosto de 2019, mediante la circular Nº102 la Superintendencia implementó un mecanismo transversal a todos los casinos de juego, el que simplifica el proceso, permitiendo que se realice de </w:t>
      </w:r>
      <w:r w:rsidRPr="004C5EE7">
        <w:t>manera remota y lo estandariza a nivel nacional.</w:t>
      </w:r>
    </w:p>
    <w:p w14:paraId="79775E98" w14:textId="77777777" w:rsidR="00EF4E0C" w:rsidRPr="004C5EE7" w:rsidRDefault="00EF4E0C" w:rsidP="00EF4E0C">
      <w:pPr>
        <w:tabs>
          <w:tab w:val="left" w:pos="0"/>
        </w:tabs>
        <w:spacing w:after="0" w:line="240" w:lineRule="auto"/>
      </w:pPr>
    </w:p>
    <w:p w14:paraId="7374E207" w14:textId="594B9118" w:rsidR="00EF4E0C" w:rsidRDefault="00EF4E0C" w:rsidP="00EF4E0C">
      <w:pPr>
        <w:tabs>
          <w:tab w:val="left" w:pos="0"/>
        </w:tabs>
        <w:spacing w:after="0" w:line="240" w:lineRule="auto"/>
        <w:rPr>
          <w:rFonts w:ascii="Calibri" w:hAnsi="Calibri" w:cs="Calibri"/>
          <w:b/>
          <w:sz w:val="21"/>
          <w:szCs w:val="21"/>
        </w:rPr>
      </w:pPr>
      <w:r w:rsidRPr="004C5EE7">
        <w:t xml:space="preserve">Así, a </w:t>
      </w:r>
      <w:r w:rsidR="00134171">
        <w:t xml:space="preserve">poco menos de dos años </w:t>
      </w:r>
      <w:r w:rsidR="00B440B7">
        <w:t>de su implementación</w:t>
      </w:r>
      <w:r w:rsidRPr="004C5EE7">
        <w:t xml:space="preserve">, la cantidad de autoexcluidos ha aumentado en un </w:t>
      </w:r>
      <w:r w:rsidR="00B45B9F">
        <w:t>71</w:t>
      </w:r>
      <w:r w:rsidRPr="004C5EE7">
        <w:t>%, llegando a 1.6</w:t>
      </w:r>
      <w:r w:rsidR="00B440B7">
        <w:t>5</w:t>
      </w:r>
      <w:r w:rsidR="00002D5E">
        <w:t>6</w:t>
      </w:r>
      <w:r w:rsidR="00B45B9F">
        <w:t xml:space="preserve">, mientras que </w:t>
      </w:r>
      <w:r w:rsidR="00B45B9F" w:rsidRPr="004C5EE7">
        <w:t>entre 2011 y agosto de 2019</w:t>
      </w:r>
      <w:r w:rsidR="00B45B9F">
        <w:t>,</w:t>
      </w:r>
      <w:r w:rsidRPr="004C5EE7">
        <w:t xml:space="preserve"> </w:t>
      </w:r>
      <w:r w:rsidR="00B45B9F" w:rsidRPr="004C5EE7">
        <w:t>de manera previa a la dictación de la circular N°102</w:t>
      </w:r>
      <w:r w:rsidR="00B45B9F">
        <w:t>,</w:t>
      </w:r>
      <w:r w:rsidR="004C5EE7" w:rsidRPr="004C5EE7">
        <w:t xml:space="preserve"> </w:t>
      </w:r>
      <w:r w:rsidR="00B45B9F" w:rsidRPr="004C5EE7">
        <w:t>976 personas habían realizado el proceso</w:t>
      </w:r>
      <w:r w:rsidR="00B45B9F">
        <w:t xml:space="preserve"> en algún casino de juego o ante la Superintendencia. Desde </w:t>
      </w:r>
      <w:r w:rsidR="004C5EE7" w:rsidRPr="004C5EE7">
        <w:t>la dictación de la circular</w:t>
      </w:r>
      <w:r w:rsidRPr="004C5EE7">
        <w:t xml:space="preserve"> Nº102</w:t>
      </w:r>
      <w:r w:rsidR="004C5EE7" w:rsidRPr="004C5EE7">
        <w:t xml:space="preserve"> se han autoexcluido </w:t>
      </w:r>
      <w:r w:rsidR="00B440B7">
        <w:t>9</w:t>
      </w:r>
      <w:r w:rsidR="00134171">
        <w:t>91</w:t>
      </w:r>
      <w:r w:rsidR="004C5EE7" w:rsidRPr="004C5EE7">
        <w:t xml:space="preserve"> personas</w:t>
      </w:r>
      <w:r w:rsidRPr="004C5EE7">
        <w:t xml:space="preserve"> mientras que</w:t>
      </w:r>
      <w:r w:rsidR="004C5EE7" w:rsidRPr="004C5EE7">
        <w:t xml:space="preserve"> </w:t>
      </w:r>
      <w:r w:rsidR="00B440B7">
        <w:t>3</w:t>
      </w:r>
      <w:r w:rsidR="00DE1BA4">
        <w:t>1</w:t>
      </w:r>
      <w:r w:rsidR="00002D5E">
        <w:t>1</w:t>
      </w:r>
      <w:r w:rsidR="004C5EE7" w:rsidRPr="004C5EE7">
        <w:t xml:space="preserve"> personas han revocado su registro en el sistema de autoexclusión.</w:t>
      </w:r>
    </w:p>
    <w:sectPr w:rsidR="00EF4E0C" w:rsidSect="00DC75C9">
      <w:headerReference w:type="default" r:id="rId9"/>
      <w:footerReference w:type="default" r:id="rId10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8FDE" w14:textId="77777777" w:rsidR="002F09F8" w:rsidRDefault="002F09F8" w:rsidP="00FD382C">
      <w:r>
        <w:separator/>
      </w:r>
    </w:p>
  </w:endnote>
  <w:endnote w:type="continuationSeparator" w:id="0">
    <w:p w14:paraId="6FD78C72" w14:textId="77777777" w:rsidR="002F09F8" w:rsidRDefault="002F09F8" w:rsidP="00F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DB8D" w14:textId="77777777" w:rsidR="002F09F8" w:rsidRDefault="002F09F8" w:rsidP="00FD382C">
      <w:r>
        <w:separator/>
      </w:r>
    </w:p>
  </w:footnote>
  <w:footnote w:type="continuationSeparator" w:id="0">
    <w:p w14:paraId="2E01C10F" w14:textId="77777777" w:rsidR="002F09F8" w:rsidRDefault="002F09F8" w:rsidP="00FD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5F780120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A05312">
      <w:rPr>
        <w:b/>
      </w:rPr>
      <w:t xml:space="preserve">Lunes </w:t>
    </w:r>
    <w:r w:rsidR="009440E2">
      <w:rPr>
        <w:b/>
      </w:rPr>
      <w:t xml:space="preserve">10 </w:t>
    </w:r>
    <w:r>
      <w:rPr>
        <w:b/>
      </w:rPr>
      <w:t xml:space="preserve">de </w:t>
    </w:r>
    <w:r w:rsidR="003F6D39">
      <w:rPr>
        <w:b/>
      </w:rPr>
      <w:t>agosto</w:t>
    </w:r>
    <w:r>
      <w:rPr>
        <w:b/>
      </w:rPr>
      <w:t xml:space="preserve"> de 2021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22E7"/>
    <w:rsid w:val="000B549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3264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5525"/>
    <w:rsid w:val="001E65B3"/>
    <w:rsid w:val="001E78D6"/>
    <w:rsid w:val="00200053"/>
    <w:rsid w:val="0020351D"/>
    <w:rsid w:val="002075E8"/>
    <w:rsid w:val="00211790"/>
    <w:rsid w:val="00231FE9"/>
    <w:rsid w:val="00234145"/>
    <w:rsid w:val="002406D6"/>
    <w:rsid w:val="00242E1D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E1437"/>
    <w:rsid w:val="002E1BFC"/>
    <w:rsid w:val="002E396F"/>
    <w:rsid w:val="002E3F9C"/>
    <w:rsid w:val="002E651C"/>
    <w:rsid w:val="002E7643"/>
    <w:rsid w:val="002F09F8"/>
    <w:rsid w:val="00302ACB"/>
    <w:rsid w:val="00303081"/>
    <w:rsid w:val="00303230"/>
    <w:rsid w:val="0030406A"/>
    <w:rsid w:val="0031661E"/>
    <w:rsid w:val="00330916"/>
    <w:rsid w:val="00330D14"/>
    <w:rsid w:val="00332200"/>
    <w:rsid w:val="00332EC7"/>
    <w:rsid w:val="003361BC"/>
    <w:rsid w:val="003404EF"/>
    <w:rsid w:val="00341575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3A16"/>
    <w:rsid w:val="00373CA8"/>
    <w:rsid w:val="00374B15"/>
    <w:rsid w:val="00385B98"/>
    <w:rsid w:val="00387E7B"/>
    <w:rsid w:val="00396B60"/>
    <w:rsid w:val="003A0DBE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68DF"/>
    <w:rsid w:val="00480047"/>
    <w:rsid w:val="004830B6"/>
    <w:rsid w:val="004843DA"/>
    <w:rsid w:val="00484918"/>
    <w:rsid w:val="00484BF8"/>
    <w:rsid w:val="00491666"/>
    <w:rsid w:val="004942E1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F0263"/>
    <w:rsid w:val="005F17F7"/>
    <w:rsid w:val="005F2731"/>
    <w:rsid w:val="006022DC"/>
    <w:rsid w:val="00603448"/>
    <w:rsid w:val="00611B01"/>
    <w:rsid w:val="006124CA"/>
    <w:rsid w:val="00616099"/>
    <w:rsid w:val="00620E4A"/>
    <w:rsid w:val="00624004"/>
    <w:rsid w:val="00625D82"/>
    <w:rsid w:val="006320E4"/>
    <w:rsid w:val="006343C2"/>
    <w:rsid w:val="00634709"/>
    <w:rsid w:val="00635BF0"/>
    <w:rsid w:val="006379E8"/>
    <w:rsid w:val="00642CAD"/>
    <w:rsid w:val="00643409"/>
    <w:rsid w:val="00650542"/>
    <w:rsid w:val="0065648C"/>
    <w:rsid w:val="00670528"/>
    <w:rsid w:val="00670C50"/>
    <w:rsid w:val="006717A5"/>
    <w:rsid w:val="006741BF"/>
    <w:rsid w:val="006756C9"/>
    <w:rsid w:val="006769E2"/>
    <w:rsid w:val="00682312"/>
    <w:rsid w:val="00692B82"/>
    <w:rsid w:val="00693EF8"/>
    <w:rsid w:val="00696BDD"/>
    <w:rsid w:val="006A4494"/>
    <w:rsid w:val="006A7C2D"/>
    <w:rsid w:val="006A7C49"/>
    <w:rsid w:val="006B0280"/>
    <w:rsid w:val="006C2E93"/>
    <w:rsid w:val="006C4C1B"/>
    <w:rsid w:val="006D0D1F"/>
    <w:rsid w:val="006E0442"/>
    <w:rsid w:val="006E14F9"/>
    <w:rsid w:val="006E2F75"/>
    <w:rsid w:val="006E3960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31F"/>
    <w:rsid w:val="00731D61"/>
    <w:rsid w:val="00731F65"/>
    <w:rsid w:val="0073400A"/>
    <w:rsid w:val="007348DB"/>
    <w:rsid w:val="007368D5"/>
    <w:rsid w:val="0073758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3621"/>
    <w:rsid w:val="007B5B90"/>
    <w:rsid w:val="007C4E85"/>
    <w:rsid w:val="007C6AB3"/>
    <w:rsid w:val="007D18AC"/>
    <w:rsid w:val="007D1CD3"/>
    <w:rsid w:val="007D2B56"/>
    <w:rsid w:val="007D6C07"/>
    <w:rsid w:val="007F3AA1"/>
    <w:rsid w:val="007F6746"/>
    <w:rsid w:val="007F70D0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4D9E"/>
    <w:rsid w:val="00841E68"/>
    <w:rsid w:val="00842039"/>
    <w:rsid w:val="00842993"/>
    <w:rsid w:val="00864D11"/>
    <w:rsid w:val="00871017"/>
    <w:rsid w:val="00871A54"/>
    <w:rsid w:val="00877A61"/>
    <w:rsid w:val="0088217E"/>
    <w:rsid w:val="00884744"/>
    <w:rsid w:val="00885B46"/>
    <w:rsid w:val="0089072C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8E78A7"/>
    <w:rsid w:val="00901177"/>
    <w:rsid w:val="0090460C"/>
    <w:rsid w:val="0090700B"/>
    <w:rsid w:val="009070A6"/>
    <w:rsid w:val="009151B9"/>
    <w:rsid w:val="009152F2"/>
    <w:rsid w:val="009169F2"/>
    <w:rsid w:val="009265AF"/>
    <w:rsid w:val="009303C5"/>
    <w:rsid w:val="00932D63"/>
    <w:rsid w:val="00936EAE"/>
    <w:rsid w:val="00943C82"/>
    <w:rsid w:val="0094407B"/>
    <w:rsid w:val="009440E2"/>
    <w:rsid w:val="00945D38"/>
    <w:rsid w:val="00946AAC"/>
    <w:rsid w:val="00950E82"/>
    <w:rsid w:val="0095264F"/>
    <w:rsid w:val="0095441A"/>
    <w:rsid w:val="0096014A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5312"/>
    <w:rsid w:val="00A0576A"/>
    <w:rsid w:val="00A12283"/>
    <w:rsid w:val="00A1369B"/>
    <w:rsid w:val="00A139E6"/>
    <w:rsid w:val="00A148ED"/>
    <w:rsid w:val="00A14A88"/>
    <w:rsid w:val="00A17581"/>
    <w:rsid w:val="00A22215"/>
    <w:rsid w:val="00A2663C"/>
    <w:rsid w:val="00A27E18"/>
    <w:rsid w:val="00A32C3B"/>
    <w:rsid w:val="00A32D29"/>
    <w:rsid w:val="00A37DA2"/>
    <w:rsid w:val="00A41280"/>
    <w:rsid w:val="00A417B6"/>
    <w:rsid w:val="00A51CDD"/>
    <w:rsid w:val="00A541A3"/>
    <w:rsid w:val="00A55386"/>
    <w:rsid w:val="00A63E30"/>
    <w:rsid w:val="00A667EF"/>
    <w:rsid w:val="00A71A63"/>
    <w:rsid w:val="00A729EA"/>
    <w:rsid w:val="00A73100"/>
    <w:rsid w:val="00A74B36"/>
    <w:rsid w:val="00A8087D"/>
    <w:rsid w:val="00A80DE9"/>
    <w:rsid w:val="00A81680"/>
    <w:rsid w:val="00A82760"/>
    <w:rsid w:val="00A83902"/>
    <w:rsid w:val="00A83B60"/>
    <w:rsid w:val="00A84B76"/>
    <w:rsid w:val="00A8514F"/>
    <w:rsid w:val="00A86A67"/>
    <w:rsid w:val="00A86A9B"/>
    <w:rsid w:val="00A902A1"/>
    <w:rsid w:val="00A90545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786"/>
    <w:rsid w:val="00AD51A3"/>
    <w:rsid w:val="00AE152A"/>
    <w:rsid w:val="00AE5679"/>
    <w:rsid w:val="00AE5A4F"/>
    <w:rsid w:val="00AF1989"/>
    <w:rsid w:val="00AF48C7"/>
    <w:rsid w:val="00AF4C94"/>
    <w:rsid w:val="00B0351E"/>
    <w:rsid w:val="00B07563"/>
    <w:rsid w:val="00B10381"/>
    <w:rsid w:val="00B14621"/>
    <w:rsid w:val="00B214DF"/>
    <w:rsid w:val="00B22B12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E4D"/>
    <w:rsid w:val="00B73927"/>
    <w:rsid w:val="00B8275E"/>
    <w:rsid w:val="00B82BFF"/>
    <w:rsid w:val="00B8365F"/>
    <w:rsid w:val="00B84B30"/>
    <w:rsid w:val="00B86E4A"/>
    <w:rsid w:val="00B93B36"/>
    <w:rsid w:val="00BA3504"/>
    <w:rsid w:val="00BA4CC3"/>
    <w:rsid w:val="00BA7A93"/>
    <w:rsid w:val="00BC029B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4E04"/>
    <w:rsid w:val="00C17937"/>
    <w:rsid w:val="00C2062A"/>
    <w:rsid w:val="00C253AC"/>
    <w:rsid w:val="00C27DE5"/>
    <w:rsid w:val="00C44D28"/>
    <w:rsid w:val="00C5279C"/>
    <w:rsid w:val="00C547FE"/>
    <w:rsid w:val="00C60FC7"/>
    <w:rsid w:val="00C64155"/>
    <w:rsid w:val="00C708EE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6392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56BB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12EB5"/>
    <w:rsid w:val="00F161F8"/>
    <w:rsid w:val="00F21254"/>
    <w:rsid w:val="00F3199D"/>
    <w:rsid w:val="00F3483A"/>
    <w:rsid w:val="00F35AD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F05"/>
    <w:rsid w:val="00F9112E"/>
    <w:rsid w:val="00F9221C"/>
    <w:rsid w:val="00F9341A"/>
    <w:rsid w:val="00FA3F21"/>
    <w:rsid w:val="00FB2921"/>
    <w:rsid w:val="00FB3D8B"/>
    <w:rsid w:val="00FB5931"/>
    <w:rsid w:val="00FC76DD"/>
    <w:rsid w:val="00FD0394"/>
    <w:rsid w:val="00FD382C"/>
    <w:rsid w:val="00FD4C3A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cl/pasoapa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747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Desiree Navia</cp:lastModifiedBy>
  <cp:revision>4</cp:revision>
  <cp:lastPrinted>2019-08-27T13:47:00Z</cp:lastPrinted>
  <dcterms:created xsi:type="dcterms:W3CDTF">2021-08-09T13:01:00Z</dcterms:created>
  <dcterms:modified xsi:type="dcterms:W3CDTF">2021-08-10T14:09:00Z</dcterms:modified>
</cp:coreProperties>
</file>