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2DC8" w14:textId="77777777" w:rsidR="00265F9E" w:rsidRPr="003223C7" w:rsidRDefault="00265F9E" w:rsidP="00A00077">
      <w:pPr>
        <w:rPr>
          <w:rFonts w:ascii="Calibri" w:hAnsi="Calibri" w:cs="Arial"/>
          <w:b/>
          <w:sz w:val="35"/>
          <w:szCs w:val="35"/>
        </w:rPr>
      </w:pPr>
      <w:r w:rsidRPr="003223C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F24BE" wp14:editId="5A3175FF">
                <wp:simplePos x="0" y="0"/>
                <wp:positionH relativeFrom="margin">
                  <wp:align>right</wp:align>
                </wp:positionH>
                <wp:positionV relativeFrom="paragraph">
                  <wp:posOffset>-607695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80BB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278D2D67" w14:textId="6AF36CB6" w:rsidR="007C01C3" w:rsidRPr="002E2F19" w:rsidRDefault="007C01C3" w:rsidP="00474DE4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</w:t>
                            </w:r>
                            <w:r w:rsidR="00474DE4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o, </w:t>
                            </w:r>
                            <w:r w:rsidR="00A13881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jueves 02 de septiembre </w:t>
                            </w:r>
                            <w:r w:rsidR="00474DE4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de 2021</w:t>
                            </w:r>
                          </w:p>
                          <w:p w14:paraId="6E13A2B4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F2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7.8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" strokecolor="white">
                <v:textbox>
                  <w:txbxContent>
                    <w:p w14:paraId="1E7780BB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278D2D67" w14:textId="6AF36CB6" w:rsidR="007C01C3" w:rsidRPr="002E2F19" w:rsidRDefault="007C01C3" w:rsidP="00474DE4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</w:t>
                      </w:r>
                      <w:r w:rsidR="00474DE4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o, </w:t>
                      </w:r>
                      <w:r w:rsidR="00A13881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jueves 02 de septiembre </w:t>
                      </w:r>
                      <w:r w:rsidR="00474DE4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de 2021</w:t>
                      </w:r>
                    </w:p>
                    <w:p w14:paraId="6E13A2B4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915FD" w14:textId="77777777" w:rsidR="00DA41E3" w:rsidRPr="003223C7" w:rsidRDefault="00DA41E3" w:rsidP="002167DD">
      <w:pPr>
        <w:pStyle w:val="Listavistosa-nfasis11"/>
        <w:ind w:left="284"/>
        <w:jc w:val="both"/>
        <w:rPr>
          <w:rFonts w:ascii="Calibri" w:hAnsi="Calibri"/>
          <w:sz w:val="20"/>
          <w:szCs w:val="20"/>
        </w:rPr>
      </w:pPr>
    </w:p>
    <w:p w14:paraId="2D0D7DED" w14:textId="72914727" w:rsidR="003567CA" w:rsidRPr="003223C7" w:rsidRDefault="00606539" w:rsidP="003567CA">
      <w:pPr>
        <w:jc w:val="both"/>
        <w:rPr>
          <w:rFonts w:ascii="Calibri" w:hAnsi="Calibri" w:cs="Arial"/>
          <w:b/>
          <w:sz w:val="32"/>
          <w:szCs w:val="35"/>
        </w:rPr>
      </w:pPr>
      <w:r w:rsidRPr="003223C7">
        <w:rPr>
          <w:rFonts w:ascii="Calibri" w:hAnsi="Calibri" w:cs="Arial"/>
          <w:b/>
          <w:szCs w:val="35"/>
        </w:rPr>
        <w:t>En cumplimiento a lo establecido en la Ley 19.995</w:t>
      </w:r>
      <w:r w:rsidR="003223C7">
        <w:rPr>
          <w:rFonts w:ascii="Calibri" w:hAnsi="Calibri" w:cs="Arial"/>
          <w:b/>
          <w:szCs w:val="35"/>
        </w:rPr>
        <w:t>:</w:t>
      </w:r>
    </w:p>
    <w:p w14:paraId="79A4BFF7" w14:textId="3523EA49" w:rsidR="003567CA" w:rsidRPr="003223C7" w:rsidRDefault="003567CA" w:rsidP="003223C7">
      <w:pPr>
        <w:jc w:val="center"/>
        <w:rPr>
          <w:rFonts w:ascii="Calibri" w:hAnsi="Calibri" w:cs="Arial"/>
          <w:b/>
          <w:sz w:val="35"/>
          <w:szCs w:val="35"/>
        </w:rPr>
      </w:pPr>
      <w:r w:rsidRPr="003223C7">
        <w:rPr>
          <w:rFonts w:ascii="Calibri" w:hAnsi="Calibri" w:cs="Arial"/>
          <w:b/>
          <w:sz w:val="35"/>
          <w:szCs w:val="35"/>
        </w:rPr>
        <w:t xml:space="preserve">Superintendencia inicia proceso de otorgamiento de </w:t>
      </w:r>
      <w:r w:rsidR="004776AC" w:rsidRPr="003223C7">
        <w:rPr>
          <w:rFonts w:ascii="Calibri" w:hAnsi="Calibri" w:cs="Arial"/>
          <w:b/>
          <w:sz w:val="35"/>
          <w:szCs w:val="35"/>
        </w:rPr>
        <w:t xml:space="preserve">permisos de operación para </w:t>
      </w:r>
      <w:r w:rsidR="00A02A05" w:rsidRPr="003223C7">
        <w:rPr>
          <w:rFonts w:ascii="Calibri" w:hAnsi="Calibri" w:cs="Arial"/>
          <w:b/>
          <w:sz w:val="35"/>
          <w:szCs w:val="35"/>
        </w:rPr>
        <w:t xml:space="preserve">dos cupos de </w:t>
      </w:r>
      <w:r w:rsidRPr="003223C7">
        <w:rPr>
          <w:rFonts w:ascii="Calibri" w:hAnsi="Calibri" w:cs="Arial"/>
          <w:b/>
          <w:sz w:val="35"/>
          <w:szCs w:val="35"/>
        </w:rPr>
        <w:t xml:space="preserve">casinos </w:t>
      </w:r>
      <w:r w:rsidR="00A02A05" w:rsidRPr="003223C7">
        <w:rPr>
          <w:rFonts w:ascii="Calibri" w:hAnsi="Calibri" w:cs="Arial"/>
          <w:b/>
          <w:sz w:val="35"/>
          <w:szCs w:val="35"/>
        </w:rPr>
        <w:t>de juego</w:t>
      </w:r>
    </w:p>
    <w:p w14:paraId="406562E3" w14:textId="77777777" w:rsidR="003567CA" w:rsidRPr="003223C7" w:rsidRDefault="003567CA" w:rsidP="003567CA">
      <w:pPr>
        <w:pStyle w:val="Listavistosa-nfasis11"/>
        <w:jc w:val="both"/>
        <w:rPr>
          <w:rFonts w:ascii="Calibri" w:hAnsi="Calibri"/>
          <w:sz w:val="22"/>
          <w:szCs w:val="22"/>
        </w:rPr>
      </w:pPr>
    </w:p>
    <w:p w14:paraId="0C8F778F" w14:textId="1496B09D" w:rsidR="003567CA" w:rsidRPr="00A169D7" w:rsidRDefault="000E46FF" w:rsidP="00F21320">
      <w:pPr>
        <w:ind w:right="49"/>
        <w:rPr>
          <w:rFonts w:ascii="Calibri" w:hAnsi="Calibri" w:cs="Calibri"/>
          <w:sz w:val="22"/>
          <w:szCs w:val="22"/>
        </w:rPr>
      </w:pPr>
      <w:r w:rsidRPr="00A169D7">
        <w:rPr>
          <w:rFonts w:ascii="Calibri" w:hAnsi="Calibri" w:cs="Calibri"/>
          <w:sz w:val="22"/>
          <w:szCs w:val="22"/>
        </w:rPr>
        <w:t>Habiéndose cumplido el plazo límite de 36 meses que mandata la ley y l</w:t>
      </w:r>
      <w:r w:rsidR="001A7099" w:rsidRPr="00A169D7">
        <w:rPr>
          <w:rFonts w:ascii="Calibri" w:hAnsi="Calibri" w:cs="Calibri"/>
          <w:sz w:val="22"/>
          <w:szCs w:val="22"/>
        </w:rPr>
        <w:t>uego de la aprobación de las bases técnicas mediante la Resolución Exenta N°</w:t>
      </w:r>
      <w:r w:rsidR="00465B05" w:rsidRPr="00A169D7">
        <w:rPr>
          <w:rFonts w:ascii="Calibri" w:hAnsi="Calibri" w:cs="Calibri"/>
          <w:sz w:val="22"/>
          <w:szCs w:val="22"/>
        </w:rPr>
        <w:t>482</w:t>
      </w:r>
      <w:r w:rsidR="00A02A05" w:rsidRPr="00A169D7">
        <w:rPr>
          <w:rFonts w:ascii="Calibri" w:hAnsi="Calibri" w:cs="Calibri"/>
          <w:sz w:val="22"/>
          <w:szCs w:val="22"/>
        </w:rPr>
        <w:t xml:space="preserve">, del </w:t>
      </w:r>
      <w:r w:rsidR="00465B05" w:rsidRPr="00A169D7">
        <w:rPr>
          <w:rFonts w:ascii="Calibri" w:hAnsi="Calibri" w:cs="Calibri"/>
          <w:sz w:val="22"/>
          <w:szCs w:val="22"/>
        </w:rPr>
        <w:t>25</w:t>
      </w:r>
      <w:r w:rsidR="00A02A05" w:rsidRPr="00A169D7">
        <w:rPr>
          <w:rFonts w:ascii="Calibri" w:hAnsi="Calibri" w:cs="Calibri"/>
          <w:sz w:val="22"/>
          <w:szCs w:val="22"/>
        </w:rPr>
        <w:t xml:space="preserve"> de agosto de 2021,</w:t>
      </w:r>
      <w:r w:rsidR="001A7099" w:rsidRPr="00A169D7">
        <w:rPr>
          <w:rFonts w:ascii="Calibri" w:hAnsi="Calibri" w:cs="Calibri"/>
          <w:sz w:val="22"/>
          <w:szCs w:val="22"/>
        </w:rPr>
        <w:t xml:space="preserve"> la Superintendencia de Casinos de Juego (SCJ) </w:t>
      </w:r>
      <w:r w:rsidR="003223C7" w:rsidRPr="00A169D7">
        <w:rPr>
          <w:rFonts w:ascii="Calibri" w:hAnsi="Calibri" w:cs="Calibri"/>
          <w:sz w:val="22"/>
          <w:szCs w:val="22"/>
        </w:rPr>
        <w:t>dio inicio al</w:t>
      </w:r>
      <w:r w:rsidR="001A7099" w:rsidRPr="00A169D7">
        <w:rPr>
          <w:rFonts w:ascii="Calibri" w:hAnsi="Calibri" w:cs="Calibri"/>
          <w:sz w:val="22"/>
          <w:szCs w:val="22"/>
        </w:rPr>
        <w:t xml:space="preserve"> proceso de otorgamiento o renovación de permisos de operación</w:t>
      </w:r>
      <w:r w:rsidR="00A13881" w:rsidRPr="00A169D7">
        <w:rPr>
          <w:rFonts w:ascii="Calibri" w:hAnsi="Calibri" w:cs="Calibri"/>
          <w:sz w:val="22"/>
          <w:szCs w:val="22"/>
        </w:rPr>
        <w:t xml:space="preserve">, a través de la Resolución N°491, publicada hoy en extracto en el Diario Oficial. </w:t>
      </w:r>
      <w:r w:rsidR="001D00F3" w:rsidRPr="00A169D7">
        <w:rPr>
          <w:rFonts w:ascii="Calibri" w:hAnsi="Calibri" w:cs="Calibri"/>
          <w:sz w:val="22"/>
          <w:szCs w:val="22"/>
        </w:rPr>
        <w:t xml:space="preserve">Este es </w:t>
      </w:r>
      <w:r w:rsidR="003223C7" w:rsidRPr="00A169D7">
        <w:rPr>
          <w:rFonts w:ascii="Calibri" w:hAnsi="Calibri" w:cs="Calibri"/>
          <w:sz w:val="22"/>
          <w:szCs w:val="22"/>
        </w:rPr>
        <w:t>el primer paso</w:t>
      </w:r>
      <w:r w:rsidR="001A7099" w:rsidRPr="00A169D7">
        <w:rPr>
          <w:rFonts w:ascii="Calibri" w:hAnsi="Calibri" w:cs="Calibri"/>
          <w:sz w:val="22"/>
          <w:szCs w:val="22"/>
        </w:rPr>
        <w:t xml:space="preserve"> </w:t>
      </w:r>
      <w:r w:rsidR="003223C7" w:rsidRPr="00A169D7">
        <w:rPr>
          <w:rFonts w:ascii="Calibri" w:hAnsi="Calibri" w:cs="Calibri"/>
          <w:sz w:val="22"/>
          <w:szCs w:val="22"/>
        </w:rPr>
        <w:t>d</w:t>
      </w:r>
      <w:r w:rsidR="001A7099" w:rsidRPr="00A169D7">
        <w:rPr>
          <w:rFonts w:ascii="Calibri" w:hAnsi="Calibri" w:cs="Calibri"/>
          <w:sz w:val="22"/>
          <w:szCs w:val="22"/>
        </w:rPr>
        <w:t xml:space="preserve">el concurso en virtud del </w:t>
      </w:r>
      <w:r w:rsidR="007F67AA" w:rsidRPr="00A169D7">
        <w:rPr>
          <w:rFonts w:ascii="Calibri" w:hAnsi="Calibri" w:cs="Calibri"/>
          <w:sz w:val="22"/>
          <w:szCs w:val="22"/>
        </w:rPr>
        <w:t>que</w:t>
      </w:r>
      <w:r w:rsidR="001D00F3" w:rsidRPr="00A169D7">
        <w:rPr>
          <w:rFonts w:ascii="Calibri" w:hAnsi="Calibri" w:cs="Calibri"/>
          <w:sz w:val="22"/>
          <w:szCs w:val="22"/>
        </w:rPr>
        <w:t xml:space="preserve"> </w:t>
      </w:r>
      <w:r w:rsidR="001A7099" w:rsidRPr="00A169D7">
        <w:rPr>
          <w:rFonts w:ascii="Calibri" w:hAnsi="Calibri" w:cs="Calibri"/>
          <w:sz w:val="22"/>
          <w:szCs w:val="22"/>
        </w:rPr>
        <w:t>la SCJ podrá autorizar</w:t>
      </w:r>
      <w:r w:rsidR="001D00F3" w:rsidRPr="00A169D7">
        <w:rPr>
          <w:rFonts w:ascii="Calibri" w:hAnsi="Calibri" w:cs="Calibri"/>
          <w:sz w:val="22"/>
          <w:szCs w:val="22"/>
        </w:rPr>
        <w:t xml:space="preserve"> la operación de</w:t>
      </w:r>
      <w:r w:rsidR="001A7099" w:rsidRPr="00A169D7">
        <w:rPr>
          <w:rFonts w:ascii="Calibri" w:hAnsi="Calibri" w:cs="Calibri"/>
          <w:sz w:val="22"/>
          <w:szCs w:val="22"/>
        </w:rPr>
        <w:t xml:space="preserve"> hasta un máximo de </w:t>
      </w:r>
      <w:r w:rsidR="001D00F3" w:rsidRPr="00A169D7">
        <w:rPr>
          <w:rFonts w:ascii="Calibri" w:hAnsi="Calibri" w:cs="Calibri"/>
          <w:sz w:val="22"/>
          <w:szCs w:val="22"/>
        </w:rPr>
        <w:t>dos (</w:t>
      </w:r>
      <w:r w:rsidR="00A02A05" w:rsidRPr="00A169D7">
        <w:rPr>
          <w:rFonts w:ascii="Calibri" w:hAnsi="Calibri" w:cs="Calibri"/>
          <w:sz w:val="22"/>
          <w:szCs w:val="22"/>
        </w:rPr>
        <w:t>2</w:t>
      </w:r>
      <w:r w:rsidR="001D00F3" w:rsidRPr="00A169D7">
        <w:rPr>
          <w:rFonts w:ascii="Calibri" w:hAnsi="Calibri" w:cs="Calibri"/>
          <w:sz w:val="22"/>
          <w:szCs w:val="22"/>
        </w:rPr>
        <w:t>)</w:t>
      </w:r>
      <w:r w:rsidR="00A02A05" w:rsidRPr="00A169D7">
        <w:rPr>
          <w:rFonts w:ascii="Calibri" w:hAnsi="Calibri" w:cs="Calibri"/>
          <w:sz w:val="22"/>
          <w:szCs w:val="22"/>
        </w:rPr>
        <w:t xml:space="preserve"> </w:t>
      </w:r>
      <w:r w:rsidR="001A7099" w:rsidRPr="00A169D7">
        <w:rPr>
          <w:rFonts w:ascii="Calibri" w:hAnsi="Calibri" w:cs="Calibri"/>
          <w:sz w:val="22"/>
          <w:szCs w:val="22"/>
        </w:rPr>
        <w:t xml:space="preserve">casinos de juego, que corresponden a los cupos que quedarán disponibles </w:t>
      </w:r>
      <w:r w:rsidR="00EA765C" w:rsidRPr="00A169D7">
        <w:rPr>
          <w:rFonts w:ascii="Calibri" w:hAnsi="Calibri" w:cs="Calibri"/>
          <w:sz w:val="22"/>
          <w:szCs w:val="22"/>
        </w:rPr>
        <w:t>el 2</w:t>
      </w:r>
      <w:r w:rsidR="001B4C8E" w:rsidRPr="00A169D7">
        <w:rPr>
          <w:rFonts w:ascii="Calibri" w:hAnsi="Calibri" w:cs="Calibri"/>
          <w:sz w:val="22"/>
          <w:szCs w:val="22"/>
        </w:rPr>
        <w:t>8</w:t>
      </w:r>
      <w:r w:rsidR="00EA765C" w:rsidRPr="00A169D7">
        <w:rPr>
          <w:rFonts w:ascii="Calibri" w:hAnsi="Calibri" w:cs="Calibri"/>
          <w:sz w:val="22"/>
          <w:szCs w:val="22"/>
        </w:rPr>
        <w:t xml:space="preserve"> y </w:t>
      </w:r>
      <w:r w:rsidR="001B4C8E" w:rsidRPr="00A169D7">
        <w:rPr>
          <w:rFonts w:ascii="Calibri" w:hAnsi="Calibri" w:cs="Calibri"/>
          <w:sz w:val="22"/>
          <w:szCs w:val="22"/>
        </w:rPr>
        <w:t>30</w:t>
      </w:r>
      <w:r w:rsidR="00EA765C" w:rsidRPr="00A169D7">
        <w:rPr>
          <w:rFonts w:ascii="Calibri" w:hAnsi="Calibri" w:cs="Calibri"/>
          <w:sz w:val="22"/>
          <w:szCs w:val="22"/>
        </w:rPr>
        <w:t xml:space="preserve"> de agosto 2024, respectivamente.</w:t>
      </w:r>
    </w:p>
    <w:p w14:paraId="76EA5B4C" w14:textId="77777777" w:rsidR="004E735E" w:rsidRPr="003223C7" w:rsidRDefault="004E735E" w:rsidP="00F21320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17BD7536" w14:textId="35EDFBDB" w:rsidR="004E735E" w:rsidRPr="003223C7" w:rsidRDefault="004E735E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Lo anterior, en consideración a que, según lo establecido en la Ley N°19.995 de Casinos, la SCJ, con una antelación que no podrá superar los 48</w:t>
      </w:r>
      <w:r w:rsidR="001A7099" w:rsidRPr="003223C7">
        <w:rPr>
          <w:rFonts w:ascii="Calibri" w:hAnsi="Calibri" w:cs="Calibri"/>
          <w:color w:val="000000"/>
          <w:sz w:val="22"/>
          <w:szCs w:val="22"/>
        </w:rPr>
        <w:t xml:space="preserve"> meses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 ni ser inferior a 36 meses contados desde la fecha de vencimiento de los permisos en actual explotación, deberá dictar una resolución declarando formalmente abierto el proceso de otorgamiento o de renovación de permisos de operación, según corresponda. </w:t>
      </w:r>
    </w:p>
    <w:p w14:paraId="5A46632B" w14:textId="77777777" w:rsidR="004E735E" w:rsidRPr="003223C7" w:rsidRDefault="004E735E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6AD7992B" w14:textId="4E0505D5" w:rsidR="00742ED7" w:rsidRPr="003223C7" w:rsidRDefault="00606539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L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os oferentes interesados en </w:t>
      </w:r>
      <w:r w:rsidR="00F85E11" w:rsidRPr="003223C7">
        <w:rPr>
          <w:rFonts w:ascii="Calibri" w:hAnsi="Calibri" w:cs="Calibri"/>
          <w:color w:val="000000"/>
          <w:sz w:val="22"/>
          <w:szCs w:val="22"/>
        </w:rPr>
        <w:t>postular a un permi</w:t>
      </w:r>
      <w:r w:rsidRPr="003223C7">
        <w:rPr>
          <w:rFonts w:ascii="Calibri" w:hAnsi="Calibri" w:cs="Calibri"/>
          <w:color w:val="000000"/>
          <w:sz w:val="22"/>
          <w:szCs w:val="22"/>
        </w:rPr>
        <w:t>s</w:t>
      </w:r>
      <w:r w:rsidR="001A7099" w:rsidRPr="003223C7">
        <w:rPr>
          <w:rFonts w:ascii="Calibri" w:hAnsi="Calibri" w:cs="Calibri"/>
          <w:color w:val="000000"/>
          <w:sz w:val="22"/>
          <w:szCs w:val="22"/>
        </w:rPr>
        <w:t>o de operación o en renovar su permiso vigente,</w:t>
      </w:r>
      <w:r w:rsidR="00F85E11" w:rsidRPr="003223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podrán descargar las bases técnicas </w:t>
      </w:r>
      <w:r w:rsidR="00E839CA" w:rsidRPr="003223C7">
        <w:rPr>
          <w:rFonts w:ascii="Calibri" w:hAnsi="Calibri" w:cs="Calibri"/>
          <w:color w:val="000000"/>
          <w:sz w:val="22"/>
          <w:szCs w:val="22"/>
        </w:rPr>
        <w:t>de modo íntegro, así como</w:t>
      </w:r>
      <w:r w:rsidR="003223C7">
        <w:rPr>
          <w:rFonts w:ascii="Calibri" w:hAnsi="Calibri" w:cs="Calibri"/>
          <w:color w:val="000000"/>
          <w:sz w:val="22"/>
          <w:szCs w:val="22"/>
        </w:rPr>
        <w:t xml:space="preserve"> acceder</w:t>
      </w:r>
      <w:r w:rsidR="00E839CA" w:rsidRPr="003223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23C7">
        <w:rPr>
          <w:rFonts w:ascii="Calibri" w:hAnsi="Calibri" w:cs="Calibri"/>
          <w:color w:val="000000"/>
          <w:sz w:val="22"/>
          <w:szCs w:val="22"/>
        </w:rPr>
        <w:t>a</w:t>
      </w:r>
      <w:r w:rsidR="00E839CA" w:rsidRPr="003223C7">
        <w:rPr>
          <w:rFonts w:ascii="Calibri" w:hAnsi="Calibri" w:cs="Calibri"/>
          <w:color w:val="000000"/>
          <w:sz w:val="22"/>
          <w:szCs w:val="22"/>
        </w:rPr>
        <w:t xml:space="preserve">l </w:t>
      </w:r>
      <w:r w:rsidR="001D00F3">
        <w:rPr>
          <w:rFonts w:ascii="Calibri" w:hAnsi="Calibri" w:cs="Calibri"/>
          <w:color w:val="000000"/>
          <w:sz w:val="22"/>
          <w:szCs w:val="22"/>
        </w:rPr>
        <w:t>s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istema de </w:t>
      </w:r>
      <w:r w:rsidR="001D00F3">
        <w:rPr>
          <w:rFonts w:ascii="Calibri" w:hAnsi="Calibri" w:cs="Calibri"/>
          <w:color w:val="000000"/>
          <w:sz w:val="22"/>
          <w:szCs w:val="22"/>
        </w:rPr>
        <w:t>p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ostulación </w:t>
      </w:r>
      <w:r w:rsidR="00E839CA" w:rsidRPr="003223C7">
        <w:rPr>
          <w:rFonts w:ascii="Calibri" w:hAnsi="Calibri" w:cs="Calibri"/>
          <w:color w:val="000000"/>
          <w:sz w:val="22"/>
          <w:szCs w:val="22"/>
        </w:rPr>
        <w:t>y</w:t>
      </w:r>
      <w:r w:rsidR="003223C7">
        <w:rPr>
          <w:rFonts w:ascii="Calibri" w:hAnsi="Calibri" w:cs="Calibri"/>
          <w:color w:val="000000"/>
          <w:sz w:val="22"/>
          <w:szCs w:val="22"/>
        </w:rPr>
        <w:t xml:space="preserve"> su</w:t>
      </w:r>
      <w:r w:rsidR="00E839CA" w:rsidRPr="003223C7">
        <w:rPr>
          <w:rFonts w:ascii="Calibri" w:hAnsi="Calibri" w:cs="Calibri"/>
          <w:color w:val="000000"/>
          <w:sz w:val="22"/>
          <w:szCs w:val="22"/>
        </w:rPr>
        <w:t xml:space="preserve"> manual de uso, 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a través del </w:t>
      </w:r>
      <w:r w:rsidR="00054663" w:rsidRPr="003223C7">
        <w:rPr>
          <w:rFonts w:ascii="Calibri" w:hAnsi="Calibri" w:cs="Calibri"/>
          <w:color w:val="000000"/>
          <w:sz w:val="22"/>
          <w:szCs w:val="22"/>
        </w:rPr>
        <w:t xml:space="preserve">siguiente </w:t>
      </w:r>
      <w:proofErr w:type="gramStart"/>
      <w:r w:rsidR="00054663" w:rsidRPr="003223C7">
        <w:rPr>
          <w:rFonts w:ascii="Calibri" w:hAnsi="Calibri" w:cs="Calibri"/>
          <w:color w:val="000000"/>
          <w:sz w:val="22"/>
          <w:szCs w:val="22"/>
        </w:rPr>
        <w:t>link</w:t>
      </w:r>
      <w:proofErr w:type="gramEnd"/>
      <w:r w:rsidR="00054663" w:rsidRPr="003223C7">
        <w:rPr>
          <w:rFonts w:ascii="Calibri" w:hAnsi="Calibri" w:cs="Calibri"/>
          <w:color w:val="000000"/>
          <w:sz w:val="22"/>
          <w:szCs w:val="22"/>
        </w:rPr>
        <w:t xml:space="preserve"> del sitio web i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nstitucional </w:t>
      </w:r>
      <w:hyperlink r:id="rId8" w:history="1">
        <w:r w:rsidR="00D15898" w:rsidRPr="003223C7">
          <w:rPr>
            <w:rStyle w:val="Hipervnculo"/>
            <w:rFonts w:ascii="Calibri" w:hAnsi="Calibri" w:cs="Calibri"/>
            <w:sz w:val="22"/>
            <w:szCs w:val="22"/>
          </w:rPr>
          <w:t>https://www.scj.gob.cl/procesos-de-la-industria/otorgamiento-de-permiso-de-operacion/2021</w:t>
        </w:r>
      </w:hyperlink>
      <w:r w:rsidR="00D15898" w:rsidRPr="003223C7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9575E8F" w14:textId="6C1BFA88" w:rsidR="00054663" w:rsidRPr="003223C7" w:rsidRDefault="00E839CA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 xml:space="preserve">Del mismo modo, éstas </w:t>
      </w:r>
      <w:r w:rsidR="00054663" w:rsidRPr="003223C7">
        <w:rPr>
          <w:rFonts w:ascii="Calibri" w:hAnsi="Calibri" w:cs="Calibri"/>
          <w:color w:val="000000"/>
          <w:sz w:val="22"/>
          <w:szCs w:val="22"/>
        </w:rPr>
        <w:t xml:space="preserve">podrán ser retiradas de manera digital 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en las oficinas de la Superintendencia, </w:t>
      </w:r>
      <w:r w:rsidR="00054663" w:rsidRPr="003223C7">
        <w:rPr>
          <w:rFonts w:ascii="Calibri" w:hAnsi="Calibri" w:cs="Calibri"/>
          <w:color w:val="000000"/>
          <w:sz w:val="22"/>
          <w:szCs w:val="22"/>
        </w:rPr>
        <w:t xml:space="preserve">ubicadas en Morandé 360, piso 11, comuna de Santiago, Región Metropolitana. </w:t>
      </w:r>
    </w:p>
    <w:p w14:paraId="447E5F46" w14:textId="77777777" w:rsidR="00D15898" w:rsidRPr="003223C7" w:rsidRDefault="00D15898" w:rsidP="003223C7">
      <w:pPr>
        <w:tabs>
          <w:tab w:val="left" w:pos="2127"/>
          <w:tab w:val="left" w:pos="2694"/>
          <w:tab w:val="left" w:pos="3119"/>
        </w:tabs>
        <w:rPr>
          <w:rFonts w:ascii="Calibri" w:hAnsi="Calibri" w:cs="Calibri"/>
          <w:color w:val="000000"/>
          <w:sz w:val="22"/>
          <w:szCs w:val="22"/>
        </w:rPr>
      </w:pPr>
    </w:p>
    <w:p w14:paraId="5497F685" w14:textId="2286E060" w:rsidR="00054663" w:rsidRPr="003223C7" w:rsidRDefault="00054663" w:rsidP="003223C7">
      <w:pPr>
        <w:tabs>
          <w:tab w:val="left" w:pos="2127"/>
          <w:tab w:val="left" w:pos="2694"/>
          <w:tab w:val="left" w:pos="3119"/>
        </w:tabs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La descarga o el retiro de las bases técnicas</w:t>
      </w:r>
      <w:r w:rsidR="00851B90" w:rsidRPr="003223C7">
        <w:rPr>
          <w:rFonts w:ascii="Calibri" w:hAnsi="Calibri" w:cs="Calibri"/>
          <w:color w:val="000000"/>
          <w:sz w:val="22"/>
          <w:szCs w:val="22"/>
        </w:rPr>
        <w:t xml:space="preserve"> y 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del Sistema de </w:t>
      </w:r>
      <w:r w:rsidR="00F11619" w:rsidRPr="003223C7">
        <w:rPr>
          <w:rFonts w:ascii="Calibri" w:hAnsi="Calibri" w:cs="Calibri"/>
          <w:color w:val="000000"/>
          <w:sz w:val="22"/>
          <w:szCs w:val="22"/>
        </w:rPr>
        <w:t xml:space="preserve">Postulación 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de Operación de Casinos de Juego (SOPO) podrán efectuarse a partir </w:t>
      </w:r>
      <w:r w:rsidR="00606539" w:rsidRPr="003223C7">
        <w:rPr>
          <w:rFonts w:ascii="Calibri" w:hAnsi="Calibri" w:cs="Calibri"/>
          <w:color w:val="000000"/>
          <w:sz w:val="22"/>
          <w:szCs w:val="22"/>
        </w:rPr>
        <w:t xml:space="preserve">de hoy </w:t>
      </w:r>
      <w:r w:rsidR="00465B05">
        <w:rPr>
          <w:rFonts w:ascii="Calibri" w:hAnsi="Calibri" w:cs="Calibri"/>
          <w:color w:val="000000"/>
          <w:sz w:val="22"/>
          <w:szCs w:val="22"/>
        </w:rPr>
        <w:t>2</w:t>
      </w:r>
      <w:r w:rsidR="00F21320">
        <w:rPr>
          <w:rFonts w:ascii="Calibri" w:hAnsi="Calibri" w:cs="Calibri"/>
          <w:color w:val="000000"/>
          <w:sz w:val="22"/>
          <w:szCs w:val="22"/>
        </w:rPr>
        <w:t xml:space="preserve"> de </w:t>
      </w:r>
      <w:r w:rsidR="00465B05">
        <w:rPr>
          <w:rFonts w:ascii="Calibri" w:hAnsi="Calibri" w:cs="Calibri"/>
          <w:color w:val="000000"/>
          <w:sz w:val="22"/>
          <w:szCs w:val="22"/>
        </w:rPr>
        <w:t>septiembre</w:t>
      </w:r>
      <w:r w:rsidR="00F21320">
        <w:rPr>
          <w:rFonts w:ascii="Calibri" w:hAnsi="Calibri" w:cs="Calibri"/>
          <w:color w:val="000000"/>
          <w:sz w:val="22"/>
          <w:szCs w:val="22"/>
        </w:rPr>
        <w:t xml:space="preserve"> de 2021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 y hasta e</w:t>
      </w:r>
      <w:r w:rsidR="00DC30A9">
        <w:rPr>
          <w:rFonts w:ascii="Calibri" w:hAnsi="Calibri" w:cs="Calibri"/>
          <w:color w:val="000000"/>
          <w:sz w:val="22"/>
          <w:szCs w:val="22"/>
        </w:rPr>
        <w:t>l 22 d</w:t>
      </w:r>
      <w:r w:rsidR="00F21320">
        <w:rPr>
          <w:rFonts w:ascii="Calibri" w:hAnsi="Calibri" w:cs="Calibri"/>
          <w:color w:val="000000"/>
          <w:sz w:val="22"/>
          <w:szCs w:val="22"/>
        </w:rPr>
        <w:t>e febrero de 2022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. Para ello, los interesados, sean estos sociedades o personas naturales, deberán registrar </w:t>
      </w:r>
      <w:r w:rsidR="003223C7" w:rsidRPr="003223C7">
        <w:rPr>
          <w:rFonts w:ascii="Calibri" w:hAnsi="Calibri" w:cs="Calibri"/>
          <w:color w:val="000000"/>
          <w:sz w:val="22"/>
          <w:szCs w:val="22"/>
        </w:rPr>
        <w:t xml:space="preserve">sus datos básicos de identificación 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en </w:t>
      </w:r>
      <w:r w:rsidR="00851B90" w:rsidRPr="003223C7">
        <w:rPr>
          <w:rFonts w:ascii="Calibri" w:hAnsi="Calibri" w:cs="Calibri"/>
          <w:color w:val="000000"/>
          <w:sz w:val="22"/>
          <w:szCs w:val="22"/>
        </w:rPr>
        <w:t xml:space="preserve">el mismo sitio </w:t>
      </w:r>
      <w:r w:rsidRPr="003223C7">
        <w:rPr>
          <w:rFonts w:ascii="Calibri" w:hAnsi="Calibri" w:cs="Calibri"/>
          <w:color w:val="000000"/>
          <w:sz w:val="22"/>
          <w:szCs w:val="22"/>
        </w:rPr>
        <w:t>web de la Superintendencia.</w:t>
      </w:r>
    </w:p>
    <w:p w14:paraId="64D933F1" w14:textId="77777777" w:rsidR="00054663" w:rsidRPr="003223C7" w:rsidRDefault="00054663" w:rsidP="003223C7">
      <w:pPr>
        <w:tabs>
          <w:tab w:val="left" w:pos="2127"/>
          <w:tab w:val="left" w:pos="2694"/>
          <w:tab w:val="left" w:pos="3119"/>
        </w:tabs>
        <w:ind w:firstLine="3544"/>
        <w:rPr>
          <w:rFonts w:ascii="Arial" w:hAnsi="Arial" w:cs="Arial"/>
          <w:sz w:val="22"/>
          <w:szCs w:val="22"/>
        </w:rPr>
      </w:pPr>
    </w:p>
    <w:p w14:paraId="7BAA8667" w14:textId="04C9FF47" w:rsidR="00F85E11" w:rsidRPr="003223C7" w:rsidRDefault="00FA7EAD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 xml:space="preserve">De esta manera </w:t>
      </w:r>
      <w:r w:rsidR="0080491A" w:rsidRPr="003223C7">
        <w:rPr>
          <w:rFonts w:ascii="Calibri" w:hAnsi="Calibri" w:cs="Calibri"/>
          <w:color w:val="000000"/>
          <w:sz w:val="22"/>
          <w:szCs w:val="22"/>
        </w:rPr>
        <w:t>comienza la fase de la preparación de las Ofertas Técnicas y Económicas por parte de los interesados</w:t>
      </w:r>
      <w:r w:rsidR="00801C38" w:rsidRPr="003223C7">
        <w:rPr>
          <w:rFonts w:ascii="Calibri" w:hAnsi="Calibri" w:cs="Calibri"/>
          <w:color w:val="000000"/>
          <w:sz w:val="22"/>
          <w:szCs w:val="22"/>
        </w:rPr>
        <w:t>, siguiendo lo establecido en las bases</w:t>
      </w:r>
      <w:r w:rsidR="0080491A" w:rsidRPr="003223C7">
        <w:rPr>
          <w:rFonts w:ascii="Calibri" w:hAnsi="Calibri" w:cs="Calibri"/>
          <w:color w:val="000000"/>
          <w:sz w:val="22"/>
          <w:szCs w:val="22"/>
        </w:rPr>
        <w:t xml:space="preserve">, para lo cual </w:t>
      </w:r>
      <w:r w:rsidR="003223C7">
        <w:rPr>
          <w:rFonts w:ascii="Calibri" w:hAnsi="Calibri" w:cs="Calibri"/>
          <w:color w:val="000000"/>
          <w:sz w:val="22"/>
          <w:szCs w:val="22"/>
        </w:rPr>
        <w:t xml:space="preserve">los interesados </w:t>
      </w:r>
      <w:r w:rsidR="0080491A" w:rsidRPr="003223C7">
        <w:rPr>
          <w:rFonts w:ascii="Calibri" w:hAnsi="Calibri" w:cs="Calibri"/>
          <w:color w:val="000000"/>
          <w:sz w:val="22"/>
          <w:szCs w:val="22"/>
        </w:rPr>
        <w:t xml:space="preserve">cuentan con un plazo de </w:t>
      </w:r>
      <w:r w:rsidR="001D00F3">
        <w:rPr>
          <w:rFonts w:ascii="Calibri" w:hAnsi="Calibri" w:cs="Calibri"/>
          <w:color w:val="000000"/>
          <w:sz w:val="22"/>
          <w:szCs w:val="22"/>
        </w:rPr>
        <w:t>12</w:t>
      </w:r>
      <w:r w:rsidR="00801C38" w:rsidRPr="003223C7">
        <w:rPr>
          <w:rFonts w:ascii="Calibri" w:hAnsi="Calibri" w:cs="Calibri"/>
          <w:color w:val="000000"/>
          <w:sz w:val="22"/>
          <w:szCs w:val="22"/>
        </w:rPr>
        <w:t>0</w:t>
      </w:r>
      <w:r w:rsidR="0080491A" w:rsidRPr="003223C7">
        <w:rPr>
          <w:rFonts w:ascii="Calibri" w:hAnsi="Calibri" w:cs="Calibri"/>
          <w:color w:val="000000"/>
          <w:sz w:val="22"/>
          <w:szCs w:val="22"/>
        </w:rPr>
        <w:t xml:space="preserve"> días hábile</w:t>
      </w:r>
      <w:r w:rsidR="00376F6B" w:rsidRPr="003223C7">
        <w:rPr>
          <w:rFonts w:ascii="Calibri" w:hAnsi="Calibri" w:cs="Calibri"/>
          <w:color w:val="000000"/>
          <w:sz w:val="22"/>
          <w:szCs w:val="22"/>
        </w:rPr>
        <w:t>s hasta la entrega de éstas</w:t>
      </w:r>
      <w:r w:rsidR="0080491A" w:rsidRPr="003223C7">
        <w:rPr>
          <w:rFonts w:ascii="Calibri" w:hAnsi="Calibri" w:cs="Calibri"/>
          <w:color w:val="000000"/>
          <w:sz w:val="22"/>
          <w:szCs w:val="22"/>
        </w:rPr>
        <w:t xml:space="preserve"> en la Audiencia de Presentación de</w:t>
      </w:r>
      <w:r w:rsidR="00247753" w:rsidRPr="003223C7">
        <w:rPr>
          <w:rFonts w:ascii="Calibri" w:hAnsi="Calibri" w:cs="Calibri"/>
          <w:color w:val="000000"/>
          <w:sz w:val="22"/>
          <w:szCs w:val="22"/>
        </w:rPr>
        <w:t xml:space="preserve"> Ofertas Técnicas y Económicas, </w:t>
      </w:r>
      <w:r w:rsidR="00F85E11" w:rsidRPr="003223C7">
        <w:rPr>
          <w:rFonts w:ascii="Calibri" w:hAnsi="Calibri" w:cs="Calibri"/>
          <w:color w:val="000000"/>
          <w:sz w:val="22"/>
          <w:szCs w:val="22"/>
        </w:rPr>
        <w:t xml:space="preserve">la que está programada para el </w:t>
      </w:r>
      <w:r w:rsidR="00742ED7" w:rsidRPr="003223C7">
        <w:rPr>
          <w:rFonts w:ascii="Calibri" w:hAnsi="Calibri" w:cs="Calibri"/>
          <w:color w:val="000000"/>
          <w:sz w:val="22"/>
          <w:szCs w:val="22"/>
        </w:rPr>
        <w:t xml:space="preserve">23 de febrero </w:t>
      </w:r>
      <w:r w:rsidR="00801C38" w:rsidRPr="003223C7">
        <w:rPr>
          <w:rFonts w:ascii="Calibri" w:hAnsi="Calibri" w:cs="Calibri"/>
          <w:color w:val="000000"/>
          <w:sz w:val="22"/>
          <w:szCs w:val="22"/>
        </w:rPr>
        <w:t>de 2022</w:t>
      </w:r>
      <w:r w:rsidR="00F85E11" w:rsidRPr="003223C7">
        <w:rPr>
          <w:rFonts w:ascii="Calibri" w:hAnsi="Calibri" w:cs="Calibri"/>
          <w:color w:val="000000"/>
          <w:sz w:val="22"/>
          <w:szCs w:val="22"/>
        </w:rPr>
        <w:t xml:space="preserve"> a las 10:00 horas, en el Hotel Gran Palace, calle Huérfanos N°1178, comuna de Santiago</w:t>
      </w:r>
      <w:r w:rsidR="00606539" w:rsidRPr="003223C7">
        <w:rPr>
          <w:rFonts w:ascii="Calibri" w:hAnsi="Calibri" w:cs="Calibri"/>
          <w:color w:val="000000"/>
          <w:sz w:val="22"/>
          <w:szCs w:val="22"/>
        </w:rPr>
        <w:t>.</w:t>
      </w:r>
    </w:p>
    <w:p w14:paraId="57F32629" w14:textId="77777777" w:rsidR="00851B90" w:rsidRPr="003223C7" w:rsidRDefault="00851B90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260BDFC4" w14:textId="5A2AEF1D" w:rsidR="003567CA" w:rsidRPr="003223C7" w:rsidRDefault="003567CA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Asimismo, a contar de hoy y en un plazo de diez días</w:t>
      </w:r>
      <w:r w:rsidR="00247753" w:rsidRPr="003223C7">
        <w:rPr>
          <w:rFonts w:ascii="Calibri" w:hAnsi="Calibri" w:cs="Calibri"/>
          <w:color w:val="000000"/>
          <w:sz w:val="22"/>
          <w:szCs w:val="22"/>
        </w:rPr>
        <w:t xml:space="preserve"> hábiles</w:t>
      </w:r>
      <w:r w:rsidRPr="003223C7">
        <w:rPr>
          <w:rFonts w:ascii="Calibri" w:hAnsi="Calibri" w:cs="Calibri"/>
          <w:color w:val="000000"/>
          <w:sz w:val="22"/>
          <w:szCs w:val="22"/>
        </w:rPr>
        <w:t>, se desarrollará el periodo de consultas y solicitud de aclaraciones por parte de los oferentes, las que podrán realizarse a través del formulario web disponible en la sección</w:t>
      </w:r>
      <w:r w:rsidR="00851B90" w:rsidRPr="003223C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21320">
        <w:rPr>
          <w:rFonts w:asciiTheme="majorHAnsi" w:hAnsiTheme="majorHAnsi" w:cstheme="majorHAnsi"/>
          <w:color w:val="000000"/>
          <w:sz w:val="22"/>
          <w:szCs w:val="22"/>
        </w:rPr>
        <w:t xml:space="preserve">Gestión de consultas y solicitudes de aclaraciones </w:t>
      </w:r>
      <w:r w:rsidR="003223C7">
        <w:rPr>
          <w:rFonts w:asciiTheme="majorHAnsi" w:hAnsiTheme="majorHAnsi" w:cstheme="majorHAnsi"/>
          <w:color w:val="000000"/>
          <w:sz w:val="22"/>
          <w:szCs w:val="22"/>
        </w:rPr>
        <w:t>(</w:t>
      </w:r>
      <w:hyperlink r:id="rId9" w:history="1">
        <w:r w:rsidR="00F21320" w:rsidRPr="003223C7">
          <w:rPr>
            <w:rStyle w:val="Hipervnculo"/>
            <w:rFonts w:ascii="Calibri" w:hAnsi="Calibri" w:cs="Calibri"/>
            <w:sz w:val="22"/>
            <w:szCs w:val="22"/>
          </w:rPr>
          <w:t>https://www.scj.gob.cl/procesos-de-la-industria/otorgamiento-de-permiso-de-operacion/2021</w:t>
        </w:r>
      </w:hyperlink>
      <w:r w:rsidR="003223C7">
        <w:rPr>
          <w:rFonts w:asciiTheme="majorHAnsi" w:hAnsiTheme="majorHAnsi" w:cstheme="majorHAnsi"/>
          <w:color w:val="000000"/>
          <w:sz w:val="22"/>
          <w:szCs w:val="22"/>
        </w:rPr>
        <w:t>) e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n tanto, la Superintendencia cuenta con un plazo de quince días para </w:t>
      </w:r>
      <w:r w:rsidR="00376F6B" w:rsidRPr="003223C7">
        <w:rPr>
          <w:rFonts w:ascii="Calibri" w:hAnsi="Calibri" w:cs="Calibri"/>
          <w:color w:val="000000"/>
          <w:sz w:val="22"/>
          <w:szCs w:val="22"/>
        </w:rPr>
        <w:t>dar respuesta a las mismas.</w:t>
      </w:r>
    </w:p>
    <w:p w14:paraId="3094391F" w14:textId="77777777" w:rsidR="003567CA" w:rsidRPr="003223C7" w:rsidRDefault="003567CA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2106AEC7" w14:textId="77777777" w:rsidR="00376F6B" w:rsidRPr="003223C7" w:rsidRDefault="00376F6B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186BC7E9" w14:textId="77777777" w:rsidR="00376F6B" w:rsidRPr="003223C7" w:rsidRDefault="00376F6B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10A38F60" w14:textId="323EFAAF" w:rsidR="00376F6B" w:rsidRPr="003223C7" w:rsidRDefault="00376F6B" w:rsidP="003223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lastRenderedPageBreak/>
        <w:t xml:space="preserve">Dentro de los ciento veinte días hábiles siguientes a la Audiencia de presentación de Ofertas, la Superintendencia debe llevar a cabo el proceso de evaluación de las ofertas técnicas, a través de la aplicación de </w:t>
      </w:r>
      <w:r w:rsidR="000E46FF"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la </w:t>
      </w: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>metodología</w:t>
      </w:r>
      <w:r w:rsidR="00606539"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 que se detalla en </w:t>
      </w: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>las Bases Técnicas.</w:t>
      </w:r>
    </w:p>
    <w:p w14:paraId="6DC0072D" w14:textId="77777777" w:rsidR="004E735E" w:rsidRPr="003223C7" w:rsidRDefault="004E735E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0FC7846D" w14:textId="5BC01277" w:rsidR="00380E06" w:rsidRPr="003223C7" w:rsidRDefault="004E735E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Cabe señalar que, según la normativa vigente, se puede postular a un permiso de operación de casino de juego en todas las regiones del país, con excepción de la Región Metropolitana.</w:t>
      </w:r>
      <w:r w:rsidR="003223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1C38" w:rsidRPr="003223C7">
        <w:rPr>
          <w:rFonts w:ascii="Calibri" w:hAnsi="Calibri" w:cs="Calibri"/>
          <w:color w:val="000000"/>
          <w:sz w:val="22"/>
          <w:szCs w:val="22"/>
        </w:rPr>
        <w:t>Asimismo, l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as actuales sociedades operadoras de casinos de juego pueden optar a participar de este proceso, postulando a la renovación de sus permisos. </w:t>
      </w:r>
    </w:p>
    <w:p w14:paraId="74300B3B" w14:textId="77777777" w:rsidR="00380E06" w:rsidRPr="003223C7" w:rsidRDefault="00380E06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722BDB21" w14:textId="77777777" w:rsidR="004E735E" w:rsidRPr="003223C7" w:rsidRDefault="004E735E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Para garantizar que este proceso sea equitativo y transparente</w:t>
      </w:r>
      <w:r w:rsidR="00606539" w:rsidRPr="003223C7">
        <w:rPr>
          <w:rFonts w:ascii="Calibri" w:hAnsi="Calibri" w:cs="Calibri"/>
          <w:color w:val="000000"/>
          <w:sz w:val="22"/>
          <w:szCs w:val="22"/>
        </w:rPr>
        <w:t>,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 tanto para los eventuales casinos renovantes como para los posibles entrantes, las reglas del proceso </w:t>
      </w:r>
      <w:r w:rsidR="00606539" w:rsidRPr="003223C7">
        <w:rPr>
          <w:rFonts w:ascii="Calibri" w:hAnsi="Calibri" w:cs="Calibri"/>
          <w:color w:val="000000"/>
          <w:sz w:val="22"/>
          <w:szCs w:val="22"/>
        </w:rPr>
        <w:t>son de acceso público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 y conocidas por todos los interesados. Asimismo, serán públicos los expedientes de la evaluación técnica, una vez que haya concluido el proceso, salvo aquella información de carácter reservada de conformidad a la Ley N°20.285, sobre acceso a la información pública.</w:t>
      </w:r>
    </w:p>
    <w:p w14:paraId="17827534" w14:textId="77777777" w:rsidR="00606539" w:rsidRPr="003223C7" w:rsidRDefault="00606539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113CDAB7" w14:textId="06D076C5" w:rsidR="004E735E" w:rsidRPr="003223C7" w:rsidRDefault="00606539" w:rsidP="003223C7">
      <w:pPr>
        <w:ind w:right="49"/>
      </w:pPr>
      <w:r w:rsidRPr="003223C7">
        <w:rPr>
          <w:rFonts w:ascii="Calibri" w:hAnsi="Calibri" w:cs="Calibri"/>
          <w:color w:val="000000"/>
          <w:sz w:val="22"/>
          <w:szCs w:val="22"/>
        </w:rPr>
        <w:t xml:space="preserve">Toda la información sobre el proceso se encuentra disponible en el sitio web </w:t>
      </w:r>
      <w:hyperlink r:id="rId10" w:history="1">
        <w:r w:rsidR="003548C7" w:rsidRPr="003223C7">
          <w:rPr>
            <w:rStyle w:val="Hipervnculo"/>
            <w:rFonts w:ascii="Calibri" w:hAnsi="Calibri"/>
            <w:sz w:val="22"/>
            <w:szCs w:val="22"/>
          </w:rPr>
          <w:t>www.scj.gob.cl</w:t>
        </w:r>
      </w:hyperlink>
    </w:p>
    <w:p w14:paraId="2CDA6117" w14:textId="77777777" w:rsidR="003548C7" w:rsidRPr="003223C7" w:rsidRDefault="003548C7" w:rsidP="003223C7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7506EF38" w14:textId="77777777" w:rsidR="003223C7" w:rsidRPr="003223C7" w:rsidRDefault="003223C7" w:rsidP="003223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14:paraId="09404ADF" w14:textId="0F4745DE" w:rsidR="004E735E" w:rsidRPr="003223C7" w:rsidRDefault="004E735E" w:rsidP="003223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>Cupos de casinos que quedarán disponibles, a partir de</w:t>
      </w:r>
      <w:r w:rsidR="00801C38"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 agosto de</w:t>
      </w:r>
      <w:r w:rsidR="003223C7"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 </w:t>
      </w: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>202</w:t>
      </w:r>
      <w:r w:rsidR="00801C38"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>4</w:t>
      </w:r>
      <w:r w:rsidR="003223C7"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>:</w:t>
      </w:r>
    </w:p>
    <w:p w14:paraId="140B4448" w14:textId="77777777" w:rsidR="003223C7" w:rsidRPr="003223C7" w:rsidRDefault="003223C7" w:rsidP="003223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51"/>
        <w:gridCol w:w="1617"/>
        <w:gridCol w:w="1701"/>
        <w:gridCol w:w="1983"/>
        <w:gridCol w:w="1277"/>
        <w:gridCol w:w="1418"/>
      </w:tblGrid>
      <w:tr w:rsidR="00742ED7" w:rsidRPr="003223C7" w14:paraId="44DD9CA8" w14:textId="77777777" w:rsidTr="00696E3A">
        <w:trPr>
          <w:trHeight w:val="352"/>
        </w:trPr>
        <w:tc>
          <w:tcPr>
            <w:tcW w:w="10207" w:type="dxa"/>
            <w:gridSpan w:val="7"/>
            <w:shd w:val="clear" w:color="auto" w:fill="1F497D" w:themeFill="text2"/>
            <w:vAlign w:val="center"/>
          </w:tcPr>
          <w:p w14:paraId="02850A02" w14:textId="009286BB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Casinos Ley N°19.995 según fecha de inicio de operación de casino de juego con vencimiento de permisos </w:t>
            </w:r>
            <w:r w:rsidR="00801C38"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en agosto de</w:t>
            </w:r>
            <w:r w:rsidR="00F21320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 </w:t>
            </w: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2024</w:t>
            </w:r>
          </w:p>
        </w:tc>
      </w:tr>
      <w:tr w:rsidR="00742ED7" w:rsidRPr="003223C7" w14:paraId="0D28DA2E" w14:textId="77777777" w:rsidTr="00696E3A">
        <w:trPr>
          <w:trHeight w:val="352"/>
        </w:trPr>
        <w:tc>
          <w:tcPr>
            <w:tcW w:w="1560" w:type="dxa"/>
            <w:vMerge w:val="restart"/>
            <w:shd w:val="clear" w:color="auto" w:fill="1F497D" w:themeFill="text2"/>
            <w:vAlign w:val="center"/>
          </w:tcPr>
          <w:p w14:paraId="04CFC024" w14:textId="77777777" w:rsidR="00C010B2" w:rsidRPr="003223C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268" w:type="dxa"/>
            <w:gridSpan w:val="2"/>
            <w:vMerge w:val="restart"/>
            <w:shd w:val="clear" w:color="auto" w:fill="1F497D" w:themeFill="text2"/>
            <w:vAlign w:val="center"/>
          </w:tcPr>
          <w:p w14:paraId="310AC6CC" w14:textId="77777777" w:rsidR="00C010B2" w:rsidRPr="003223C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Sociedad operadora</w:t>
            </w:r>
          </w:p>
        </w:tc>
        <w:tc>
          <w:tcPr>
            <w:tcW w:w="1701" w:type="dxa"/>
            <w:vMerge w:val="restart"/>
            <w:shd w:val="clear" w:color="auto" w:fill="1F497D" w:themeFill="text2"/>
            <w:vAlign w:val="center"/>
          </w:tcPr>
          <w:p w14:paraId="05794FE9" w14:textId="77777777" w:rsidR="00C010B2" w:rsidRPr="003223C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983" w:type="dxa"/>
            <w:vMerge w:val="restart"/>
            <w:shd w:val="clear" w:color="auto" w:fill="1F497D" w:themeFill="text2"/>
            <w:vAlign w:val="center"/>
          </w:tcPr>
          <w:p w14:paraId="19FB6248" w14:textId="77777777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Fecha de otorgamiento permiso de operación</w:t>
            </w:r>
          </w:p>
        </w:tc>
        <w:tc>
          <w:tcPr>
            <w:tcW w:w="2695" w:type="dxa"/>
            <w:gridSpan w:val="2"/>
            <w:shd w:val="clear" w:color="auto" w:fill="1F497D" w:themeFill="text2"/>
            <w:vAlign w:val="center"/>
          </w:tcPr>
          <w:p w14:paraId="5BF62651" w14:textId="77777777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Operación casino de juego</w:t>
            </w:r>
          </w:p>
        </w:tc>
      </w:tr>
      <w:tr w:rsidR="00742ED7" w:rsidRPr="003223C7" w14:paraId="4EE82A64" w14:textId="77777777" w:rsidTr="00696E3A">
        <w:trPr>
          <w:trHeight w:val="804"/>
        </w:trPr>
        <w:tc>
          <w:tcPr>
            <w:tcW w:w="1560" w:type="dxa"/>
            <w:vMerge/>
            <w:shd w:val="clear" w:color="auto" w:fill="1F497D" w:themeFill="text2"/>
            <w:vAlign w:val="center"/>
            <w:hideMark/>
          </w:tcPr>
          <w:p w14:paraId="7346C7A3" w14:textId="77777777" w:rsidR="00C010B2" w:rsidRPr="003223C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gridSpan w:val="2"/>
            <w:vMerge/>
            <w:shd w:val="clear" w:color="auto" w:fill="1F497D" w:themeFill="text2"/>
          </w:tcPr>
          <w:p w14:paraId="7D65A981" w14:textId="77777777" w:rsidR="00C010B2" w:rsidRPr="003223C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vMerge/>
            <w:shd w:val="clear" w:color="auto" w:fill="1F497D" w:themeFill="text2"/>
            <w:vAlign w:val="center"/>
            <w:hideMark/>
          </w:tcPr>
          <w:p w14:paraId="4024AC47" w14:textId="77777777" w:rsidR="00C010B2" w:rsidRPr="003223C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1983" w:type="dxa"/>
            <w:vMerge/>
            <w:shd w:val="clear" w:color="auto" w:fill="1F497D" w:themeFill="text2"/>
            <w:vAlign w:val="center"/>
            <w:hideMark/>
          </w:tcPr>
          <w:p w14:paraId="59F207B8" w14:textId="77777777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1277" w:type="dxa"/>
            <w:shd w:val="clear" w:color="auto" w:fill="1F497D" w:themeFill="text2"/>
            <w:vAlign w:val="center"/>
            <w:hideMark/>
          </w:tcPr>
          <w:p w14:paraId="351EF536" w14:textId="77777777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Fecha de Inicio</w:t>
            </w:r>
          </w:p>
          <w:p w14:paraId="7FB1EA83" w14:textId="77777777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operaciones </w:t>
            </w:r>
          </w:p>
        </w:tc>
        <w:tc>
          <w:tcPr>
            <w:tcW w:w="1418" w:type="dxa"/>
            <w:shd w:val="clear" w:color="auto" w:fill="1F497D" w:themeFill="text2"/>
            <w:vAlign w:val="center"/>
            <w:hideMark/>
          </w:tcPr>
          <w:p w14:paraId="677E91E2" w14:textId="77777777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Fecha de Término</w:t>
            </w:r>
          </w:p>
          <w:p w14:paraId="7DAF7353" w14:textId="77777777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permiso de operación </w:t>
            </w:r>
          </w:p>
        </w:tc>
      </w:tr>
      <w:tr w:rsidR="003548C7" w:rsidRPr="003223C7" w14:paraId="7923717B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BAF2641" w14:textId="534B89C6" w:rsidR="00C010B2" w:rsidRPr="003223C7" w:rsidRDefault="00C010B2" w:rsidP="00C93F79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 xml:space="preserve">De 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495B62FB" w14:textId="13F1655F" w:rsidR="00C010B2" w:rsidRPr="003223C7" w:rsidRDefault="00801C38" w:rsidP="00C93F79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Casino de Juegos del Pacífico</w:t>
            </w:r>
            <w:r w:rsidR="00C010B2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F10914" w14:textId="301B89BC" w:rsidR="00C010B2" w:rsidRPr="003223C7" w:rsidRDefault="00801C38" w:rsidP="00C93F79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Enjoy San Antonio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26F63290" w14:textId="61924486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6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dic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DFE802D" w14:textId="790AE644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7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ago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-0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7880B3A" w14:textId="1FA1EC52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</w:t>
            </w:r>
            <w:r w:rsidR="0078711D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7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</w:t>
            </w:r>
            <w:r w:rsidR="00465B05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a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go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-2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4</w:t>
            </w:r>
          </w:p>
        </w:tc>
      </w:tr>
      <w:tr w:rsidR="003548C7" w:rsidRPr="003223C7" w14:paraId="70F32F96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FC56B7A" w14:textId="5402483C" w:rsidR="00C010B2" w:rsidRPr="003223C7" w:rsidRDefault="00C010B2" w:rsidP="00C93F79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 xml:space="preserve">De 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33B90176" w14:textId="769A051A" w:rsidR="00C010B2" w:rsidRPr="003223C7" w:rsidRDefault="00801C38" w:rsidP="00C93F79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Casino Rinconada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79D30C" w14:textId="0DC2B873" w:rsidR="00C010B2" w:rsidRPr="003223C7" w:rsidRDefault="00801C38" w:rsidP="00C93F79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Enjoy Santiago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6BA262A0" w14:textId="3F055075" w:rsidR="00C010B2" w:rsidRPr="003223C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6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</w:t>
            </w:r>
            <w:r w:rsidR="00801C38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dic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FAE8A36" w14:textId="0DE8CE49" w:rsidR="00C010B2" w:rsidRPr="003223C7" w:rsidRDefault="00801C38" w:rsidP="00C93F79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29</w:t>
            </w:r>
            <w:r w:rsidR="00C010B2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-ago-0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5F91DA5" w14:textId="45897D96" w:rsidR="00C010B2" w:rsidRPr="003223C7" w:rsidRDefault="00801C38" w:rsidP="00C93F79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</w:t>
            </w:r>
            <w:r w:rsidR="0078711D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9</w:t>
            </w:r>
            <w:r w:rsidR="00C010B2"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-ago-2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4</w:t>
            </w:r>
          </w:p>
        </w:tc>
      </w:tr>
      <w:tr w:rsidR="003548C7" w:rsidRPr="003223C7" w14:paraId="1382B5D1" w14:textId="77777777" w:rsidTr="00730A66">
        <w:trPr>
          <w:trHeight w:val="268"/>
        </w:trPr>
        <w:tc>
          <w:tcPr>
            <w:tcW w:w="2211" w:type="dxa"/>
            <w:gridSpan w:val="2"/>
            <w:shd w:val="clear" w:color="auto" w:fill="1F497D" w:themeFill="text2"/>
            <w:vAlign w:val="center"/>
          </w:tcPr>
          <w:p w14:paraId="75825DA5" w14:textId="77777777" w:rsidR="00C010B2" w:rsidRPr="003223C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5301" w:type="dxa"/>
            <w:gridSpan w:val="3"/>
            <w:shd w:val="clear" w:color="auto" w:fill="1F497D" w:themeFill="text2"/>
            <w:noWrap/>
            <w:vAlign w:val="center"/>
            <w:hideMark/>
          </w:tcPr>
          <w:p w14:paraId="254F6673" w14:textId="7FF9312C" w:rsidR="00C010B2" w:rsidRPr="003223C7" w:rsidRDefault="00C010B2" w:rsidP="00C93F79">
            <w:pPr>
              <w:ind w:left="-1174" w:firstLine="1174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Total casinos: 2</w:t>
            </w:r>
          </w:p>
        </w:tc>
        <w:tc>
          <w:tcPr>
            <w:tcW w:w="1277" w:type="dxa"/>
            <w:shd w:val="clear" w:color="auto" w:fill="1F497D" w:themeFill="text2"/>
            <w:noWrap/>
            <w:vAlign w:val="center"/>
            <w:hideMark/>
          </w:tcPr>
          <w:p w14:paraId="721A05A4" w14:textId="77777777" w:rsidR="00C010B2" w:rsidRPr="003223C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shd w:val="clear" w:color="auto" w:fill="1F497D" w:themeFill="text2"/>
            <w:noWrap/>
            <w:vAlign w:val="center"/>
            <w:hideMark/>
          </w:tcPr>
          <w:p w14:paraId="6B5769CC" w14:textId="77777777" w:rsidR="00C010B2" w:rsidRPr="003223C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eastAsia="es-CL"/>
              </w:rPr>
              <w:t> </w:t>
            </w:r>
          </w:p>
        </w:tc>
      </w:tr>
    </w:tbl>
    <w:p w14:paraId="1885CC66" w14:textId="77777777" w:rsidR="00A00077" w:rsidRPr="003223C7" w:rsidRDefault="00A00077" w:rsidP="00091DA2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A00077" w:rsidRPr="003223C7" w:rsidSect="00FE532E">
      <w:headerReference w:type="default" r:id="rId11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CF7E" w14:textId="77777777" w:rsidR="002623B7" w:rsidRDefault="002623B7" w:rsidP="00B15F33">
      <w:r>
        <w:separator/>
      </w:r>
    </w:p>
  </w:endnote>
  <w:endnote w:type="continuationSeparator" w:id="0">
    <w:p w14:paraId="28F1A324" w14:textId="77777777" w:rsidR="002623B7" w:rsidRDefault="002623B7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8EA3" w14:textId="77777777" w:rsidR="002623B7" w:rsidRDefault="002623B7" w:rsidP="00B15F33">
      <w:r>
        <w:separator/>
      </w:r>
    </w:p>
  </w:footnote>
  <w:footnote w:type="continuationSeparator" w:id="0">
    <w:p w14:paraId="4AFB7C4B" w14:textId="77777777" w:rsidR="002623B7" w:rsidRDefault="002623B7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A3D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2066D717" wp14:editId="2456513E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2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1B63"/>
    <w:multiLevelType w:val="hybridMultilevel"/>
    <w:tmpl w:val="A2260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55DCA"/>
    <w:multiLevelType w:val="hybridMultilevel"/>
    <w:tmpl w:val="CC4A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E31"/>
    <w:multiLevelType w:val="hybridMultilevel"/>
    <w:tmpl w:val="38A2F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5EF5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4663"/>
    <w:rsid w:val="000631C9"/>
    <w:rsid w:val="000669B6"/>
    <w:rsid w:val="000678EE"/>
    <w:rsid w:val="000719FC"/>
    <w:rsid w:val="00072518"/>
    <w:rsid w:val="00075ECD"/>
    <w:rsid w:val="000770DE"/>
    <w:rsid w:val="00086885"/>
    <w:rsid w:val="00086CD4"/>
    <w:rsid w:val="00086CFF"/>
    <w:rsid w:val="0009050A"/>
    <w:rsid w:val="00091DA2"/>
    <w:rsid w:val="0009533D"/>
    <w:rsid w:val="000973A9"/>
    <w:rsid w:val="000A075D"/>
    <w:rsid w:val="000A309C"/>
    <w:rsid w:val="000A3743"/>
    <w:rsid w:val="000A741C"/>
    <w:rsid w:val="000B0CBE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46FF"/>
    <w:rsid w:val="000E7112"/>
    <w:rsid w:val="000E7E94"/>
    <w:rsid w:val="000F0BE5"/>
    <w:rsid w:val="000F3CA4"/>
    <w:rsid w:val="000F472C"/>
    <w:rsid w:val="000F5601"/>
    <w:rsid w:val="000F5780"/>
    <w:rsid w:val="000F726E"/>
    <w:rsid w:val="00102A48"/>
    <w:rsid w:val="0010456A"/>
    <w:rsid w:val="00107D46"/>
    <w:rsid w:val="0011166B"/>
    <w:rsid w:val="00116422"/>
    <w:rsid w:val="0011757E"/>
    <w:rsid w:val="00120E98"/>
    <w:rsid w:val="001214F9"/>
    <w:rsid w:val="00125B7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76D71"/>
    <w:rsid w:val="00181ADC"/>
    <w:rsid w:val="001831AB"/>
    <w:rsid w:val="00183FDC"/>
    <w:rsid w:val="00184ABF"/>
    <w:rsid w:val="00187EB2"/>
    <w:rsid w:val="0019435B"/>
    <w:rsid w:val="00195FA9"/>
    <w:rsid w:val="00196495"/>
    <w:rsid w:val="00196964"/>
    <w:rsid w:val="00197563"/>
    <w:rsid w:val="001A0A26"/>
    <w:rsid w:val="001A50F2"/>
    <w:rsid w:val="001A7099"/>
    <w:rsid w:val="001A7C43"/>
    <w:rsid w:val="001A7D2B"/>
    <w:rsid w:val="001B0D2C"/>
    <w:rsid w:val="001B15F5"/>
    <w:rsid w:val="001B2112"/>
    <w:rsid w:val="001B24C6"/>
    <w:rsid w:val="001B3169"/>
    <w:rsid w:val="001B4C8E"/>
    <w:rsid w:val="001C09F1"/>
    <w:rsid w:val="001D00F3"/>
    <w:rsid w:val="001D09F7"/>
    <w:rsid w:val="001D56DF"/>
    <w:rsid w:val="001D720C"/>
    <w:rsid w:val="001E0795"/>
    <w:rsid w:val="001E17A0"/>
    <w:rsid w:val="001E28B2"/>
    <w:rsid w:val="001E7024"/>
    <w:rsid w:val="001F100E"/>
    <w:rsid w:val="00201CFC"/>
    <w:rsid w:val="00201DCE"/>
    <w:rsid w:val="00202E1E"/>
    <w:rsid w:val="00206BA8"/>
    <w:rsid w:val="002167DD"/>
    <w:rsid w:val="00222133"/>
    <w:rsid w:val="00224782"/>
    <w:rsid w:val="00225766"/>
    <w:rsid w:val="002277BC"/>
    <w:rsid w:val="0023635A"/>
    <w:rsid w:val="002365F3"/>
    <w:rsid w:val="00247753"/>
    <w:rsid w:val="00250560"/>
    <w:rsid w:val="00251BFE"/>
    <w:rsid w:val="00252A9B"/>
    <w:rsid w:val="00253365"/>
    <w:rsid w:val="00261CDD"/>
    <w:rsid w:val="002623B7"/>
    <w:rsid w:val="00262F82"/>
    <w:rsid w:val="00265F9E"/>
    <w:rsid w:val="00266FCE"/>
    <w:rsid w:val="00267CA8"/>
    <w:rsid w:val="00274BB7"/>
    <w:rsid w:val="0028641D"/>
    <w:rsid w:val="0029288A"/>
    <w:rsid w:val="00294CCD"/>
    <w:rsid w:val="00295D24"/>
    <w:rsid w:val="00297558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3C7"/>
    <w:rsid w:val="00322C9E"/>
    <w:rsid w:val="003240D8"/>
    <w:rsid w:val="003261DB"/>
    <w:rsid w:val="003335EF"/>
    <w:rsid w:val="0033380E"/>
    <w:rsid w:val="00341712"/>
    <w:rsid w:val="00343B52"/>
    <w:rsid w:val="003548C7"/>
    <w:rsid w:val="003567CA"/>
    <w:rsid w:val="0035714B"/>
    <w:rsid w:val="0036086C"/>
    <w:rsid w:val="00365464"/>
    <w:rsid w:val="003665B8"/>
    <w:rsid w:val="00370C26"/>
    <w:rsid w:val="00376F6B"/>
    <w:rsid w:val="00380094"/>
    <w:rsid w:val="00380C1F"/>
    <w:rsid w:val="00380E06"/>
    <w:rsid w:val="0038167A"/>
    <w:rsid w:val="0038183B"/>
    <w:rsid w:val="00391F10"/>
    <w:rsid w:val="00395FCA"/>
    <w:rsid w:val="003A06AB"/>
    <w:rsid w:val="003A450E"/>
    <w:rsid w:val="003A47D5"/>
    <w:rsid w:val="003A4BD3"/>
    <w:rsid w:val="003A4E01"/>
    <w:rsid w:val="003A6672"/>
    <w:rsid w:val="003A7BA3"/>
    <w:rsid w:val="003B01CB"/>
    <w:rsid w:val="003D1BB1"/>
    <w:rsid w:val="003D53AE"/>
    <w:rsid w:val="003D5DDE"/>
    <w:rsid w:val="003E1735"/>
    <w:rsid w:val="003E236C"/>
    <w:rsid w:val="003F0917"/>
    <w:rsid w:val="003F17D8"/>
    <w:rsid w:val="003F2ACD"/>
    <w:rsid w:val="003F353E"/>
    <w:rsid w:val="003F7AC8"/>
    <w:rsid w:val="00403B1C"/>
    <w:rsid w:val="00404FAE"/>
    <w:rsid w:val="00412841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5766"/>
    <w:rsid w:val="00465A93"/>
    <w:rsid w:val="00465B05"/>
    <w:rsid w:val="00466B2D"/>
    <w:rsid w:val="00472FCD"/>
    <w:rsid w:val="004748D5"/>
    <w:rsid w:val="00474DE4"/>
    <w:rsid w:val="0047612B"/>
    <w:rsid w:val="004776AC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E04E2"/>
    <w:rsid w:val="004E1B12"/>
    <w:rsid w:val="004E735E"/>
    <w:rsid w:val="004F1266"/>
    <w:rsid w:val="004F1F83"/>
    <w:rsid w:val="004F2787"/>
    <w:rsid w:val="004F51D3"/>
    <w:rsid w:val="005015A7"/>
    <w:rsid w:val="00510B93"/>
    <w:rsid w:val="005209DF"/>
    <w:rsid w:val="005236F9"/>
    <w:rsid w:val="00525B4B"/>
    <w:rsid w:val="00525E9C"/>
    <w:rsid w:val="00526383"/>
    <w:rsid w:val="005317C1"/>
    <w:rsid w:val="00537134"/>
    <w:rsid w:val="0054102E"/>
    <w:rsid w:val="005416B1"/>
    <w:rsid w:val="00541C7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55555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CD6"/>
    <w:rsid w:val="00597F7C"/>
    <w:rsid w:val="005A01DC"/>
    <w:rsid w:val="005A3E06"/>
    <w:rsid w:val="005A74B9"/>
    <w:rsid w:val="005B02CE"/>
    <w:rsid w:val="005B3F00"/>
    <w:rsid w:val="005B41A9"/>
    <w:rsid w:val="005B6A3F"/>
    <w:rsid w:val="005B7F84"/>
    <w:rsid w:val="005C3D80"/>
    <w:rsid w:val="005C4D21"/>
    <w:rsid w:val="005C5C17"/>
    <w:rsid w:val="005C5FDA"/>
    <w:rsid w:val="005C7EEA"/>
    <w:rsid w:val="005D4E66"/>
    <w:rsid w:val="005D63FE"/>
    <w:rsid w:val="005E147C"/>
    <w:rsid w:val="005E3BA4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5A9F"/>
    <w:rsid w:val="00606539"/>
    <w:rsid w:val="0060673B"/>
    <w:rsid w:val="00606F73"/>
    <w:rsid w:val="00611B7F"/>
    <w:rsid w:val="0061233D"/>
    <w:rsid w:val="00612472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1595"/>
    <w:rsid w:val="00644DFE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C49"/>
    <w:rsid w:val="0066510B"/>
    <w:rsid w:val="006671D4"/>
    <w:rsid w:val="00670AF7"/>
    <w:rsid w:val="00672C19"/>
    <w:rsid w:val="006812EE"/>
    <w:rsid w:val="00681FAD"/>
    <w:rsid w:val="006841FD"/>
    <w:rsid w:val="00685974"/>
    <w:rsid w:val="00685B9F"/>
    <w:rsid w:val="00690D4E"/>
    <w:rsid w:val="00696C86"/>
    <w:rsid w:val="00696E3A"/>
    <w:rsid w:val="00696E7C"/>
    <w:rsid w:val="006A1743"/>
    <w:rsid w:val="006A19C8"/>
    <w:rsid w:val="006A2020"/>
    <w:rsid w:val="006A2B7F"/>
    <w:rsid w:val="006A4223"/>
    <w:rsid w:val="006A46F3"/>
    <w:rsid w:val="006A4CFF"/>
    <w:rsid w:val="006B2530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0A66"/>
    <w:rsid w:val="00731899"/>
    <w:rsid w:val="007333FF"/>
    <w:rsid w:val="00741BF7"/>
    <w:rsid w:val="00742ED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7DC"/>
    <w:rsid w:val="00764873"/>
    <w:rsid w:val="00767E87"/>
    <w:rsid w:val="00771220"/>
    <w:rsid w:val="007730C0"/>
    <w:rsid w:val="007735F7"/>
    <w:rsid w:val="00775477"/>
    <w:rsid w:val="00775BC3"/>
    <w:rsid w:val="00775DCB"/>
    <w:rsid w:val="007817F7"/>
    <w:rsid w:val="0078711D"/>
    <w:rsid w:val="00790322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4E84"/>
    <w:rsid w:val="007C5471"/>
    <w:rsid w:val="007D0898"/>
    <w:rsid w:val="007D7E7B"/>
    <w:rsid w:val="007E0A10"/>
    <w:rsid w:val="007E3A9E"/>
    <w:rsid w:val="007E489C"/>
    <w:rsid w:val="007E6A3D"/>
    <w:rsid w:val="007F0F33"/>
    <w:rsid w:val="007F39BE"/>
    <w:rsid w:val="007F67AA"/>
    <w:rsid w:val="007F69FF"/>
    <w:rsid w:val="007F6D13"/>
    <w:rsid w:val="007F7F96"/>
    <w:rsid w:val="00801C38"/>
    <w:rsid w:val="0080491A"/>
    <w:rsid w:val="00804EB4"/>
    <w:rsid w:val="0080717E"/>
    <w:rsid w:val="0081425C"/>
    <w:rsid w:val="00814FC9"/>
    <w:rsid w:val="0081611E"/>
    <w:rsid w:val="00817648"/>
    <w:rsid w:val="00817BB3"/>
    <w:rsid w:val="00823186"/>
    <w:rsid w:val="00830B4C"/>
    <w:rsid w:val="00831235"/>
    <w:rsid w:val="008336FE"/>
    <w:rsid w:val="0083457C"/>
    <w:rsid w:val="0083547D"/>
    <w:rsid w:val="00835C8C"/>
    <w:rsid w:val="008364A1"/>
    <w:rsid w:val="0084434F"/>
    <w:rsid w:val="008459BC"/>
    <w:rsid w:val="008465C1"/>
    <w:rsid w:val="008508EB"/>
    <w:rsid w:val="0085130B"/>
    <w:rsid w:val="00851B90"/>
    <w:rsid w:val="0085380A"/>
    <w:rsid w:val="00856252"/>
    <w:rsid w:val="00856344"/>
    <w:rsid w:val="00866A83"/>
    <w:rsid w:val="00867861"/>
    <w:rsid w:val="008771B8"/>
    <w:rsid w:val="0088259B"/>
    <w:rsid w:val="0089082D"/>
    <w:rsid w:val="0089404A"/>
    <w:rsid w:val="008A2CA8"/>
    <w:rsid w:val="008A7152"/>
    <w:rsid w:val="008B0AE0"/>
    <w:rsid w:val="008B17EB"/>
    <w:rsid w:val="008B2438"/>
    <w:rsid w:val="008B709D"/>
    <w:rsid w:val="008C191D"/>
    <w:rsid w:val="008C3BC7"/>
    <w:rsid w:val="008D4433"/>
    <w:rsid w:val="008D56CB"/>
    <w:rsid w:val="008D7D78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48AF"/>
    <w:rsid w:val="009657FF"/>
    <w:rsid w:val="009664DF"/>
    <w:rsid w:val="009718D2"/>
    <w:rsid w:val="009807A6"/>
    <w:rsid w:val="00981D25"/>
    <w:rsid w:val="009857C8"/>
    <w:rsid w:val="009858AF"/>
    <w:rsid w:val="00990AB4"/>
    <w:rsid w:val="00993638"/>
    <w:rsid w:val="00993A1A"/>
    <w:rsid w:val="0099692E"/>
    <w:rsid w:val="0099739C"/>
    <w:rsid w:val="009A1949"/>
    <w:rsid w:val="009A1C9B"/>
    <w:rsid w:val="009A2E6A"/>
    <w:rsid w:val="009A3A4D"/>
    <w:rsid w:val="009A780F"/>
    <w:rsid w:val="009B1539"/>
    <w:rsid w:val="009B4FEF"/>
    <w:rsid w:val="009B562A"/>
    <w:rsid w:val="009B6684"/>
    <w:rsid w:val="009B6850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719E"/>
    <w:rsid w:val="009F77AC"/>
    <w:rsid w:val="00A00077"/>
    <w:rsid w:val="00A004A8"/>
    <w:rsid w:val="00A00D68"/>
    <w:rsid w:val="00A014C9"/>
    <w:rsid w:val="00A02A05"/>
    <w:rsid w:val="00A03738"/>
    <w:rsid w:val="00A0525C"/>
    <w:rsid w:val="00A10F87"/>
    <w:rsid w:val="00A11A25"/>
    <w:rsid w:val="00A1258C"/>
    <w:rsid w:val="00A13881"/>
    <w:rsid w:val="00A13929"/>
    <w:rsid w:val="00A13A17"/>
    <w:rsid w:val="00A14CF0"/>
    <w:rsid w:val="00A169D7"/>
    <w:rsid w:val="00A23E84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30A"/>
    <w:rsid w:val="00A57648"/>
    <w:rsid w:val="00A60232"/>
    <w:rsid w:val="00A60FD3"/>
    <w:rsid w:val="00A64E9D"/>
    <w:rsid w:val="00A64EAD"/>
    <w:rsid w:val="00A74C26"/>
    <w:rsid w:val="00A75B01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A1549"/>
    <w:rsid w:val="00AA1A9E"/>
    <w:rsid w:val="00AA3F5A"/>
    <w:rsid w:val="00AA4144"/>
    <w:rsid w:val="00AA5811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48E5"/>
    <w:rsid w:val="00B15F33"/>
    <w:rsid w:val="00B16B4A"/>
    <w:rsid w:val="00B17BDA"/>
    <w:rsid w:val="00B21D6F"/>
    <w:rsid w:val="00B24972"/>
    <w:rsid w:val="00B25734"/>
    <w:rsid w:val="00B26CE9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A2EAB"/>
    <w:rsid w:val="00BA353B"/>
    <w:rsid w:val="00BB0863"/>
    <w:rsid w:val="00BB1E1A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10B2"/>
    <w:rsid w:val="00C04044"/>
    <w:rsid w:val="00C056BC"/>
    <w:rsid w:val="00C11AA0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7B9E"/>
    <w:rsid w:val="00C63040"/>
    <w:rsid w:val="00C72FF3"/>
    <w:rsid w:val="00C74C28"/>
    <w:rsid w:val="00C8674D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6982"/>
    <w:rsid w:val="00CF14E5"/>
    <w:rsid w:val="00D01641"/>
    <w:rsid w:val="00D04ACA"/>
    <w:rsid w:val="00D065D5"/>
    <w:rsid w:val="00D1151D"/>
    <w:rsid w:val="00D11627"/>
    <w:rsid w:val="00D11AD6"/>
    <w:rsid w:val="00D15898"/>
    <w:rsid w:val="00D217D9"/>
    <w:rsid w:val="00D22A47"/>
    <w:rsid w:val="00D25390"/>
    <w:rsid w:val="00D27FE6"/>
    <w:rsid w:val="00D27FFD"/>
    <w:rsid w:val="00D3289E"/>
    <w:rsid w:val="00D36004"/>
    <w:rsid w:val="00D4056F"/>
    <w:rsid w:val="00D44D31"/>
    <w:rsid w:val="00D5491F"/>
    <w:rsid w:val="00D55CDB"/>
    <w:rsid w:val="00D610AB"/>
    <w:rsid w:val="00D61D44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969AC"/>
    <w:rsid w:val="00DA2838"/>
    <w:rsid w:val="00DA2FEE"/>
    <w:rsid w:val="00DA41E3"/>
    <w:rsid w:val="00DA52AA"/>
    <w:rsid w:val="00DA7802"/>
    <w:rsid w:val="00DB2595"/>
    <w:rsid w:val="00DB2A7D"/>
    <w:rsid w:val="00DB3830"/>
    <w:rsid w:val="00DB4667"/>
    <w:rsid w:val="00DC0A32"/>
    <w:rsid w:val="00DC30A9"/>
    <w:rsid w:val="00DD4455"/>
    <w:rsid w:val="00DD58D4"/>
    <w:rsid w:val="00DD5E75"/>
    <w:rsid w:val="00DD5FC2"/>
    <w:rsid w:val="00DD60E0"/>
    <w:rsid w:val="00DF067F"/>
    <w:rsid w:val="00DF21DD"/>
    <w:rsid w:val="00E039AC"/>
    <w:rsid w:val="00E04E4C"/>
    <w:rsid w:val="00E13F6E"/>
    <w:rsid w:val="00E1493C"/>
    <w:rsid w:val="00E15BD2"/>
    <w:rsid w:val="00E201A8"/>
    <w:rsid w:val="00E2276F"/>
    <w:rsid w:val="00E31B51"/>
    <w:rsid w:val="00E32FBD"/>
    <w:rsid w:val="00E33C85"/>
    <w:rsid w:val="00E349E5"/>
    <w:rsid w:val="00E40C84"/>
    <w:rsid w:val="00E415A9"/>
    <w:rsid w:val="00E43F85"/>
    <w:rsid w:val="00E44AE0"/>
    <w:rsid w:val="00E44C34"/>
    <w:rsid w:val="00E607AA"/>
    <w:rsid w:val="00E62403"/>
    <w:rsid w:val="00E65C5C"/>
    <w:rsid w:val="00E7392C"/>
    <w:rsid w:val="00E7491D"/>
    <w:rsid w:val="00E829B3"/>
    <w:rsid w:val="00E839CA"/>
    <w:rsid w:val="00E843FF"/>
    <w:rsid w:val="00E86FC5"/>
    <w:rsid w:val="00E94D4F"/>
    <w:rsid w:val="00E94E9B"/>
    <w:rsid w:val="00E97F14"/>
    <w:rsid w:val="00EA0084"/>
    <w:rsid w:val="00EA191F"/>
    <w:rsid w:val="00EA765C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7DFB"/>
    <w:rsid w:val="00EE00FC"/>
    <w:rsid w:val="00EE05E2"/>
    <w:rsid w:val="00EE1836"/>
    <w:rsid w:val="00EF0C31"/>
    <w:rsid w:val="00EF276A"/>
    <w:rsid w:val="00F013C4"/>
    <w:rsid w:val="00F0188F"/>
    <w:rsid w:val="00F06273"/>
    <w:rsid w:val="00F06348"/>
    <w:rsid w:val="00F0748F"/>
    <w:rsid w:val="00F11619"/>
    <w:rsid w:val="00F119AE"/>
    <w:rsid w:val="00F12EBE"/>
    <w:rsid w:val="00F1478D"/>
    <w:rsid w:val="00F15CDB"/>
    <w:rsid w:val="00F164D9"/>
    <w:rsid w:val="00F21320"/>
    <w:rsid w:val="00F228A9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2567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5E11"/>
    <w:rsid w:val="00F86697"/>
    <w:rsid w:val="00FA1952"/>
    <w:rsid w:val="00FA388E"/>
    <w:rsid w:val="00FA5A0B"/>
    <w:rsid w:val="00FA6941"/>
    <w:rsid w:val="00FA7EAD"/>
    <w:rsid w:val="00FB0587"/>
    <w:rsid w:val="00FB074A"/>
    <w:rsid w:val="00FB4692"/>
    <w:rsid w:val="00FB5986"/>
    <w:rsid w:val="00FC43E3"/>
    <w:rsid w:val="00FD2720"/>
    <w:rsid w:val="00FD2F01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77CD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05A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6F6B"/>
    <w:pPr>
      <w:spacing w:before="100" w:beforeAutospacing="1" w:after="100" w:afterAutospacing="1"/>
    </w:pPr>
    <w:rPr>
      <w:lang w:val="es-CL"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653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158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00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68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j.gob.cl/procesos-de-la-industria/otorgamiento-de-permiso-de-operacion/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j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j.gob.cl/procesos-de-la-industria/otorgamiento-de-permiso-de-operacion/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F0F8-42F2-2C4A-B4C8-A35D2935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772</Words>
  <Characters>4252</Characters>
  <Application>Microsoft Office Word</Application>
  <DocSecurity>4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5014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</cp:lastModifiedBy>
  <cp:revision>2</cp:revision>
  <cp:lastPrinted>2016-06-17T23:53:00Z</cp:lastPrinted>
  <dcterms:created xsi:type="dcterms:W3CDTF">2021-09-02T14:24:00Z</dcterms:created>
  <dcterms:modified xsi:type="dcterms:W3CDTF">2021-09-02T14:24:00Z</dcterms:modified>
</cp:coreProperties>
</file>