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46E15085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 xml:space="preserve">por </w:t>
      </w:r>
      <w:r w:rsidR="001914DF" w:rsidRPr="009C3A3E">
        <w:rPr>
          <w:sz w:val="28"/>
          <w:szCs w:val="28"/>
        </w:rPr>
        <w:t>$</w:t>
      </w:r>
      <w:r w:rsidR="008659CE">
        <w:rPr>
          <w:sz w:val="28"/>
          <w:szCs w:val="28"/>
        </w:rPr>
        <w:t>6</w:t>
      </w:r>
      <w:r w:rsidR="003F6D39">
        <w:rPr>
          <w:sz w:val="28"/>
          <w:szCs w:val="28"/>
        </w:rPr>
        <w:t>.3</w:t>
      </w:r>
      <w:r w:rsidR="003A4081">
        <w:rPr>
          <w:sz w:val="28"/>
          <w:szCs w:val="28"/>
        </w:rPr>
        <w:t>75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8659CE">
        <w:rPr>
          <w:sz w:val="28"/>
          <w:szCs w:val="28"/>
        </w:rPr>
        <w:t xml:space="preserve"> juli</w:t>
      </w:r>
      <w:r w:rsidR="004468EA">
        <w:rPr>
          <w:sz w:val="28"/>
          <w:szCs w:val="28"/>
        </w:rPr>
        <w:t>o</w:t>
      </w:r>
      <w:r w:rsidR="005F0263">
        <w:rPr>
          <w:sz w:val="28"/>
          <w:szCs w:val="28"/>
        </w:rPr>
        <w:t xml:space="preserve">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177ED962" w:rsidR="00E71238" w:rsidRPr="009C3A3E" w:rsidRDefault="008659CE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Junto con la disminución de casos de</w:t>
      </w:r>
      <w:r w:rsidR="0028027D" w:rsidRPr="009C3A3E">
        <w:rPr>
          <w:i/>
          <w:sz w:val="22"/>
        </w:rPr>
        <w:t xml:space="preserve"> Covid-19</w:t>
      </w:r>
      <w:r>
        <w:rPr>
          <w:i/>
          <w:sz w:val="22"/>
        </w:rPr>
        <w:t xml:space="preserve"> y los avances en el plan Paso a Paso</w:t>
      </w:r>
      <w:r w:rsidR="0028027D" w:rsidRPr="009C3A3E">
        <w:rPr>
          <w:i/>
          <w:sz w:val="22"/>
        </w:rPr>
        <w:t xml:space="preserve">, durante el mes de </w:t>
      </w:r>
      <w:r>
        <w:rPr>
          <w:i/>
          <w:sz w:val="22"/>
        </w:rPr>
        <w:t>julio</w:t>
      </w:r>
      <w:r w:rsidR="00803DBB">
        <w:rPr>
          <w:i/>
          <w:sz w:val="22"/>
        </w:rPr>
        <w:t xml:space="preserve">, </w:t>
      </w:r>
      <w:r w:rsidR="00A90545">
        <w:rPr>
          <w:i/>
          <w:sz w:val="22"/>
        </w:rPr>
        <w:t>2</w:t>
      </w:r>
      <w:r>
        <w:rPr>
          <w:i/>
          <w:sz w:val="22"/>
        </w:rPr>
        <w:t>5 de los 26</w:t>
      </w:r>
      <w:r w:rsidR="00803DBB">
        <w:rPr>
          <w:i/>
          <w:sz w:val="22"/>
        </w:rPr>
        <w:t xml:space="preserve"> casinos</w:t>
      </w:r>
      <w:r w:rsidR="0028027D" w:rsidRPr="009C3A3E">
        <w:rPr>
          <w:i/>
          <w:sz w:val="22"/>
        </w:rPr>
        <w:t xml:space="preserve"> </w:t>
      </w:r>
      <w:r>
        <w:rPr>
          <w:i/>
          <w:sz w:val="22"/>
        </w:rPr>
        <w:t>d</w:t>
      </w:r>
      <w:r w:rsidR="00803DBB">
        <w:rPr>
          <w:i/>
          <w:sz w:val="22"/>
        </w:rPr>
        <w:t xml:space="preserve">el país </w:t>
      </w:r>
      <w:r>
        <w:rPr>
          <w:i/>
          <w:sz w:val="22"/>
        </w:rPr>
        <w:t>tuvieron operaciones.</w:t>
      </w:r>
      <w:r w:rsidR="001914DF" w:rsidRPr="009C3A3E">
        <w:rPr>
          <w:i/>
          <w:sz w:val="22"/>
        </w:rPr>
        <w:t xml:space="preserve"> </w:t>
      </w:r>
    </w:p>
    <w:p w14:paraId="671B6DB7" w14:textId="6DB94966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F35E80">
        <w:rPr>
          <w:i/>
          <w:sz w:val="22"/>
        </w:rPr>
        <w:t>2.890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F35E80">
        <w:rPr>
          <w:i/>
          <w:sz w:val="22"/>
        </w:rPr>
        <w:t>2.746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3A4081">
        <w:rPr>
          <w:i/>
          <w:sz w:val="22"/>
        </w:rPr>
        <w:t>740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1BD05429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</w:t>
      </w:r>
      <w:r w:rsidR="00B344C1">
        <w:rPr>
          <w:i/>
          <w:sz w:val="22"/>
        </w:rPr>
        <w:t xml:space="preserve">por día de funcionamiento </w:t>
      </w:r>
      <w:r w:rsidR="003A4081">
        <w:rPr>
          <w:i/>
          <w:sz w:val="22"/>
        </w:rPr>
        <w:t>equivalente a un</w:t>
      </w:r>
      <w:r w:rsidR="00B344C1">
        <w:rPr>
          <w:i/>
          <w:sz w:val="22"/>
        </w:rPr>
        <w:t xml:space="preserve"> </w:t>
      </w:r>
      <w:r w:rsidR="00905734">
        <w:rPr>
          <w:i/>
          <w:sz w:val="22"/>
        </w:rPr>
        <w:t>9</w:t>
      </w:r>
      <w:r w:rsidR="00F04B2C">
        <w:rPr>
          <w:i/>
          <w:sz w:val="22"/>
        </w:rPr>
        <w:t>1,1</w:t>
      </w:r>
      <w:r w:rsidR="00E03E1D">
        <w:rPr>
          <w:i/>
          <w:sz w:val="22"/>
        </w:rPr>
        <w:t>% de l</w:t>
      </w:r>
      <w:r w:rsidR="00B344C1">
        <w:rPr>
          <w:i/>
          <w:sz w:val="22"/>
        </w:rPr>
        <w:t>a actividad</w:t>
      </w:r>
      <w:r w:rsidR="00E03E1D" w:rsidRPr="006379E8">
        <w:rPr>
          <w:i/>
          <w:sz w:val="22"/>
        </w:rPr>
        <w:t xml:space="preserve"> de</w:t>
      </w:r>
      <w:r w:rsidR="00E03E1D">
        <w:rPr>
          <w:i/>
          <w:sz w:val="22"/>
        </w:rPr>
        <w:t xml:space="preserve"> un mes normal</w:t>
      </w:r>
      <w:r w:rsidR="003A4081">
        <w:rPr>
          <w:i/>
          <w:sz w:val="22"/>
        </w:rPr>
        <w:t xml:space="preserve"> pre</w:t>
      </w:r>
      <w:r w:rsidR="00DF1B99">
        <w:rPr>
          <w:i/>
          <w:sz w:val="22"/>
        </w:rPr>
        <w:t>vio a la</w:t>
      </w:r>
      <w:r w:rsidR="003A4081">
        <w:rPr>
          <w:i/>
          <w:sz w:val="22"/>
        </w:rPr>
        <w:t xml:space="preserve"> pandemia. 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167E8E7F" w14:textId="77777777" w:rsidR="00731D61" w:rsidRDefault="00731D6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1021F0F7" w:rsidR="00B14621" w:rsidRPr="009C3A3E" w:rsidRDefault="00BA4CC3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Durante el mes de </w:t>
      </w:r>
      <w:r w:rsidR="00B344C1">
        <w:rPr>
          <w:rFonts w:cstheme="minorHAnsi"/>
        </w:rPr>
        <w:t>ju</w:t>
      </w:r>
      <w:r w:rsidR="003A4081">
        <w:rPr>
          <w:rFonts w:cstheme="minorHAnsi"/>
        </w:rPr>
        <w:t>l</w:t>
      </w:r>
      <w:r w:rsidR="00B344C1">
        <w:rPr>
          <w:rFonts w:cstheme="minorHAnsi"/>
        </w:rPr>
        <w:t>io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1</w:t>
      </w:r>
      <w:r w:rsidRPr="009C3A3E">
        <w:rPr>
          <w:rFonts w:cstheme="minorHAnsi"/>
        </w:rPr>
        <w:t xml:space="preserve">, </w:t>
      </w:r>
      <w:r w:rsidR="003A4081">
        <w:rPr>
          <w:rFonts w:cstheme="minorHAnsi"/>
        </w:rPr>
        <w:t>25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casinos de juego pudieron operar</w:t>
      </w:r>
      <w:r>
        <w:rPr>
          <w:rFonts w:cstheme="minorHAnsi"/>
        </w:rPr>
        <w:t xml:space="preserve"> parcialmente</w:t>
      </w:r>
      <w:r w:rsidR="003A4081">
        <w:rPr>
          <w:rFonts w:cstheme="minorHAnsi"/>
        </w:rPr>
        <w:t xml:space="preserve"> por </w:t>
      </w:r>
      <w:r w:rsidR="00F04B2C">
        <w:rPr>
          <w:rFonts w:cstheme="minorHAnsi"/>
        </w:rPr>
        <w:t>19,5</w:t>
      </w:r>
      <w:r w:rsidR="003A4081">
        <w:rPr>
          <w:rFonts w:cstheme="minorHAnsi"/>
        </w:rPr>
        <w:t xml:space="preserve"> días de funcionamiento en promedio</w:t>
      </w:r>
      <w:r w:rsidR="00731D61">
        <w:rPr>
          <w:rFonts w:cstheme="minorHAnsi"/>
        </w:rPr>
        <w:t xml:space="preserve">. </w:t>
      </w:r>
      <w:r w:rsidR="003A4081">
        <w:rPr>
          <w:rFonts w:cstheme="minorHAnsi"/>
        </w:rPr>
        <w:t xml:space="preserve">Los 19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3A4081">
        <w:rPr>
          <w:rFonts w:cstheme="minorHAnsi"/>
        </w:rPr>
        <w:t>6.375</w:t>
      </w:r>
      <w:r w:rsidR="00B14621" w:rsidRPr="009C3A3E">
        <w:rPr>
          <w:rFonts w:cstheme="minorHAnsi"/>
        </w:rPr>
        <w:t xml:space="preserve"> millones en impuestos</w:t>
      </w:r>
      <w:r w:rsidR="003A4081">
        <w:rPr>
          <w:rFonts w:cstheme="minorHAnsi"/>
        </w:rPr>
        <w:t>, lo que equivale a un 58% de los impuestos generados en julio del 2019, previo a la pandemia. Estos se dividen en</w:t>
      </w:r>
      <w:r w:rsidR="00B14621" w:rsidRPr="009C3A3E">
        <w:rPr>
          <w:rFonts w:cstheme="minorHAnsi"/>
        </w:rPr>
        <w:t xml:space="preserve"> $</w:t>
      </w:r>
      <w:r w:rsidR="003A4081">
        <w:rPr>
          <w:rFonts w:cstheme="minorHAnsi"/>
        </w:rPr>
        <w:t>2.890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3A4081">
        <w:rPr>
          <w:rFonts w:cstheme="minorHAnsi"/>
        </w:rPr>
        <w:t>2.746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3A4081">
        <w:rPr>
          <w:rFonts w:cstheme="minorHAnsi"/>
        </w:rPr>
        <w:t>740</w:t>
      </w:r>
      <w:r w:rsidR="00B14621"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614E99A0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53"/>
        <w:gridCol w:w="1244"/>
        <w:gridCol w:w="1276"/>
        <w:gridCol w:w="1134"/>
        <w:gridCol w:w="1134"/>
        <w:gridCol w:w="1134"/>
      </w:tblGrid>
      <w:tr w:rsidR="003A4081" w:rsidRPr="003A4081" w14:paraId="04EEDAD0" w14:textId="77777777" w:rsidTr="003A4081">
        <w:trPr>
          <w:trHeight w:val="315"/>
          <w:jc w:val="center"/>
        </w:trPr>
        <w:tc>
          <w:tcPr>
            <w:tcW w:w="9209" w:type="dxa"/>
            <w:gridSpan w:val="7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14:paraId="4444229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julio 2021 ($ Millones)</w:t>
            </w:r>
          </w:p>
        </w:tc>
      </w:tr>
      <w:tr w:rsidR="003A4081" w:rsidRPr="003A4081" w14:paraId="70487AA6" w14:textId="77777777" w:rsidTr="003A4081">
        <w:trPr>
          <w:trHeight w:val="975"/>
          <w:jc w:val="center"/>
        </w:trPr>
        <w:tc>
          <w:tcPr>
            <w:tcW w:w="1134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A4D11A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9AA7D4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C949ED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C9EE26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660F8D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center"/>
            <w:hideMark/>
          </w:tcPr>
          <w:p w14:paraId="71362A96" w14:textId="77CBF178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p</w:t>
            </w: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or entrada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60CB35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3A4081" w:rsidRPr="003A4081" w14:paraId="5A169C11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962A0B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Arica y Parinacota</w:t>
            </w:r>
          </w:p>
        </w:tc>
        <w:tc>
          <w:tcPr>
            <w:tcW w:w="215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D7A5A9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FB310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95350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42,1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1F688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FA55A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29,3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B54B4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193,5</w:t>
            </w:r>
          </w:p>
        </w:tc>
      </w:tr>
      <w:tr w:rsidR="003A4081" w:rsidRPr="003A4081" w14:paraId="694DDF94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06E22E0" w14:textId="77777777" w:rsidR="003A4081" w:rsidRPr="003A4081" w:rsidRDefault="003A4081" w:rsidP="003A4081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C3CB808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Calama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06CB76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39,3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C5334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39,3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94DE9FC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74,7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D1660A8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23,4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E86ED6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176,8</w:t>
            </w:r>
          </w:p>
        </w:tc>
      </w:tr>
      <w:tr w:rsidR="003A4081" w:rsidRPr="003A4081" w14:paraId="41B9036D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6B873131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C770B61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DFC555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462C0E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B90012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E89838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C87684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676,6</w:t>
            </w:r>
          </w:p>
        </w:tc>
      </w:tr>
      <w:tr w:rsidR="003A4081" w:rsidRPr="003A4081" w14:paraId="30FB831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C541F0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Atacama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7F901F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C8B986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820F5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9439C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795CB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E68EA8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215,6</w:t>
            </w:r>
          </w:p>
        </w:tc>
      </w:tr>
      <w:tr w:rsidR="003A4081" w:rsidRPr="003A4081" w14:paraId="5659AA16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BE1152C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4F61093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E6BE3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14,1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51BB2D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14,1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2A80BA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26,9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3D354E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D6C7F3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63,3</w:t>
            </w:r>
          </w:p>
        </w:tc>
      </w:tr>
      <w:tr w:rsidR="003A4081" w:rsidRPr="003A4081" w14:paraId="27F35E50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DEFBE9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730565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A2AED0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18,9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19211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17BD7C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36,0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CD0C3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13,8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59C54F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87,6</w:t>
            </w:r>
          </w:p>
        </w:tc>
      </w:tr>
      <w:tr w:rsidR="003A4081" w:rsidRPr="003A4081" w14:paraId="10FC3566" w14:textId="77777777" w:rsidTr="003A4081">
        <w:trPr>
          <w:trHeight w:val="300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3E75EB38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D9A1C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244" w:type="dxa"/>
            <w:tcBorders>
              <w:top w:val="nil"/>
              <w:left w:val="single" w:sz="8" w:space="0" w:color="808080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9E0B0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1AB44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22D3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0D0D0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B9263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55,5</w:t>
            </w:r>
          </w:p>
        </w:tc>
      </w:tr>
      <w:tr w:rsidR="003A4081" w:rsidRPr="003A4081" w14:paraId="0BC5AAAA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3699319E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1150A4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4F800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EFDF0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4B7F0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563DC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88D320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376,2</w:t>
            </w:r>
          </w:p>
        </w:tc>
      </w:tr>
      <w:tr w:rsidR="003A4081" w:rsidRPr="003A4081" w14:paraId="1E0B03DD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930E6FE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241A70B2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Sun Monticello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5622F0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327,5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2B25178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327,5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EC3818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622,3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A30BFD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97,7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B3C941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1.375,0</w:t>
            </w:r>
          </w:p>
        </w:tc>
      </w:tr>
      <w:tr w:rsidR="003A4081" w:rsidRPr="003A4081" w14:paraId="7B852A47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279FFB45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F775292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FA76FF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7F817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797970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D8A336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9E3998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158,1</w:t>
            </w:r>
          </w:p>
        </w:tc>
      </w:tr>
      <w:tr w:rsidR="003A4081" w:rsidRPr="003A4081" w14:paraId="3B1B5A2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B3D104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665D99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21739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5BA2B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7D6DC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E8CFA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172C5C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126,9</w:t>
            </w:r>
          </w:p>
        </w:tc>
      </w:tr>
      <w:tr w:rsidR="003A4081" w:rsidRPr="003A4081" w14:paraId="1F8D1D2E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35EA712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13C1EA8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A70C096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38,1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299251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38,1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831C13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72,4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7CD781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41,1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708453B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189,7</w:t>
            </w:r>
          </w:p>
        </w:tc>
      </w:tr>
      <w:tr w:rsidR="003A4081" w:rsidRPr="003A4081" w14:paraId="2989ADB7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A52516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8C7962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198DE0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181,8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64AC28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181,8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2D55F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345,5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46EF7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120,9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5D9E2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830,1</w:t>
            </w:r>
          </w:p>
        </w:tc>
      </w:tr>
      <w:tr w:rsidR="003A4081" w:rsidRPr="003A4081" w14:paraId="75400DBE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21DA1402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3E51FD" w14:textId="7F8B687F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Casino Gran Los </w:t>
            </w: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Á</w:t>
            </w: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ngeles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DC38C4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7A9996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62D5EC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B5B50C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EF5FE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29,3</w:t>
            </w:r>
          </w:p>
        </w:tc>
      </w:tr>
      <w:tr w:rsidR="003A4081" w:rsidRPr="003A4081" w14:paraId="3D728677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55C1B86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2998B3EE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23B798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116,8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B2994C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116,8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4AFBD3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222,0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4FBDC0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58,7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6D35A11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514,4</w:t>
            </w:r>
          </w:p>
        </w:tc>
      </w:tr>
      <w:tr w:rsidR="003A4081" w:rsidRPr="003A4081" w14:paraId="32B80900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9D4E3B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lastRenderedPageBreak/>
              <w:t>Los Ríos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6CF26D1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1103A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46,8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C614C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46,8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18F55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88,9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88974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27,9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20004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210,3</w:t>
            </w:r>
          </w:p>
        </w:tc>
      </w:tr>
      <w:tr w:rsidR="003A4081" w:rsidRPr="003A4081" w14:paraId="73B91744" w14:textId="77777777" w:rsidTr="003A4081">
        <w:trPr>
          <w:trHeight w:val="300"/>
          <w:jc w:val="center"/>
        </w:trPr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93E10FA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D1E27B4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8E5F8E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98AD84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42,1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E9859F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C00C5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24,9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3A6DEA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189,1</w:t>
            </w:r>
          </w:p>
        </w:tc>
      </w:tr>
      <w:tr w:rsidR="003A4081" w:rsidRPr="003A4081" w14:paraId="3B06CDE6" w14:textId="77777777" w:rsidTr="003A4081">
        <w:trPr>
          <w:trHeight w:val="31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vAlign w:val="center"/>
            <w:hideMark/>
          </w:tcPr>
          <w:p w14:paraId="1EBE810B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53" w:type="dxa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0D6947DC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AF673A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BBE9D82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AAD830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87A41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67AEE15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42,0</w:t>
            </w:r>
          </w:p>
        </w:tc>
      </w:tr>
      <w:tr w:rsidR="003A4081" w:rsidRPr="003A4081" w14:paraId="27267839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15B27F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Aysen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E6D5F9E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FA140D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E026E5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40CF7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63215A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036AD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71,3</w:t>
            </w:r>
          </w:p>
        </w:tc>
      </w:tr>
      <w:tr w:rsidR="003A4081" w:rsidRPr="003A4081" w14:paraId="20FFDE6D" w14:textId="77777777" w:rsidTr="003A4081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9DEEC71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48215456" w14:textId="77777777" w:rsidR="003A4081" w:rsidRPr="003A4081" w:rsidRDefault="003A4081" w:rsidP="003A408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4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1AD444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178,0</w:t>
            </w:r>
          </w:p>
        </w:tc>
        <w:tc>
          <w:tcPr>
            <w:tcW w:w="1276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F222EBE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178,0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67F0A9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338,3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78861BB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100,3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000000" w:fill="DCE6F1"/>
            <w:noWrap/>
            <w:vAlign w:val="center"/>
            <w:hideMark/>
          </w:tcPr>
          <w:p w14:paraId="361A10B6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794,6</w:t>
            </w:r>
          </w:p>
        </w:tc>
      </w:tr>
      <w:tr w:rsidR="003A4081" w:rsidRPr="003A4081" w14:paraId="25276793" w14:textId="77777777" w:rsidTr="003A4081">
        <w:trPr>
          <w:trHeight w:val="315"/>
          <w:jc w:val="center"/>
        </w:trPr>
        <w:tc>
          <w:tcPr>
            <w:tcW w:w="3287" w:type="dxa"/>
            <w:gridSpan w:val="2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304B9F1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75E0AD3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1.445,0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DD203F0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1.445,0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CEDEC5F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E91DEB6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D19E307" w14:textId="77777777" w:rsidR="003A4081" w:rsidRPr="003A4081" w:rsidRDefault="003A4081" w:rsidP="003A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6.375,8</w:t>
            </w:r>
          </w:p>
        </w:tc>
      </w:tr>
    </w:tbl>
    <w:p w14:paraId="14B6BEB6" w14:textId="77777777" w:rsidR="00945D38" w:rsidRDefault="00945D38" w:rsidP="000D7975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5EC0793" w14:textId="0029C801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3A4081">
        <w:rPr>
          <w:rFonts w:cstheme="minorHAnsi"/>
        </w:rPr>
        <w:t>octubre</w:t>
      </w:r>
      <w:r w:rsidRPr="009C3A3E">
        <w:rPr>
          <w:rFonts w:cstheme="minorHAnsi"/>
        </w:rPr>
        <w:t xml:space="preserve"> de 2021.</w:t>
      </w:r>
    </w:p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05B2673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 xml:space="preserve">Apertura de los casinos de juego durante </w:t>
      </w:r>
      <w:r w:rsidR="00CA0964">
        <w:rPr>
          <w:rFonts w:cstheme="minorHAnsi"/>
          <w:b/>
          <w:bCs/>
        </w:rPr>
        <w:t>ju</w:t>
      </w:r>
      <w:r w:rsidR="003A4081">
        <w:rPr>
          <w:rFonts w:cstheme="minorHAnsi"/>
          <w:b/>
          <w:bCs/>
        </w:rPr>
        <w:t>l</w:t>
      </w:r>
      <w:r w:rsidR="00CA0964">
        <w:rPr>
          <w:rFonts w:cstheme="minorHAnsi"/>
          <w:b/>
          <w:bCs/>
        </w:rPr>
        <w:t>io</w:t>
      </w:r>
      <w:r w:rsidRPr="009C3A3E">
        <w:rPr>
          <w:rFonts w:cstheme="minorHAnsi"/>
          <w:b/>
          <w:bCs/>
        </w:rPr>
        <w:t xml:space="preserve"> 202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FEE025" w14:textId="003A59AF" w:rsidR="00CD5340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atención a las medidas sanitarias dispuestas en el </w:t>
      </w:r>
      <w:r w:rsidRPr="009C3A3E">
        <w:rPr>
          <w:rFonts w:cstheme="minorHAnsi"/>
        </w:rPr>
        <w:t>Protocolo de Manejo y Prevención ante COVID-19 en casinos y establecimientos de juego y entretenció</w:t>
      </w:r>
      <w:r>
        <w:rPr>
          <w:rFonts w:cstheme="minorHAnsi"/>
        </w:rPr>
        <w:t xml:space="preserve">n </w:t>
      </w:r>
      <w:r w:rsidRPr="009C3A3E">
        <w:rPr>
          <w:rFonts w:cstheme="minorHAnsi"/>
        </w:rPr>
        <w:t xml:space="preserve">(disponible en: </w:t>
      </w:r>
      <w:hyperlink r:id="rId8" w:anchor="documentos/" w:history="1">
        <w:r w:rsidRPr="005236BE">
          <w:rPr>
            <w:rStyle w:val="Hipervnculo"/>
          </w:rPr>
          <w:t>https://www.gob.cl/pasoapaso#documentos/</w:t>
        </w:r>
      </w:hyperlink>
      <w:r>
        <w:t>)</w:t>
      </w:r>
      <w:r>
        <w:rPr>
          <w:rFonts w:cstheme="minorHAnsi"/>
        </w:rPr>
        <w:t xml:space="preserve">, </w:t>
      </w:r>
      <w:r w:rsidR="003A4081">
        <w:rPr>
          <w:rFonts w:cstheme="minorHAnsi"/>
        </w:rPr>
        <w:t>25 de los 26 casinos del país tuvieron operaciones, aunque solo dos casinos estuvieron abierto el mes completo. El</w:t>
      </w:r>
      <w:r>
        <w:rPr>
          <w:rFonts w:cstheme="minorHAnsi"/>
        </w:rPr>
        <w:t xml:space="preserve"> detalle</w:t>
      </w:r>
      <w:r w:rsidR="003A4081">
        <w:rPr>
          <w:rFonts w:cstheme="minorHAnsi"/>
        </w:rPr>
        <w:t xml:space="preserve"> se presenta en la siguiente tabla</w:t>
      </w:r>
      <w:r w:rsidR="002E3F9C">
        <w:rPr>
          <w:rFonts w:cstheme="minorHAnsi"/>
        </w:rPr>
        <w:t>:</w:t>
      </w:r>
      <w:r w:rsidR="006379E8">
        <w:rPr>
          <w:rFonts w:cstheme="minorHAnsi"/>
        </w:rPr>
        <w:t xml:space="preserve"> </w:t>
      </w:r>
      <w:r w:rsidR="005469D3" w:rsidRPr="009C3A3E">
        <w:rPr>
          <w:rFonts w:cstheme="minorHAnsi"/>
        </w:rPr>
        <w:t xml:space="preserve"> </w:t>
      </w:r>
    </w:p>
    <w:p w14:paraId="0C234BCB" w14:textId="411F565B" w:rsidR="00CA0964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1BE7259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CASINOS EN OPERACIÓN DURANTE </w:t>
            </w:r>
            <w:r w:rsidR="006866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JULIO</w:t>
            </w:r>
          </w:p>
        </w:tc>
      </w:tr>
      <w:tr w:rsidR="005469D3" w:rsidRPr="009C3A3E" w14:paraId="38CF269C" w14:textId="77777777" w:rsidTr="00F12EB5">
        <w:trPr>
          <w:trHeight w:val="858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3E9EFBEE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 operación parcial en </w:t>
            </w:r>
            <w:r w:rsidR="00252A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mayo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6866F5" w:rsidRPr="009C3A3E" w14:paraId="4571DA81" w14:textId="77777777" w:rsidTr="00CA096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7A0473F" w14:textId="2F1D9A26" w:rsidR="006866F5" w:rsidRPr="00693EF8" w:rsidRDefault="006866F5" w:rsidP="006866F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ADA3413" w14:textId="7AEEAC77" w:rsidR="006866F5" w:rsidRPr="00693EF8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Arica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0C7DDD" w14:textId="11DBE44E" w:rsidR="006866F5" w:rsidRPr="00693EF8" w:rsidRDefault="006866F5" w:rsidP="00F04B2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30</w:t>
            </w:r>
          </w:p>
        </w:tc>
      </w:tr>
      <w:tr w:rsidR="006866F5" w:rsidRPr="009C3A3E" w14:paraId="6F770D98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2309" w14:textId="3C0072EE" w:rsidR="006866F5" w:rsidRPr="003A4081" w:rsidRDefault="006866F5" w:rsidP="006866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Iquique (municipal)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D0EF" w14:textId="3190FF5E" w:rsidR="006866F5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Iquique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314C" w14:textId="3D663C52" w:rsidR="006866F5" w:rsidRDefault="00F04B2C" w:rsidP="00F04B2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27</w:t>
            </w:r>
          </w:p>
        </w:tc>
      </w:tr>
      <w:tr w:rsidR="006866F5" w:rsidRPr="009C3A3E" w14:paraId="2623C386" w14:textId="77777777" w:rsidTr="00CA096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5D5D23" w14:textId="70FDEE67" w:rsidR="006866F5" w:rsidRPr="00693EF8" w:rsidRDefault="006866F5" w:rsidP="006866F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Calama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8CADEB4" w14:textId="3CF9155E" w:rsidR="006866F5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Calama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9CE9B2D" w14:textId="4F71E85C" w:rsidR="006866F5" w:rsidRDefault="006866F5" w:rsidP="00F04B2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30</w:t>
            </w:r>
          </w:p>
        </w:tc>
      </w:tr>
      <w:tr w:rsidR="006866F5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6E11A1A1" w:rsidR="006866F5" w:rsidRPr="00693EF8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896C672" w:rsidR="006866F5" w:rsidRPr="00693EF8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5A4836AE" w:rsidR="006866F5" w:rsidRPr="00693EF8" w:rsidRDefault="006866F5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9</w:t>
            </w:r>
          </w:p>
        </w:tc>
      </w:tr>
      <w:tr w:rsidR="006866F5" w:rsidRPr="009C3A3E" w14:paraId="41C8EDAD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F2F366" w14:textId="05B1682A" w:rsidR="006866F5" w:rsidRPr="00693EF8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705033" w14:textId="2BF1AE89" w:rsidR="006866F5" w:rsidRPr="00693EF8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Copiapó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6C1543A" w14:textId="77AA6D16" w:rsidR="006866F5" w:rsidRPr="00693EF8" w:rsidRDefault="006866F5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17</w:t>
            </w:r>
          </w:p>
        </w:tc>
      </w:tr>
      <w:tr w:rsidR="006866F5" w:rsidRPr="009C3A3E" w14:paraId="13C711D2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CE03" w14:textId="2D5F67CF" w:rsidR="006866F5" w:rsidRPr="003A4081" w:rsidRDefault="006866F5" w:rsidP="006866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Coquimbo (municipal)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47CB" w14:textId="4C165B46" w:rsidR="006866F5" w:rsidRPr="00693EF8" w:rsidRDefault="006866F5" w:rsidP="006866F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1694" w14:textId="1F242687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6866F5" w:rsidRPr="006866F5" w14:paraId="73C3E13E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08F1C82" w14:textId="01F5B4FB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D455322" w14:textId="3FC2B720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Ovalle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932A20" w14:textId="5AE5DD6E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78877F58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BE1E" w14:textId="4A2CAA9E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4136" w14:textId="4A0BD03B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San Antonio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BD49" w14:textId="46E69B32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12</w:t>
            </w:r>
          </w:p>
        </w:tc>
      </w:tr>
      <w:tr w:rsidR="006866F5" w:rsidRPr="006866F5" w14:paraId="4367646B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0E6FB18" w14:textId="30F50355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Viña del Mar</w:t>
            </w: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(municipal hasta el 30/07)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83B8EF9" w14:textId="547F03D3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Viña del Mar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FE8DCB2" w14:textId="049E3E75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6866F5" w:rsidRPr="006866F5" w14:paraId="1E603AD1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6784" w14:textId="728AD437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F9EA" w14:textId="21F32FEA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Rinconada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3A02" w14:textId="2695DBA3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12</w:t>
            </w:r>
          </w:p>
        </w:tc>
      </w:tr>
      <w:tr w:rsidR="006866F5" w:rsidRPr="006866F5" w14:paraId="5D40AB5C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D20F104" w14:textId="52FC4807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Sun Monticello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3CB1053" w14:textId="42C2BF32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Mostazal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03E333E" w14:textId="4CCA2360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089FEF0A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A0A0" w14:textId="33640CBC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E61A" w14:textId="66CDF45A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Santa Cruz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5453" w14:textId="2589A23C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6866F5" w:rsidRPr="006866F5" w14:paraId="429C3F4F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44B545" w14:textId="20495A1F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DEACB64" w14:textId="345C5B0F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Talca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389A56E" w14:textId="2391A3ED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20</w:t>
            </w:r>
          </w:p>
        </w:tc>
      </w:tr>
      <w:tr w:rsidR="006866F5" w:rsidRPr="006866F5" w14:paraId="7A9C8A47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5608" w14:textId="3913183A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540A" w14:textId="674CD8DC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Chillán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C306" w14:textId="37048699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</w:tr>
      <w:tr w:rsidR="006866F5" w:rsidRPr="006866F5" w14:paraId="327A46E4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F3F980D" w14:textId="2C952F0E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5B9028A" w14:textId="45D7671C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Talcahuano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5A33D7B" w14:textId="467B4BF0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6866F5" w:rsidRPr="006866F5" w14:paraId="2C37A69E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3623" w14:textId="723AF896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Casino Gran Los </w:t>
            </w: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Á</w:t>
            </w: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ngeles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C04C" w14:textId="07873FAA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Los Ángeles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F415" w14:textId="0C6A14D0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7125D463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DEC410A" w14:textId="5B5F7DCA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B87CF10" w14:textId="62431B82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Temuco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1F55A7" w14:textId="7BD52063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6866F5" w:rsidRPr="006866F5" w14:paraId="3C6E6680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3FC1" w14:textId="4F8174A1" w:rsidR="006866F5" w:rsidRPr="003A4081" w:rsidRDefault="006866F5" w:rsidP="006866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Pucón (municipal)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8EE1" w14:textId="673DFA00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Pucón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1752" w14:textId="0712B695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12</w:t>
            </w:r>
          </w:p>
        </w:tc>
      </w:tr>
      <w:tr w:rsidR="006866F5" w:rsidRPr="006866F5" w14:paraId="02A966C2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A2952E9" w14:textId="180B6A52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E5E965A" w14:textId="3BC47A2E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Valdivia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DBACF23" w14:textId="50BD2B14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2D6A2BBC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9B46" w14:textId="10FBF6D2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9AE" w14:textId="0830D04B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Osorno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F53D" w14:textId="6A93C965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17</w:t>
            </w:r>
          </w:p>
        </w:tc>
      </w:tr>
      <w:tr w:rsidR="006866F5" w:rsidRPr="006866F5" w14:paraId="15C0839E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7798C5F" w14:textId="71E2680C" w:rsidR="006866F5" w:rsidRPr="003A4081" w:rsidRDefault="006866F5" w:rsidP="006866F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Puerto Varas (municipal)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D0AC462" w14:textId="0B4A4D72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Puerto Varas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11CB7B6" w14:textId="5F2F6CE6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20</w:t>
            </w:r>
          </w:p>
        </w:tc>
      </w:tr>
      <w:tr w:rsidR="006866F5" w:rsidRPr="006866F5" w14:paraId="54E15B7F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BCFD" w14:textId="6EDBA0EC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0F26" w14:textId="0D1E7123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Castro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0B75" w14:textId="58B6BA68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30F70B84" w14:textId="77777777" w:rsidTr="003A4081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C7D90C3" w14:textId="36BFCD5A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82750D8" w14:textId="6DEE0207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Coyhaique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7555DAA" w14:textId="058E5677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6866F5" w:rsidRPr="006866F5" w14:paraId="1392BA91" w14:textId="77777777" w:rsidTr="006866F5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667A" w14:textId="6617100F" w:rsidR="006866F5" w:rsidRDefault="006866F5" w:rsidP="006866F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3A4081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33FA" w14:textId="3CEE1905" w:rsidR="006866F5" w:rsidRPr="006866F5" w:rsidRDefault="006866F5" w:rsidP="006866F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Punta Arenas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FFF8" w14:textId="1C60C064" w:rsidR="006866F5" w:rsidRDefault="00F04B2C" w:rsidP="00F04B2C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31</w:t>
            </w:r>
          </w:p>
        </w:tc>
      </w:tr>
    </w:tbl>
    <w:p w14:paraId="3656DBB5" w14:textId="77777777" w:rsidR="00A83902" w:rsidRPr="006866F5" w:rsidRDefault="00A83902" w:rsidP="006866F5">
      <w:pPr>
        <w:spacing w:after="0" w:line="240" w:lineRule="auto"/>
        <w:jc w:val="left"/>
        <w:rPr>
          <w:rFonts w:cstheme="minorHAnsi"/>
          <w:color w:val="002060"/>
          <w:sz w:val="20"/>
          <w:szCs w:val="20"/>
        </w:rPr>
      </w:pPr>
      <w:bookmarkStart w:id="0" w:name="_Hlk510430630"/>
    </w:p>
    <w:p w14:paraId="776493CC" w14:textId="5332FE49" w:rsidR="00CD5340" w:rsidRDefault="00CA0964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Asimismo, se debe tener en cuenta que l</w:t>
      </w:r>
      <w:r w:rsidR="00A83902" w:rsidRPr="009C3A3E">
        <w:rPr>
          <w:rFonts w:cstheme="minorHAnsi"/>
        </w:rPr>
        <w:t>a reapertura de los recintos ubicados en aquellas comunas que se encuentren en los Pasos</w:t>
      </w:r>
      <w:r w:rsidR="00F86B6E">
        <w:rPr>
          <w:rFonts w:cstheme="minorHAnsi"/>
        </w:rPr>
        <w:t xml:space="preserve"> 2,</w:t>
      </w:r>
      <w:r w:rsidR="00EA5C85">
        <w:rPr>
          <w:rFonts w:cstheme="minorHAnsi"/>
        </w:rPr>
        <w:t xml:space="preserve"> </w:t>
      </w:r>
      <w:r w:rsidR="00A83902" w:rsidRPr="009C3A3E">
        <w:rPr>
          <w:rFonts w:cstheme="minorHAnsi"/>
        </w:rPr>
        <w:t>3 y 4 es de carácter voluntaria</w:t>
      </w:r>
      <w:r>
        <w:rPr>
          <w:rFonts w:cstheme="minorHAnsi"/>
        </w:rPr>
        <w:t>.</w:t>
      </w:r>
    </w:p>
    <w:p w14:paraId="19C46A18" w14:textId="77777777" w:rsidR="00CD5340" w:rsidRDefault="00CD5340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7456A665" w:rsidR="00CF206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AA4471" w:rsidRPr="009C3A3E">
        <w:t xml:space="preserve"> casinos de juego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(win) por $</w:t>
      </w:r>
      <w:r w:rsidR="0065128C">
        <w:t>25</w:t>
      </w:r>
      <w:r w:rsidR="00EA5C85">
        <w:t>.</w:t>
      </w:r>
      <w:r w:rsidR="0065128C">
        <w:t>510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65128C">
        <w:rPr>
          <w:rFonts w:ascii="Calibri" w:hAnsi="Calibri" w:cs="Calibri"/>
          <w:lang w:eastAsia="es-CL"/>
        </w:rPr>
        <w:t>58,1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CA0964">
        <w:rPr>
          <w:rFonts w:ascii="Calibri" w:hAnsi="Calibri" w:cs="Calibri"/>
          <w:lang w:eastAsia="es-CL"/>
        </w:rPr>
        <w:t>ju</w:t>
      </w:r>
      <w:r w:rsidR="0065128C">
        <w:rPr>
          <w:rFonts w:ascii="Calibri" w:hAnsi="Calibri" w:cs="Calibri"/>
          <w:lang w:eastAsia="es-CL"/>
        </w:rPr>
        <w:t>l</w:t>
      </w:r>
      <w:r w:rsidR="00CA0964">
        <w:rPr>
          <w:rFonts w:ascii="Calibri" w:hAnsi="Calibri" w:cs="Calibri"/>
          <w:lang w:eastAsia="es-CL"/>
        </w:rPr>
        <w:t>io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6E4A5E" w:rsidRPr="004C5EE7">
        <w:rPr>
          <w:rFonts w:ascii="Calibri" w:hAnsi="Calibri" w:cs="Calibri"/>
          <w:lang w:eastAsia="es-CL"/>
        </w:rPr>
        <w:t xml:space="preserve">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EA5C85">
        <w:rPr>
          <w:rFonts w:ascii="Calibri" w:hAnsi="Calibri" w:cs="Calibri"/>
          <w:lang w:eastAsia="es-CL"/>
        </w:rPr>
        <w:t xml:space="preserve"> (no se compara con </w:t>
      </w:r>
      <w:r w:rsidR="00CA0964">
        <w:rPr>
          <w:rFonts w:ascii="Calibri" w:hAnsi="Calibri" w:cs="Calibri"/>
          <w:lang w:eastAsia="es-CL"/>
        </w:rPr>
        <w:t>ju</w:t>
      </w:r>
      <w:r w:rsidR="0065128C">
        <w:rPr>
          <w:rFonts w:ascii="Calibri" w:hAnsi="Calibri" w:cs="Calibri"/>
          <w:lang w:eastAsia="es-CL"/>
        </w:rPr>
        <w:t>l</w:t>
      </w:r>
      <w:r w:rsidR="00CA0964">
        <w:rPr>
          <w:rFonts w:ascii="Calibri" w:hAnsi="Calibri" w:cs="Calibri"/>
          <w:lang w:eastAsia="es-CL"/>
        </w:rPr>
        <w:t>io</w:t>
      </w:r>
      <w:r w:rsidR="00EA5C85">
        <w:rPr>
          <w:rFonts w:ascii="Calibri" w:hAnsi="Calibri" w:cs="Calibri"/>
          <w:lang w:eastAsia="es-CL"/>
        </w:rPr>
        <w:t xml:space="preserve"> 2020 ya que en ese mes </w:t>
      </w:r>
      <w:r w:rsidR="009D32C3">
        <w:rPr>
          <w:rFonts w:ascii="Calibri" w:hAnsi="Calibri" w:cs="Calibri"/>
          <w:lang w:eastAsia="es-CL"/>
        </w:rPr>
        <w:t xml:space="preserve">todos los casinos se encontraban cerrados </w:t>
      </w:r>
      <w:r w:rsidR="00CD5340">
        <w:rPr>
          <w:rFonts w:ascii="Calibri" w:hAnsi="Calibri" w:cs="Calibri"/>
          <w:lang w:eastAsia="es-CL"/>
        </w:rPr>
        <w:t xml:space="preserve">debido a la </w:t>
      </w:r>
      <w:r w:rsidR="009D32C3">
        <w:rPr>
          <w:rFonts w:ascii="Calibri" w:hAnsi="Calibri" w:cs="Calibri"/>
          <w:lang w:eastAsia="es-CL"/>
        </w:rPr>
        <w:t>pandemia)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>De igual forma, considerando los ingresos por días efectivamente en funcionamiento, en términos reales</w:t>
      </w:r>
      <w:r w:rsidR="0065128C">
        <w:rPr>
          <w:rFonts w:ascii="Calibri" w:hAnsi="Calibri" w:cs="Calibri"/>
          <w:lang w:eastAsia="es-CL"/>
        </w:rPr>
        <w:t>,</w:t>
      </w:r>
      <w:r w:rsidR="00E64DD6" w:rsidRPr="004C5EE7">
        <w:rPr>
          <w:rFonts w:ascii="Calibri" w:hAnsi="Calibri" w:cs="Calibri"/>
          <w:lang w:eastAsia="es-CL"/>
        </w:rPr>
        <w:t xml:space="preserve"> se </w:t>
      </w:r>
      <w:r w:rsidR="0065128C">
        <w:rPr>
          <w:rFonts w:ascii="Calibri" w:hAnsi="Calibri" w:cs="Calibri"/>
          <w:lang w:eastAsia="es-CL"/>
        </w:rPr>
        <w:t>llegó a</w:t>
      </w:r>
      <w:r w:rsidR="00E64DD6" w:rsidRPr="004C5EE7">
        <w:rPr>
          <w:rFonts w:ascii="Calibri" w:hAnsi="Calibri" w:cs="Calibri"/>
          <w:lang w:eastAsia="es-CL"/>
        </w:rPr>
        <w:t xml:space="preserve"> un</w:t>
      </w:r>
      <w:r w:rsidR="00EA5C85">
        <w:rPr>
          <w:rFonts w:ascii="Calibri" w:hAnsi="Calibri" w:cs="Calibri"/>
          <w:lang w:eastAsia="es-CL"/>
        </w:rPr>
        <w:t xml:space="preserve"> </w:t>
      </w:r>
      <w:r w:rsidR="00F04B2C">
        <w:rPr>
          <w:rFonts w:ascii="Calibri" w:hAnsi="Calibri" w:cs="Calibri"/>
          <w:lang w:eastAsia="es-CL"/>
        </w:rPr>
        <w:t>91,1</w:t>
      </w:r>
      <w:r w:rsidR="00E64DD6" w:rsidRPr="004C5EE7">
        <w:rPr>
          <w:rFonts w:ascii="Calibri" w:hAnsi="Calibri" w:cs="Calibri"/>
          <w:lang w:eastAsia="es-CL"/>
        </w:rPr>
        <w:t xml:space="preserve">% </w:t>
      </w:r>
      <w:r w:rsidR="00F04B2C">
        <w:rPr>
          <w:rFonts w:ascii="Calibri" w:hAnsi="Calibri" w:cs="Calibri"/>
          <w:lang w:eastAsia="es-CL"/>
        </w:rPr>
        <w:t xml:space="preserve">de </w:t>
      </w:r>
      <w:r w:rsidR="00E64DD6" w:rsidRPr="004C5EE7">
        <w:rPr>
          <w:rFonts w:ascii="Calibri" w:hAnsi="Calibri" w:cs="Calibri"/>
          <w:lang w:eastAsia="es-CL"/>
        </w:rPr>
        <w:t>los ingresos diarios</w:t>
      </w:r>
      <w:r w:rsidR="00CA0964">
        <w:rPr>
          <w:rFonts w:ascii="Calibri" w:hAnsi="Calibri" w:cs="Calibri"/>
          <w:lang w:eastAsia="es-CL"/>
        </w:rPr>
        <w:t xml:space="preserve"> obtenido por estos casinos en </w:t>
      </w:r>
      <w:r w:rsidR="0065128C">
        <w:rPr>
          <w:rFonts w:ascii="Calibri" w:hAnsi="Calibri" w:cs="Calibri"/>
          <w:lang w:eastAsia="es-CL"/>
        </w:rPr>
        <w:t>julio</w:t>
      </w:r>
      <w:r w:rsidR="00CA0964">
        <w:rPr>
          <w:rFonts w:ascii="Calibri" w:hAnsi="Calibri" w:cs="Calibri"/>
          <w:lang w:eastAsia="es-CL"/>
        </w:rPr>
        <w:t xml:space="preserve"> de 2019</w:t>
      </w:r>
      <w:r w:rsidR="00E64DD6" w:rsidRPr="004C5EE7">
        <w:rPr>
          <w:rFonts w:ascii="Calibri" w:hAnsi="Calibri" w:cs="Calibri"/>
          <w:lang w:eastAsia="es-CL"/>
        </w:rPr>
        <w:t>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8A3CB86" w14:textId="7EC3B29C" w:rsidR="00CA0964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34A81032" w14:textId="2D3D1007" w:rsidR="00CA0964" w:rsidRPr="004C5EE7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>
        <w:rPr>
          <w:rFonts w:ascii="Calibri" w:hAnsi="Calibri" w:cs="Calibri"/>
          <w:lang w:eastAsia="es-CL"/>
        </w:rPr>
        <w:t xml:space="preserve">Asimismo, resulta relevante destacar que </w:t>
      </w:r>
      <w:r w:rsidR="00543268">
        <w:rPr>
          <w:rFonts w:ascii="Calibri" w:hAnsi="Calibri" w:cs="Calibri"/>
          <w:lang w:eastAsia="es-CL"/>
        </w:rPr>
        <w:t>l</w:t>
      </w:r>
      <w:r w:rsidR="00A80753">
        <w:rPr>
          <w:rFonts w:ascii="Calibri" w:hAnsi="Calibri" w:cs="Calibri"/>
          <w:lang w:eastAsia="es-CL"/>
        </w:rPr>
        <w:t>a operación en este tiempo de pandemia se</w:t>
      </w:r>
      <w:r w:rsidR="00543268">
        <w:rPr>
          <w:rFonts w:ascii="Calibri" w:hAnsi="Calibri" w:cs="Calibri"/>
          <w:lang w:eastAsia="es-CL"/>
        </w:rPr>
        <w:t xml:space="preserve"> </w:t>
      </w:r>
      <w:r w:rsidR="00A80753">
        <w:rPr>
          <w:rFonts w:ascii="Calibri" w:hAnsi="Calibri" w:cs="Calibri"/>
          <w:lang w:eastAsia="es-CL"/>
        </w:rPr>
        <w:t>ajusta a un</w:t>
      </w:r>
      <w:r w:rsidR="00543268">
        <w:rPr>
          <w:rFonts w:ascii="Calibri" w:hAnsi="Calibri" w:cs="Calibri"/>
          <w:lang w:eastAsia="es-CL"/>
        </w:rPr>
        <w:t xml:space="preserve"> con un aforo y horario de funcionamiento reducido, entre otras restricciones sanitarias</w:t>
      </w:r>
      <w:r w:rsidR="00A80753">
        <w:rPr>
          <w:rFonts w:ascii="Calibri" w:hAnsi="Calibri" w:cs="Calibri"/>
          <w:lang w:eastAsia="es-CL"/>
        </w:rPr>
        <w:t xml:space="preserve">, que limitan la generación de ingresos. </w:t>
      </w:r>
      <w:r w:rsidR="00543268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2056686E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A80753">
        <w:t>202.569</w:t>
      </w:r>
      <w:r w:rsidRPr="004C5EE7">
        <w:t xml:space="preserve"> personas que ingresaron a los </w:t>
      </w:r>
      <w:r w:rsidR="00A80753">
        <w:t>20</w:t>
      </w:r>
      <w:r w:rsidRPr="004C5EE7">
        <w:t xml:space="preserve"> casinos </w:t>
      </w:r>
      <w:r w:rsidR="00CD5340">
        <w:t>de la</w:t>
      </w:r>
      <w:r w:rsidRPr="004C5EE7">
        <w:t xml:space="preserve"> </w:t>
      </w:r>
      <w:r w:rsidR="009D32C3">
        <w:t>Ley N°19.995</w:t>
      </w:r>
      <w:r w:rsidR="006379E8">
        <w:t xml:space="preserve">, </w:t>
      </w:r>
      <w:r w:rsidR="00CD5340">
        <w:t xml:space="preserve">lo que representa </w:t>
      </w:r>
      <w:r w:rsidR="004C5EE7" w:rsidRPr="004C5EE7">
        <w:t xml:space="preserve">solo un </w:t>
      </w:r>
      <w:r w:rsidR="00543268">
        <w:t>4</w:t>
      </w:r>
      <w:r w:rsidR="00A80753">
        <w:t>2</w:t>
      </w:r>
      <w:r w:rsidR="00543268">
        <w:t>,</w:t>
      </w:r>
      <w:r w:rsidR="00A80753">
        <w:t>4</w:t>
      </w:r>
      <w:r w:rsidR="004C5EE7" w:rsidRPr="004C5EE7">
        <w:t>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543268">
        <w:t>ju</w:t>
      </w:r>
      <w:r w:rsidR="00A80753">
        <w:t>l</w:t>
      </w:r>
      <w:r w:rsidR="00543268">
        <w:t>io</w:t>
      </w:r>
      <w:r w:rsidR="00FF1CAB" w:rsidRPr="004C5EE7">
        <w:t xml:space="preserve"> de 20</w:t>
      </w:r>
      <w:r w:rsidR="00EA5C85">
        <w:t>19</w:t>
      </w:r>
      <w:r w:rsidR="00252AF5">
        <w:t xml:space="preserve"> por esos casinos</w:t>
      </w:r>
      <w:r w:rsidR="00A80753">
        <w:t>. Por su parte, los casinos municipales recibieron 72.083 visitas, lo que equivale a un 40% respecto a julio 2019.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7D31C24C" w:rsidR="00330D14" w:rsidRDefault="006379E8" w:rsidP="00EA5C85">
      <w:pPr>
        <w:tabs>
          <w:tab w:val="left" w:pos="0"/>
        </w:tabs>
        <w:spacing w:after="0" w:line="240" w:lineRule="auto"/>
      </w:pPr>
      <w:r>
        <w:t xml:space="preserve">Además, </w:t>
      </w:r>
      <w:r w:rsidR="00265A30" w:rsidRPr="004C5EE7">
        <w:t xml:space="preserve">durante </w:t>
      </w:r>
      <w:r w:rsidR="00543268">
        <w:t>ju</w:t>
      </w:r>
      <w:r w:rsidR="00A80753">
        <w:t>l</w:t>
      </w:r>
      <w:r w:rsidR="00543268">
        <w:t>io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 w:rsidR="00A51CDD" w:rsidRPr="009C3A3E">
        <w:t>de $</w:t>
      </w:r>
      <w:r w:rsidR="00A80753">
        <w:t>8</w:t>
      </w:r>
      <w:r w:rsidR="00543268">
        <w:t>4</w:t>
      </w:r>
      <w:r w:rsidR="002E7643">
        <w:t>.</w:t>
      </w:r>
      <w:r w:rsidR="00A80753">
        <w:t>16</w:t>
      </w:r>
      <w:r w:rsidR="00543268">
        <w:t>8</w:t>
      </w:r>
      <w:r w:rsidR="00265A30" w:rsidRPr="009C3A3E">
        <w:t xml:space="preserve"> por visita, lo que </w:t>
      </w:r>
      <w:r w:rsidR="000D6BF6" w:rsidRPr="009C3A3E">
        <w:t xml:space="preserve">implica </w:t>
      </w:r>
      <w:r w:rsidR="00265A30" w:rsidRPr="009C3A3E">
        <w:t>un</w:t>
      </w:r>
      <w:r w:rsidR="00E64DD6">
        <w:t xml:space="preserve"> aumento real de un </w:t>
      </w:r>
      <w:r w:rsidR="00A80753">
        <w:t>28,1</w:t>
      </w:r>
      <w:r w:rsidR="004C5EE7">
        <w:t>%</w:t>
      </w:r>
      <w:r w:rsidR="00265A30" w:rsidRPr="009C3A3E">
        <w:t xml:space="preserve"> respecto de </w:t>
      </w:r>
      <w:r w:rsidR="00543268">
        <w:t>ju</w:t>
      </w:r>
      <w:r w:rsidR="00A80753">
        <w:t>l</w:t>
      </w:r>
      <w:r w:rsidR="00543268">
        <w:t>io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="00265A30"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3FF3B26D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A80753">
        <w:t>casi</w:t>
      </w:r>
      <w:r w:rsidR="00134171">
        <w:t xml:space="preserve"> dos años </w:t>
      </w:r>
      <w:r w:rsidR="00B440B7">
        <w:t>de su implementación</w:t>
      </w:r>
      <w:r w:rsidRPr="004C5EE7">
        <w:t xml:space="preserve">, la cantidad de autoexcluidos ha aumentado en un </w:t>
      </w:r>
      <w:r w:rsidR="00A80753">
        <w:t>62</w:t>
      </w:r>
      <w:r w:rsidRPr="004C5EE7">
        <w:t xml:space="preserve">%, llegando a </w:t>
      </w:r>
      <w:r w:rsidR="00A80753">
        <w:t>1.579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A80753">
        <w:t>1.038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A80753">
        <w:t>435</w:t>
      </w:r>
      <w:r w:rsidR="004C5EE7" w:rsidRPr="004C5EE7">
        <w:t xml:space="preserve"> personas han revocado su registro en el sistema de autoexclusión.</w:t>
      </w:r>
    </w:p>
    <w:sectPr w:rsidR="00EF4E0C" w:rsidSect="00DC75C9">
      <w:headerReference w:type="default" r:id="rId9"/>
      <w:footerReference w:type="default" r:id="rId10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79CC" w14:textId="77777777" w:rsidR="001914DF" w:rsidRDefault="001914DF" w:rsidP="00FD382C">
      <w:r>
        <w:separator/>
      </w:r>
    </w:p>
  </w:endnote>
  <w:endnote w:type="continuationSeparator" w:id="0">
    <w:p w14:paraId="010714A8" w14:textId="77777777" w:rsidR="001914DF" w:rsidRDefault="001914DF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3F4F" w14:textId="77777777" w:rsidR="001914DF" w:rsidRDefault="001914DF" w:rsidP="00FD382C">
      <w:r>
        <w:separator/>
      </w:r>
    </w:p>
  </w:footnote>
  <w:footnote w:type="continuationSeparator" w:id="0">
    <w:p w14:paraId="0693A6EC" w14:textId="77777777" w:rsidR="001914DF" w:rsidRDefault="001914DF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63660D6C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F04B2C">
      <w:rPr>
        <w:b/>
      </w:rPr>
      <w:t>Viernes</w:t>
    </w:r>
    <w:r w:rsidR="00723555">
      <w:rPr>
        <w:b/>
      </w:rPr>
      <w:t xml:space="preserve"> </w:t>
    </w:r>
    <w:r w:rsidR="00F04B2C">
      <w:rPr>
        <w:b/>
      </w:rPr>
      <w:t>10</w:t>
    </w:r>
    <w:r w:rsidR="00731D61">
      <w:rPr>
        <w:b/>
      </w:rPr>
      <w:t xml:space="preserve"> </w:t>
    </w:r>
    <w:r>
      <w:rPr>
        <w:b/>
      </w:rPr>
      <w:t xml:space="preserve">de </w:t>
    </w:r>
    <w:r w:rsidR="008659CE">
      <w:rPr>
        <w:b/>
      </w:rPr>
      <w:t xml:space="preserve">septiembre </w:t>
    </w:r>
    <w:r>
      <w:rPr>
        <w:b/>
      </w:rPr>
      <w:t>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31F"/>
    <w:rsid w:val="00731D61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7DA2"/>
    <w:rsid w:val="00A41280"/>
    <w:rsid w:val="00A417B6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49E1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3DE2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DF1B99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pasoap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2</cp:revision>
  <cp:lastPrinted>2019-08-27T13:47:00Z</cp:lastPrinted>
  <dcterms:created xsi:type="dcterms:W3CDTF">2021-09-10T17:51:00Z</dcterms:created>
  <dcterms:modified xsi:type="dcterms:W3CDTF">2021-09-10T17:51:00Z</dcterms:modified>
</cp:coreProperties>
</file>