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3C5D8387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4E310F">
        <w:rPr>
          <w:sz w:val="28"/>
          <w:szCs w:val="28"/>
        </w:rPr>
        <w:t xml:space="preserve">fue de </w:t>
      </w:r>
      <w:r w:rsidR="000E1640">
        <w:rPr>
          <w:sz w:val="28"/>
          <w:szCs w:val="28"/>
        </w:rPr>
        <w:t>$ 90.000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el año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  <w:r w:rsidR="000E1640">
        <w:rPr>
          <w:sz w:val="28"/>
          <w:szCs w:val="28"/>
        </w:rPr>
        <w:t>, con $14.200 millones en diciembre</w:t>
      </w:r>
    </w:p>
    <w:p w14:paraId="671B6DB7" w14:textId="09D3F55E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0E1640">
        <w:rPr>
          <w:i/>
          <w:sz w:val="22"/>
        </w:rPr>
        <w:t>41</w:t>
      </w:r>
      <w:r w:rsidR="00496A03">
        <w:rPr>
          <w:i/>
          <w:sz w:val="22"/>
        </w:rPr>
        <w:t>.</w:t>
      </w:r>
      <w:r w:rsidR="000E1640">
        <w:rPr>
          <w:i/>
          <w:sz w:val="22"/>
        </w:rPr>
        <w:t>262</w:t>
      </w:r>
      <w:r w:rsidR="001914DF" w:rsidRPr="009C3A3E">
        <w:rPr>
          <w:i/>
          <w:sz w:val="22"/>
        </w:rPr>
        <w:t xml:space="preserve"> millones pagados por los casinos </w:t>
      </w:r>
      <w:r w:rsidR="00520AF5">
        <w:rPr>
          <w:i/>
          <w:sz w:val="22"/>
        </w:rPr>
        <w:t>de la Ley N°</w:t>
      </w:r>
      <w:r w:rsidR="001914DF" w:rsidRPr="009C3A3E">
        <w:rPr>
          <w:i/>
          <w:sz w:val="22"/>
        </w:rPr>
        <w:t>19.995 que se d</w:t>
      </w:r>
      <w:r w:rsidR="00CF73CD" w:rsidRPr="009C3A3E">
        <w:rPr>
          <w:i/>
          <w:sz w:val="22"/>
        </w:rPr>
        <w:t>estina</w:t>
      </w:r>
      <w:r w:rsidR="00520AF5">
        <w:rPr>
          <w:i/>
          <w:sz w:val="22"/>
        </w:rPr>
        <w:t>n</w:t>
      </w:r>
      <w:r w:rsidR="00CF73CD" w:rsidRPr="009C3A3E">
        <w:rPr>
          <w:i/>
          <w:sz w:val="22"/>
        </w:rPr>
        <w:t xml:space="preserve"> a las</w:t>
      </w:r>
      <w:r w:rsidR="001914DF" w:rsidRPr="009C3A3E">
        <w:rPr>
          <w:i/>
          <w:sz w:val="22"/>
        </w:rPr>
        <w:t xml:space="preserve"> comunas y gobierno</w:t>
      </w:r>
      <w:r w:rsidR="00520AF5">
        <w:rPr>
          <w:i/>
          <w:sz w:val="22"/>
        </w:rPr>
        <w:t>s</w:t>
      </w:r>
      <w:r w:rsidR="001914DF" w:rsidRPr="009C3A3E">
        <w:rPr>
          <w:i/>
          <w:sz w:val="22"/>
        </w:rPr>
        <w:t xml:space="preserve"> regionales en que se ubican</w:t>
      </w:r>
      <w:r w:rsidR="00186B7F" w:rsidRPr="009C3A3E">
        <w:rPr>
          <w:i/>
          <w:sz w:val="22"/>
        </w:rPr>
        <w:t>, $</w:t>
      </w:r>
      <w:r w:rsidR="000E1640">
        <w:rPr>
          <w:i/>
          <w:sz w:val="22"/>
        </w:rPr>
        <w:t>39.314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0E1640">
        <w:rPr>
          <w:i/>
          <w:sz w:val="22"/>
        </w:rPr>
        <w:t>9</w:t>
      </w:r>
      <w:r w:rsidR="00496A03">
        <w:rPr>
          <w:i/>
          <w:sz w:val="22"/>
        </w:rPr>
        <w:t>.</w:t>
      </w:r>
      <w:r w:rsidR="000E1640">
        <w:rPr>
          <w:i/>
          <w:sz w:val="22"/>
        </w:rPr>
        <w:t>096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7C5D1B25" w14:textId="10E7EC45" w:rsidR="00496A03" w:rsidRPr="009C3A3E" w:rsidRDefault="003A4081" w:rsidP="00496A03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 xml:space="preserve"> </w:t>
      </w:r>
      <w:r w:rsidR="00EC3C2C">
        <w:rPr>
          <w:i/>
          <w:sz w:val="22"/>
        </w:rPr>
        <w:t xml:space="preserve">El mes de </w:t>
      </w:r>
      <w:r w:rsidR="000E1640">
        <w:rPr>
          <w:i/>
          <w:sz w:val="22"/>
        </w:rPr>
        <w:t>diciembre</w:t>
      </w:r>
      <w:r w:rsidR="00EC3C2C">
        <w:rPr>
          <w:i/>
          <w:sz w:val="22"/>
        </w:rPr>
        <w:t xml:space="preserve"> </w:t>
      </w:r>
      <w:r w:rsidR="000E1640">
        <w:rPr>
          <w:i/>
          <w:sz w:val="22"/>
        </w:rPr>
        <w:t xml:space="preserve">confirma </w:t>
      </w:r>
      <w:r w:rsidR="002D698D">
        <w:rPr>
          <w:i/>
          <w:sz w:val="22"/>
        </w:rPr>
        <w:t>la</w:t>
      </w:r>
      <w:r w:rsidR="00EC3C2C">
        <w:rPr>
          <w:i/>
          <w:sz w:val="22"/>
        </w:rPr>
        <w:t xml:space="preserve"> </w:t>
      </w:r>
      <w:r w:rsidR="006D340C">
        <w:rPr>
          <w:i/>
          <w:sz w:val="22"/>
        </w:rPr>
        <w:t xml:space="preserve">tendencia de recuperación </w:t>
      </w:r>
      <w:r w:rsidR="00EC3C2C">
        <w:rPr>
          <w:i/>
          <w:sz w:val="22"/>
        </w:rPr>
        <w:t>observada durante todo el segundo semestre</w:t>
      </w:r>
      <w:r w:rsidR="006D340C">
        <w:rPr>
          <w:i/>
          <w:sz w:val="22"/>
        </w:rPr>
        <w:t>.</w:t>
      </w:r>
      <w:r w:rsidR="00496A03" w:rsidRPr="009C3A3E">
        <w:rPr>
          <w:i/>
          <w:sz w:val="22"/>
        </w:rPr>
        <w:t xml:space="preserve"> </w:t>
      </w:r>
      <w:r w:rsidR="002D698D">
        <w:rPr>
          <w:i/>
          <w:sz w:val="22"/>
        </w:rPr>
        <w:t>La industria en su conjunto superó en un 1</w:t>
      </w:r>
      <w:r w:rsidR="000E1640">
        <w:rPr>
          <w:i/>
          <w:sz w:val="22"/>
        </w:rPr>
        <w:t>0</w:t>
      </w:r>
      <w:r w:rsidR="002D698D">
        <w:rPr>
          <w:i/>
          <w:sz w:val="22"/>
        </w:rPr>
        <w:t>% los ingresos percibidos en noviembre de 2019, en términos reales</w:t>
      </w:r>
      <w:r w:rsidR="00EC3C2C">
        <w:rPr>
          <w:i/>
          <w:sz w:val="22"/>
        </w:rPr>
        <w:t>.</w:t>
      </w:r>
    </w:p>
    <w:p w14:paraId="39B5FAA9" w14:textId="77777777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5FC403CA" w14:textId="77777777" w:rsidR="00496A03" w:rsidRDefault="00496A03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D65A82" w14:textId="2FDA4DFC" w:rsidR="000B16EA" w:rsidRDefault="003A408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</w:t>
      </w:r>
      <w:r w:rsidR="00F96FD7">
        <w:rPr>
          <w:rFonts w:cstheme="minorHAnsi"/>
        </w:rPr>
        <w:t>20</w:t>
      </w:r>
      <w:r>
        <w:rPr>
          <w:rFonts w:cstheme="minorHAnsi"/>
        </w:rPr>
        <w:t xml:space="preserve">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B67DE2">
        <w:rPr>
          <w:rFonts w:cstheme="minorHAnsi"/>
        </w:rPr>
        <w:t>89.672</w:t>
      </w:r>
      <w:r w:rsidR="00B14621" w:rsidRPr="009C3A3E">
        <w:rPr>
          <w:rFonts w:cstheme="minorHAnsi"/>
        </w:rPr>
        <w:t xml:space="preserve"> millones en impuestos</w:t>
      </w:r>
      <w:r>
        <w:rPr>
          <w:rFonts w:cstheme="minorHAnsi"/>
        </w:rPr>
        <w:t>,</w:t>
      </w:r>
      <w:r w:rsidR="00B67DE2">
        <w:rPr>
          <w:rFonts w:cstheme="minorHAnsi"/>
        </w:rPr>
        <w:t xml:space="preserve"> con $14.213 millones en </w:t>
      </w:r>
      <w:r w:rsidR="00757441">
        <w:rPr>
          <w:rFonts w:cstheme="minorHAnsi"/>
        </w:rPr>
        <w:t>d</w:t>
      </w:r>
      <w:r w:rsidR="00B67DE2">
        <w:rPr>
          <w:rFonts w:cstheme="minorHAnsi"/>
        </w:rPr>
        <w:t>iciembre,</w:t>
      </w:r>
      <w:r w:rsidR="00BB6F98">
        <w:rPr>
          <w:rFonts w:cstheme="minorHAnsi"/>
        </w:rPr>
        <w:t xml:space="preserve"> superando el aporte realizado en</w:t>
      </w:r>
      <w:r w:rsidR="00757441">
        <w:rPr>
          <w:rFonts w:cstheme="minorHAnsi"/>
        </w:rPr>
        <w:t xml:space="preserve"> el mismo mes de </w:t>
      </w:r>
      <w:r w:rsidR="00BB6F98">
        <w:rPr>
          <w:rFonts w:cstheme="minorHAnsi"/>
        </w:rPr>
        <w:t xml:space="preserve">2020 cuando reabrieron los primeros casinos desde el cierre obligado por la pandemia de Covid-19 en marzo de 2020, y superando también el aporte realizado en noviembre de 2019, previo a la pandemia. </w:t>
      </w:r>
    </w:p>
    <w:p w14:paraId="7B3B9794" w14:textId="77777777" w:rsidR="000B16EA" w:rsidRDefault="000B16EA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45EDE5FF" w:rsidR="00B14621" w:rsidRPr="009C3A3E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</w:t>
      </w:r>
      <w:r w:rsidR="003A4081">
        <w:rPr>
          <w:rFonts w:cstheme="minorHAnsi"/>
        </w:rPr>
        <w:t xml:space="preserve"> </w:t>
      </w:r>
      <w:r>
        <w:rPr>
          <w:rFonts w:cstheme="minorHAnsi"/>
        </w:rPr>
        <w:t xml:space="preserve">a nivel de industria </w:t>
      </w:r>
      <w:r w:rsidR="003A4081">
        <w:rPr>
          <w:rFonts w:cstheme="minorHAnsi"/>
        </w:rPr>
        <w:t>se dividen en</w:t>
      </w:r>
      <w:r w:rsidR="00B14621" w:rsidRPr="009C3A3E">
        <w:rPr>
          <w:rFonts w:cstheme="minorHAnsi"/>
        </w:rPr>
        <w:t xml:space="preserve"> $</w:t>
      </w:r>
      <w:r w:rsidR="00B67DE2">
        <w:rPr>
          <w:rFonts w:cstheme="minorHAnsi"/>
        </w:rPr>
        <w:t>41.262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B67DE2">
        <w:rPr>
          <w:rFonts w:cstheme="minorHAnsi"/>
        </w:rPr>
        <w:t>39.314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B67DE2">
        <w:rPr>
          <w:rFonts w:cstheme="minorHAnsi"/>
        </w:rPr>
        <w:t>9.096</w:t>
      </w:r>
      <w:r w:rsidR="000B16EA">
        <w:rPr>
          <w:rFonts w:cstheme="minorHAnsi"/>
        </w:rPr>
        <w:t xml:space="preserve"> </w:t>
      </w:r>
      <w:r w:rsidR="00B14621"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24152A02" w14:textId="3BB83CEE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8A2C9E8" w14:textId="0FFC3EE0" w:rsidR="00F96FD7" w:rsidRDefault="00F96FD7" w:rsidP="00F96FD7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B67DE2">
        <w:rPr>
          <w:rFonts w:cstheme="minorHAnsi"/>
        </w:rPr>
        <w:t>marzo</w:t>
      </w:r>
      <w:r w:rsidRPr="009C3A3E">
        <w:rPr>
          <w:rFonts w:cstheme="minorHAnsi"/>
        </w:rPr>
        <w:t xml:space="preserve"> de 202</w:t>
      </w:r>
      <w:r w:rsidR="00BB6F98">
        <w:rPr>
          <w:rFonts w:cstheme="minorHAnsi"/>
        </w:rPr>
        <w:t>2</w:t>
      </w:r>
      <w:r w:rsidRPr="009C3A3E">
        <w:rPr>
          <w:rFonts w:cstheme="minorHAnsi"/>
        </w:rPr>
        <w:t>.</w:t>
      </w:r>
    </w:p>
    <w:p w14:paraId="26063EC5" w14:textId="5B04E3A7" w:rsidR="00F96FD7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59E540F" w14:textId="6DC59830" w:rsidR="00B67DE2" w:rsidRDefault="00B67DE2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Cabe recordar que a causa de la pandemia de Covid-19 los casinos operaron con intermitencia durante la primera mitad del año y fueron retomando estabilidad en su operación entre julio y octubre, en función de la situación sanitaria de cada comuna</w:t>
      </w:r>
      <w:r w:rsidR="00757441">
        <w:rPr>
          <w:rFonts w:cstheme="minorHAnsi"/>
        </w:rPr>
        <w:t xml:space="preserve">, funcionando con continuidad a partir de ese ese mes. </w:t>
      </w:r>
    </w:p>
    <w:p w14:paraId="091934FA" w14:textId="77777777" w:rsidR="00B67DE2" w:rsidRDefault="00B67DE2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73C9C590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1EAD1422" w14:textId="5D8B9E2F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504050AF" w14:textId="4E641AB9" w:rsidR="00B67DE2" w:rsidRDefault="00B67DE2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7161FA2E" w14:textId="56C7A1C8" w:rsidR="00B67DE2" w:rsidRDefault="00B67DE2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43966539" w14:textId="7BB6274D" w:rsidR="00B67DE2" w:rsidRDefault="00B67DE2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160EAEE2" w14:textId="4C57DBF5" w:rsidR="00B67DE2" w:rsidRDefault="00B67DE2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19E2742" w14:textId="6A8B9B2C" w:rsidR="00B67DE2" w:rsidRDefault="00B67DE2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08CCCB9E" w14:textId="33AC1DB4" w:rsidR="004E310F" w:rsidRDefault="004E310F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CFC49CB" w14:textId="25A7F4EC" w:rsidR="004E310F" w:rsidRDefault="004E310F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376BC519" w14:textId="77777777" w:rsidR="004E310F" w:rsidRDefault="004E310F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2285EC0" w14:textId="41C7D22D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29D6EDCD" w14:textId="356DA911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4AFBB19D" w14:textId="77777777" w:rsidR="00F96FD7" w:rsidRDefault="00F96FD7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2108"/>
        <w:gridCol w:w="1244"/>
        <w:gridCol w:w="1428"/>
        <w:gridCol w:w="1293"/>
        <w:gridCol w:w="1414"/>
        <w:gridCol w:w="1209"/>
      </w:tblGrid>
      <w:tr w:rsidR="00B67DE2" w:rsidRPr="00B67DE2" w14:paraId="407D7C2F" w14:textId="77777777" w:rsidTr="004E310F">
        <w:trPr>
          <w:trHeight w:val="309"/>
          <w:jc w:val="center"/>
        </w:trPr>
        <w:tc>
          <w:tcPr>
            <w:tcW w:w="10008" w:type="dxa"/>
            <w:gridSpan w:val="7"/>
            <w:shd w:val="clear" w:color="000000" w:fill="1F497D"/>
            <w:noWrap/>
            <w:vAlign w:val="center"/>
            <w:hideMark/>
          </w:tcPr>
          <w:p w14:paraId="2D58BDFE" w14:textId="2F8E60A5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 xml:space="preserve">IMPUESTOS </w:t>
            </w:r>
            <w:r w:rsidR="004E310F"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diciembre</w:t>
            </w: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2021 ($ Millones)</w:t>
            </w:r>
          </w:p>
        </w:tc>
      </w:tr>
      <w:tr w:rsidR="00B67DE2" w:rsidRPr="00B67DE2" w14:paraId="7A2F13AC" w14:textId="77777777" w:rsidTr="004E310F">
        <w:trPr>
          <w:trHeight w:val="957"/>
          <w:jc w:val="center"/>
        </w:trPr>
        <w:tc>
          <w:tcPr>
            <w:tcW w:w="1312" w:type="dxa"/>
            <w:shd w:val="clear" w:color="000000" w:fill="1F497D"/>
            <w:noWrap/>
            <w:vAlign w:val="center"/>
            <w:hideMark/>
          </w:tcPr>
          <w:p w14:paraId="2911F8C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108" w:type="dxa"/>
            <w:shd w:val="clear" w:color="000000" w:fill="1F497D"/>
            <w:vAlign w:val="center"/>
            <w:hideMark/>
          </w:tcPr>
          <w:p w14:paraId="3181E51A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44" w:type="dxa"/>
            <w:shd w:val="clear" w:color="000000" w:fill="1F497D"/>
            <w:vAlign w:val="center"/>
            <w:hideMark/>
          </w:tcPr>
          <w:p w14:paraId="5F3EE51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428" w:type="dxa"/>
            <w:shd w:val="clear" w:color="000000" w:fill="1F497D"/>
            <w:vAlign w:val="center"/>
            <w:hideMark/>
          </w:tcPr>
          <w:p w14:paraId="0AE8A57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293" w:type="dxa"/>
            <w:shd w:val="clear" w:color="000000" w:fill="1F497D"/>
            <w:noWrap/>
            <w:vAlign w:val="center"/>
            <w:hideMark/>
          </w:tcPr>
          <w:p w14:paraId="1A20797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414" w:type="dxa"/>
            <w:shd w:val="clear" w:color="000000" w:fill="1F497D"/>
            <w:noWrap/>
            <w:vAlign w:val="center"/>
            <w:hideMark/>
          </w:tcPr>
          <w:p w14:paraId="6AE146D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209" w:type="dxa"/>
            <w:shd w:val="clear" w:color="000000" w:fill="1F497D"/>
            <w:vAlign w:val="center"/>
            <w:hideMark/>
          </w:tcPr>
          <w:p w14:paraId="5F667F5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B67DE2" w:rsidRPr="00B67DE2" w14:paraId="3E24645F" w14:textId="77777777" w:rsidTr="004E310F">
        <w:trPr>
          <w:trHeight w:val="309"/>
          <w:jc w:val="center"/>
        </w:trPr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B12B819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Arica y Parinacota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82D98C9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Luckia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284B1AA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90,3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4B5FD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90,3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AA9E5F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171,5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2E853E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78,8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5E6B116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430,9</w:t>
            </w:r>
          </w:p>
        </w:tc>
      </w:tr>
      <w:tr w:rsidR="00B67DE2" w:rsidRPr="00B67DE2" w14:paraId="1CDE757A" w14:textId="77777777" w:rsidTr="004E310F">
        <w:trPr>
          <w:trHeight w:val="294"/>
          <w:jc w:val="center"/>
        </w:trPr>
        <w:tc>
          <w:tcPr>
            <w:tcW w:w="1312" w:type="dxa"/>
            <w:vMerge w:val="restart"/>
            <w:shd w:val="clear" w:color="000000" w:fill="DCE6F1"/>
            <w:noWrap/>
            <w:vAlign w:val="center"/>
            <w:hideMark/>
          </w:tcPr>
          <w:p w14:paraId="152B6003" w14:textId="77777777" w:rsidR="00B67DE2" w:rsidRPr="00B67DE2" w:rsidRDefault="00B67DE2" w:rsidP="004E310F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Antofagasta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3C0F2237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Calama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2BA06AA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92,2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4427636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92,2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361C3F4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175,2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74B3713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44,2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230BF5B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403,7</w:t>
            </w:r>
          </w:p>
        </w:tc>
      </w:tr>
      <w:tr w:rsidR="00B67DE2" w:rsidRPr="00B67DE2" w14:paraId="7B0DC274" w14:textId="77777777" w:rsidTr="004E310F">
        <w:trPr>
          <w:trHeight w:val="309"/>
          <w:jc w:val="center"/>
        </w:trPr>
        <w:tc>
          <w:tcPr>
            <w:tcW w:w="1312" w:type="dxa"/>
            <w:vMerge/>
            <w:vAlign w:val="center"/>
            <w:hideMark/>
          </w:tcPr>
          <w:p w14:paraId="1D4D96CC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449EE2E8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1E73AD1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187,2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56C4C1F2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187,2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5551324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355,6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2702FE6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98,5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38E66DC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828,5</w:t>
            </w:r>
          </w:p>
        </w:tc>
      </w:tr>
      <w:tr w:rsidR="00B67DE2" w:rsidRPr="00B67DE2" w14:paraId="7F4B5888" w14:textId="77777777" w:rsidTr="004E310F">
        <w:trPr>
          <w:trHeight w:val="309"/>
          <w:jc w:val="center"/>
        </w:trPr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9E9DC91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Atacama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BBF8D6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Antay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EA0836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123,7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EDD0DDB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123,7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16980D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237,4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781BDA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81,0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755BD4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565,9</w:t>
            </w:r>
          </w:p>
        </w:tc>
      </w:tr>
      <w:tr w:rsidR="00B67DE2" w:rsidRPr="00B67DE2" w14:paraId="52E695A9" w14:textId="77777777" w:rsidTr="004E310F">
        <w:trPr>
          <w:trHeight w:val="309"/>
          <w:jc w:val="center"/>
        </w:trPr>
        <w:tc>
          <w:tcPr>
            <w:tcW w:w="1312" w:type="dxa"/>
            <w:shd w:val="clear" w:color="000000" w:fill="DCE6F1"/>
            <w:noWrap/>
            <w:vAlign w:val="center"/>
            <w:hideMark/>
          </w:tcPr>
          <w:p w14:paraId="08905065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Coquimbo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2368F741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0CE233C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35,1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5CEA52B5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35,1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2473C0A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66,7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07B354F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19,2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05CE357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156,1</w:t>
            </w:r>
          </w:p>
        </w:tc>
      </w:tr>
      <w:tr w:rsidR="00B67DE2" w:rsidRPr="00B67DE2" w14:paraId="51D5FFDA" w14:textId="77777777" w:rsidTr="004E310F">
        <w:trPr>
          <w:trHeight w:val="294"/>
          <w:jc w:val="center"/>
        </w:trPr>
        <w:tc>
          <w:tcPr>
            <w:tcW w:w="1312" w:type="dxa"/>
            <w:vMerge w:val="restart"/>
            <w:shd w:val="clear" w:color="auto" w:fill="auto"/>
            <w:noWrap/>
            <w:vAlign w:val="center"/>
            <w:hideMark/>
          </w:tcPr>
          <w:p w14:paraId="7308566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Valparaíso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21E77760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7DB5C2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68,0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6AA8B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27D86EC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129,2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51F3F8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45,7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0AD6145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311,0</w:t>
            </w:r>
          </w:p>
        </w:tc>
      </w:tr>
      <w:tr w:rsidR="00B67DE2" w:rsidRPr="00B67DE2" w14:paraId="04B38AB0" w14:textId="77777777" w:rsidTr="004E310F">
        <w:trPr>
          <w:trHeight w:val="294"/>
          <w:jc w:val="center"/>
        </w:trPr>
        <w:tc>
          <w:tcPr>
            <w:tcW w:w="1312" w:type="dxa"/>
            <w:vMerge/>
            <w:vAlign w:val="center"/>
            <w:hideMark/>
          </w:tcPr>
          <w:p w14:paraId="19C53047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3CD9E4B7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0E2820EB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345,9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838215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345,9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42227A3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657,3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1D57610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171,4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C32D21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1.520,5</w:t>
            </w:r>
          </w:p>
        </w:tc>
      </w:tr>
      <w:tr w:rsidR="00B67DE2" w:rsidRPr="00B67DE2" w14:paraId="6530276C" w14:textId="77777777" w:rsidTr="004E310F">
        <w:trPr>
          <w:trHeight w:val="309"/>
          <w:jc w:val="center"/>
        </w:trPr>
        <w:tc>
          <w:tcPr>
            <w:tcW w:w="1312" w:type="dxa"/>
            <w:vMerge/>
            <w:vAlign w:val="center"/>
            <w:hideMark/>
          </w:tcPr>
          <w:p w14:paraId="76DC47D8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7BBD155D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FE98035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289,9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E828A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289,9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46B64E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550,8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5709F503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86,7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40955D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1.217,4</w:t>
            </w:r>
          </w:p>
        </w:tc>
      </w:tr>
      <w:tr w:rsidR="00B67DE2" w:rsidRPr="00B67DE2" w14:paraId="3FB11C06" w14:textId="77777777" w:rsidTr="004E310F">
        <w:trPr>
          <w:trHeight w:val="294"/>
          <w:jc w:val="center"/>
        </w:trPr>
        <w:tc>
          <w:tcPr>
            <w:tcW w:w="1312" w:type="dxa"/>
            <w:vMerge w:val="restart"/>
            <w:shd w:val="clear" w:color="000000" w:fill="DCE6F1"/>
            <w:noWrap/>
            <w:vAlign w:val="center"/>
            <w:hideMark/>
          </w:tcPr>
          <w:p w14:paraId="03654B28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O´Higgins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6000E6BD" w14:textId="3033FD6B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Monticello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1DA0DD1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903,2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3F4F966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903,2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6B4A94D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1.716,1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273D9DC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230,2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01DABDD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3.752,7</w:t>
            </w:r>
          </w:p>
        </w:tc>
      </w:tr>
      <w:tr w:rsidR="00B67DE2" w:rsidRPr="00B67DE2" w14:paraId="7EE8ECC9" w14:textId="77777777" w:rsidTr="004E310F">
        <w:trPr>
          <w:trHeight w:val="309"/>
          <w:jc w:val="center"/>
        </w:trPr>
        <w:tc>
          <w:tcPr>
            <w:tcW w:w="1312" w:type="dxa"/>
            <w:vMerge/>
            <w:vAlign w:val="center"/>
            <w:hideMark/>
          </w:tcPr>
          <w:p w14:paraId="088CD9E4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1E8FC3CA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0C56EC8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50,1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7DBDEB0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50,1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79EF98BB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95,2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77C3288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21,8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14F7BBB6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217,2</w:t>
            </w:r>
          </w:p>
        </w:tc>
      </w:tr>
      <w:tr w:rsidR="00B67DE2" w:rsidRPr="00B67DE2" w14:paraId="521BF0E0" w14:textId="77777777" w:rsidTr="004E310F">
        <w:trPr>
          <w:trHeight w:val="309"/>
          <w:jc w:val="center"/>
        </w:trPr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8D0D9A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Maule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0F3A8E3F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46FD1AA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72,7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CB4B3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72,7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2122CE3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139,5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E50F67A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38,2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430C8375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323,1</w:t>
            </w:r>
          </w:p>
        </w:tc>
      </w:tr>
      <w:tr w:rsidR="00B67DE2" w:rsidRPr="00B67DE2" w14:paraId="49340605" w14:textId="77777777" w:rsidTr="004E310F">
        <w:trPr>
          <w:trHeight w:val="309"/>
          <w:jc w:val="center"/>
        </w:trPr>
        <w:tc>
          <w:tcPr>
            <w:tcW w:w="1312" w:type="dxa"/>
            <w:shd w:val="clear" w:color="000000" w:fill="DCE6F1"/>
            <w:noWrap/>
            <w:vAlign w:val="center"/>
            <w:hideMark/>
          </w:tcPr>
          <w:p w14:paraId="14F4A542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Ñuble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08748D54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7A5E736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62,0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147E36D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62,0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490AE332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117,8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41BAD02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40,1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36CF491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282,0</w:t>
            </w:r>
          </w:p>
        </w:tc>
      </w:tr>
      <w:tr w:rsidR="00B67DE2" w:rsidRPr="00B67DE2" w14:paraId="0F6D4C0C" w14:textId="77777777" w:rsidTr="004E310F">
        <w:trPr>
          <w:trHeight w:val="294"/>
          <w:jc w:val="center"/>
        </w:trPr>
        <w:tc>
          <w:tcPr>
            <w:tcW w:w="1312" w:type="dxa"/>
            <w:vMerge w:val="restart"/>
            <w:shd w:val="clear" w:color="auto" w:fill="auto"/>
            <w:noWrap/>
            <w:vAlign w:val="center"/>
            <w:hideMark/>
          </w:tcPr>
          <w:p w14:paraId="6BD7C1A9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Biobío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4F2D540C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18FE40A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315,4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041166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315,4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501C6D1D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605,3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6D92E38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165,9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372E89E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1.402,0</w:t>
            </w:r>
          </w:p>
        </w:tc>
      </w:tr>
      <w:tr w:rsidR="00B67DE2" w:rsidRPr="00B67DE2" w14:paraId="1CE10C19" w14:textId="77777777" w:rsidTr="004E310F">
        <w:trPr>
          <w:trHeight w:val="309"/>
          <w:jc w:val="center"/>
        </w:trPr>
        <w:tc>
          <w:tcPr>
            <w:tcW w:w="1312" w:type="dxa"/>
            <w:vMerge/>
            <w:vAlign w:val="center"/>
            <w:hideMark/>
          </w:tcPr>
          <w:p w14:paraId="6F0B15C3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74EDCE4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Casino Gran Los Angeles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477CE4D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31,2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D63763B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31,2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0BBB676A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59,3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F7B06E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20,9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1DC4AB01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142,6</w:t>
            </w:r>
          </w:p>
        </w:tc>
      </w:tr>
      <w:tr w:rsidR="00B67DE2" w:rsidRPr="00B67DE2" w14:paraId="63EE10E2" w14:textId="77777777" w:rsidTr="004E310F">
        <w:trPr>
          <w:trHeight w:val="309"/>
          <w:jc w:val="center"/>
        </w:trPr>
        <w:tc>
          <w:tcPr>
            <w:tcW w:w="1312" w:type="dxa"/>
            <w:shd w:val="clear" w:color="000000" w:fill="DCE6F1"/>
            <w:noWrap/>
            <w:vAlign w:val="center"/>
            <w:hideMark/>
          </w:tcPr>
          <w:p w14:paraId="0099E08B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Araucanía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2A47F69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25CB93EA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180,1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0DF6389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180,1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39E49F2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342,2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12BA6B2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83,8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14ADA05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786,2</w:t>
            </w:r>
          </w:p>
        </w:tc>
      </w:tr>
      <w:tr w:rsidR="00B67DE2" w:rsidRPr="00B67DE2" w14:paraId="7DDC6050" w14:textId="77777777" w:rsidTr="004E310F">
        <w:trPr>
          <w:trHeight w:val="309"/>
          <w:jc w:val="center"/>
        </w:trPr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F0AAD08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Los Ríos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179CDA3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776BF5F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111,2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C83FA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111,2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43FB12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211,3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A7D09A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67,5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79E9152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501,3</w:t>
            </w:r>
          </w:p>
        </w:tc>
      </w:tr>
      <w:tr w:rsidR="00B67DE2" w:rsidRPr="00B67DE2" w14:paraId="2CF93DE0" w14:textId="77777777" w:rsidTr="004E310F">
        <w:trPr>
          <w:trHeight w:val="294"/>
          <w:jc w:val="center"/>
        </w:trPr>
        <w:tc>
          <w:tcPr>
            <w:tcW w:w="1312" w:type="dxa"/>
            <w:vMerge w:val="restart"/>
            <w:shd w:val="clear" w:color="000000" w:fill="DCE6F1"/>
            <w:noWrap/>
            <w:vAlign w:val="center"/>
            <w:hideMark/>
          </w:tcPr>
          <w:p w14:paraId="0A67C84A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4A7B6FA9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7C7789B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83,6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10EC5F0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83,6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5707102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158,9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45044665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39,1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500D656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365,1</w:t>
            </w:r>
          </w:p>
        </w:tc>
      </w:tr>
      <w:tr w:rsidR="00B67DE2" w:rsidRPr="00B67DE2" w14:paraId="7E0028E6" w14:textId="77777777" w:rsidTr="004E310F">
        <w:trPr>
          <w:trHeight w:val="309"/>
          <w:jc w:val="center"/>
        </w:trPr>
        <w:tc>
          <w:tcPr>
            <w:tcW w:w="1312" w:type="dxa"/>
            <w:vMerge/>
            <w:vAlign w:val="center"/>
            <w:hideMark/>
          </w:tcPr>
          <w:p w14:paraId="70C77916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2F7D4278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proofErr w:type="spellStart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Enjoy</w:t>
            </w:r>
            <w:proofErr w:type="spellEnd"/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736BCAA2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22,7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0949AF4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22,7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6AD5E52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43,2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2AC5B389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15,3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7D854DA2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104,0</w:t>
            </w:r>
          </w:p>
        </w:tc>
      </w:tr>
      <w:tr w:rsidR="00B67DE2" w:rsidRPr="00B67DE2" w14:paraId="02327793" w14:textId="77777777" w:rsidTr="004E310F">
        <w:trPr>
          <w:trHeight w:val="309"/>
          <w:jc w:val="center"/>
        </w:trPr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672DF2DE" w14:textId="3948F3C2" w:rsidR="00B67DE2" w:rsidRPr="00B67DE2" w:rsidRDefault="004E310F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Aysén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14:paraId="68CB1D77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14:paraId="533650D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C9516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40,7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744C6D0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248C1712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24,7</w:t>
            </w:r>
          </w:p>
        </w:tc>
        <w:tc>
          <w:tcPr>
            <w:tcW w:w="1209" w:type="dxa"/>
            <w:shd w:val="clear" w:color="auto" w:fill="auto"/>
            <w:noWrap/>
            <w:vAlign w:val="center"/>
            <w:hideMark/>
          </w:tcPr>
          <w:p w14:paraId="2D5DCA9B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183,4</w:t>
            </w:r>
          </w:p>
        </w:tc>
      </w:tr>
      <w:tr w:rsidR="00B67DE2" w:rsidRPr="00B67DE2" w14:paraId="32346CC3" w14:textId="77777777" w:rsidTr="004E310F">
        <w:trPr>
          <w:trHeight w:val="309"/>
          <w:jc w:val="center"/>
        </w:trPr>
        <w:tc>
          <w:tcPr>
            <w:tcW w:w="1312" w:type="dxa"/>
            <w:shd w:val="clear" w:color="000000" w:fill="DCE6F1"/>
            <w:noWrap/>
            <w:vAlign w:val="center"/>
            <w:hideMark/>
          </w:tcPr>
          <w:p w14:paraId="6521FF04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108" w:type="dxa"/>
            <w:shd w:val="clear" w:color="000000" w:fill="DCE6F1"/>
            <w:noWrap/>
            <w:vAlign w:val="center"/>
            <w:hideMark/>
          </w:tcPr>
          <w:p w14:paraId="64413AA2" w14:textId="77777777" w:rsidR="00B67DE2" w:rsidRPr="00B67DE2" w:rsidRDefault="00B67DE2" w:rsidP="00B67DE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44" w:type="dxa"/>
            <w:shd w:val="clear" w:color="000000" w:fill="DCE6F1"/>
            <w:noWrap/>
            <w:vAlign w:val="center"/>
            <w:hideMark/>
          </w:tcPr>
          <w:p w14:paraId="35734533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160,2</w:t>
            </w:r>
          </w:p>
        </w:tc>
        <w:tc>
          <w:tcPr>
            <w:tcW w:w="1428" w:type="dxa"/>
            <w:shd w:val="clear" w:color="000000" w:fill="DCE6F1"/>
            <w:noWrap/>
            <w:vAlign w:val="center"/>
            <w:hideMark/>
          </w:tcPr>
          <w:p w14:paraId="2232820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160,2</w:t>
            </w:r>
          </w:p>
        </w:tc>
        <w:tc>
          <w:tcPr>
            <w:tcW w:w="1293" w:type="dxa"/>
            <w:shd w:val="clear" w:color="000000" w:fill="DCE6F1"/>
            <w:noWrap/>
            <w:vAlign w:val="center"/>
            <w:hideMark/>
          </w:tcPr>
          <w:p w14:paraId="06B331D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304,3</w:t>
            </w:r>
          </w:p>
        </w:tc>
        <w:tc>
          <w:tcPr>
            <w:tcW w:w="1414" w:type="dxa"/>
            <w:shd w:val="clear" w:color="000000" w:fill="DCE6F1"/>
            <w:noWrap/>
            <w:vAlign w:val="center"/>
            <w:hideMark/>
          </w:tcPr>
          <w:p w14:paraId="238BE32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94,9</w:t>
            </w:r>
          </w:p>
        </w:tc>
        <w:tc>
          <w:tcPr>
            <w:tcW w:w="1209" w:type="dxa"/>
            <w:shd w:val="clear" w:color="000000" w:fill="DCE6F1"/>
            <w:noWrap/>
            <w:vAlign w:val="center"/>
            <w:hideMark/>
          </w:tcPr>
          <w:p w14:paraId="4895B458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color w:val="002060"/>
                <w:sz w:val="18"/>
                <w:szCs w:val="18"/>
                <w:lang w:eastAsia="es-CL"/>
              </w:rPr>
              <w:t>719,5</w:t>
            </w:r>
          </w:p>
        </w:tc>
      </w:tr>
      <w:tr w:rsidR="00B67DE2" w:rsidRPr="00B67DE2" w14:paraId="19C49B77" w14:textId="77777777" w:rsidTr="004E310F">
        <w:trPr>
          <w:trHeight w:val="309"/>
          <w:jc w:val="center"/>
        </w:trPr>
        <w:tc>
          <w:tcPr>
            <w:tcW w:w="3420" w:type="dxa"/>
            <w:gridSpan w:val="2"/>
            <w:shd w:val="clear" w:color="000000" w:fill="1F497D"/>
            <w:noWrap/>
            <w:vAlign w:val="center"/>
            <w:hideMark/>
          </w:tcPr>
          <w:p w14:paraId="203D31AF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244" w:type="dxa"/>
            <w:shd w:val="clear" w:color="000000" w:fill="1F497D"/>
            <w:vAlign w:val="center"/>
            <w:hideMark/>
          </w:tcPr>
          <w:p w14:paraId="66A7CCE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3.265,5</w:t>
            </w:r>
          </w:p>
        </w:tc>
        <w:tc>
          <w:tcPr>
            <w:tcW w:w="1428" w:type="dxa"/>
            <w:shd w:val="clear" w:color="000000" w:fill="1F497D"/>
            <w:vAlign w:val="center"/>
            <w:hideMark/>
          </w:tcPr>
          <w:p w14:paraId="4E6DB5CE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3.265,5</w:t>
            </w:r>
          </w:p>
        </w:tc>
        <w:tc>
          <w:tcPr>
            <w:tcW w:w="1293" w:type="dxa"/>
            <w:shd w:val="clear" w:color="000000" w:fill="1F497D"/>
            <w:vAlign w:val="center"/>
            <w:hideMark/>
          </w:tcPr>
          <w:p w14:paraId="61E47687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6.214,2</w:t>
            </w:r>
          </w:p>
        </w:tc>
        <w:tc>
          <w:tcPr>
            <w:tcW w:w="1414" w:type="dxa"/>
            <w:shd w:val="clear" w:color="000000" w:fill="1F497D"/>
            <w:vAlign w:val="center"/>
            <w:hideMark/>
          </w:tcPr>
          <w:p w14:paraId="14A3F8F4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1.468,0</w:t>
            </w:r>
          </w:p>
        </w:tc>
        <w:tc>
          <w:tcPr>
            <w:tcW w:w="1209" w:type="dxa"/>
            <w:shd w:val="clear" w:color="000000" w:fill="1F497D"/>
            <w:vAlign w:val="center"/>
            <w:hideMark/>
          </w:tcPr>
          <w:p w14:paraId="71926F4C" w14:textId="77777777" w:rsidR="00B67DE2" w:rsidRPr="00B67DE2" w:rsidRDefault="00B67DE2" w:rsidP="00B67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B67DE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14.213,2</w:t>
            </w:r>
          </w:p>
        </w:tc>
      </w:tr>
    </w:tbl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285BEF13" w:rsidR="00CF206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AA4471" w:rsidRPr="009C3A3E">
        <w:t xml:space="preserve"> casinos de juego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</w:t>
      </w:r>
      <w:proofErr w:type="spellStart"/>
      <w:r w:rsidR="00AA4471" w:rsidRPr="009C3A3E">
        <w:t>win</w:t>
      </w:r>
      <w:proofErr w:type="spellEnd"/>
      <w:r w:rsidR="00AA4471" w:rsidRPr="009C3A3E">
        <w:t>) por $</w:t>
      </w:r>
      <w:r w:rsidR="00EC7144">
        <w:t>294</w:t>
      </w:r>
      <w:r w:rsidR="00EA5C85">
        <w:t>.</w:t>
      </w:r>
      <w:r w:rsidR="00EC7144">
        <w:t>252</w:t>
      </w:r>
      <w:r w:rsidR="00AA4471" w:rsidRPr="009C3A3E">
        <w:t xml:space="preserve"> millones</w:t>
      </w:r>
      <w:r w:rsidR="00EC7144">
        <w:t xml:space="preserve"> el </w:t>
      </w:r>
      <w:r w:rsidR="00520AF5">
        <w:t xml:space="preserve">año </w:t>
      </w:r>
      <w:r w:rsidR="00EC7144">
        <w:t xml:space="preserve">2021, de </w:t>
      </w:r>
      <w:r w:rsidR="00311358">
        <w:t xml:space="preserve">los cuales </w:t>
      </w:r>
      <w:r w:rsidR="00EC7144">
        <w:t xml:space="preserve">$45.960 </w:t>
      </w:r>
      <w:r w:rsidR="00DA209E">
        <w:t>corresponden a d</w:t>
      </w:r>
      <w:r w:rsidR="00EC7144">
        <w:t>iciembre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EC7144">
        <w:rPr>
          <w:rFonts w:ascii="Calibri" w:hAnsi="Calibri" w:cs="Calibri"/>
          <w:lang w:eastAsia="es-CL"/>
        </w:rPr>
        <w:t xml:space="preserve"> del mes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6107D">
        <w:rPr>
          <w:rFonts w:ascii="Calibri" w:hAnsi="Calibri" w:cs="Calibri"/>
          <w:lang w:eastAsia="es-CL"/>
        </w:rPr>
        <w:t xml:space="preserve">fueron un </w:t>
      </w:r>
      <w:r w:rsidR="00727247">
        <w:rPr>
          <w:rFonts w:ascii="Calibri" w:hAnsi="Calibri" w:cs="Calibri"/>
          <w:lang w:eastAsia="es-CL"/>
        </w:rPr>
        <w:t>1</w:t>
      </w:r>
      <w:r w:rsidR="00EC7144">
        <w:rPr>
          <w:rFonts w:ascii="Calibri" w:hAnsi="Calibri" w:cs="Calibri"/>
          <w:lang w:eastAsia="es-CL"/>
        </w:rPr>
        <w:t>0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6107D">
        <w:rPr>
          <w:rFonts w:ascii="Calibri" w:hAnsi="Calibri" w:cs="Calibri"/>
          <w:lang w:eastAsia="es-CL"/>
        </w:rPr>
        <w:t xml:space="preserve">mayores </w:t>
      </w:r>
      <w:r w:rsidR="00A17684">
        <w:rPr>
          <w:rFonts w:ascii="Calibri" w:hAnsi="Calibri" w:cs="Calibri"/>
          <w:lang w:eastAsia="es-CL"/>
        </w:rPr>
        <w:t>que los d</w:t>
      </w:r>
      <w:r w:rsidR="00EC7144">
        <w:rPr>
          <w:rFonts w:ascii="Calibri" w:hAnsi="Calibri" w:cs="Calibri"/>
          <w:lang w:eastAsia="es-CL"/>
        </w:rPr>
        <w:t>iciembre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A17684">
        <w:rPr>
          <w:rFonts w:ascii="Calibri" w:hAnsi="Calibri" w:cs="Calibri"/>
          <w:lang w:eastAsia="es-CL"/>
        </w:rPr>
        <w:t xml:space="preserve">19 y </w:t>
      </w:r>
      <w:r w:rsidR="00EC7144">
        <w:rPr>
          <w:rFonts w:ascii="Calibri" w:hAnsi="Calibri" w:cs="Calibri"/>
          <w:lang w:eastAsia="es-CL"/>
        </w:rPr>
        <w:t>4,5</w:t>
      </w:r>
      <w:r w:rsidR="00727247">
        <w:rPr>
          <w:rFonts w:ascii="Calibri" w:hAnsi="Calibri" w:cs="Calibri"/>
          <w:lang w:eastAsia="es-CL"/>
        </w:rPr>
        <w:t xml:space="preserve"> veces </w:t>
      </w:r>
      <w:r w:rsidR="00A17684">
        <w:rPr>
          <w:rFonts w:ascii="Calibri" w:hAnsi="Calibri" w:cs="Calibri"/>
          <w:lang w:eastAsia="es-CL"/>
        </w:rPr>
        <w:t xml:space="preserve">más altos que los </w:t>
      </w:r>
      <w:r w:rsidR="00311358">
        <w:rPr>
          <w:rFonts w:ascii="Calibri" w:hAnsi="Calibri" w:cs="Calibri"/>
          <w:lang w:eastAsia="es-CL"/>
        </w:rPr>
        <w:t xml:space="preserve">de </w:t>
      </w:r>
      <w:r w:rsidR="00EC7144">
        <w:rPr>
          <w:rFonts w:ascii="Calibri" w:hAnsi="Calibri" w:cs="Calibri"/>
          <w:lang w:eastAsia="es-CL"/>
        </w:rPr>
        <w:t>diciembre</w:t>
      </w:r>
      <w:r w:rsidR="00727247">
        <w:rPr>
          <w:rFonts w:ascii="Calibri" w:hAnsi="Calibri" w:cs="Calibri"/>
          <w:lang w:eastAsia="es-CL"/>
        </w:rPr>
        <w:t xml:space="preserve"> de 2020 cuando estaba reabriendo la industria de casinos.</w:t>
      </w:r>
      <w:r w:rsidR="00EC7144">
        <w:rPr>
          <w:rFonts w:ascii="Calibri" w:hAnsi="Calibri" w:cs="Calibri"/>
          <w:lang w:eastAsia="es-CL"/>
        </w:rPr>
        <w:t xml:space="preserve"> Con todo, el año 2021 mostró ingresos por aproximadamente 2/3 de lo percibido pre</w:t>
      </w:r>
      <w:r w:rsidR="004741DF">
        <w:rPr>
          <w:rFonts w:ascii="Calibri" w:hAnsi="Calibri" w:cs="Calibri"/>
          <w:lang w:eastAsia="es-CL"/>
        </w:rPr>
        <w:t>vio a la pandemia</w:t>
      </w:r>
      <w:r w:rsidR="00EC7144">
        <w:rPr>
          <w:rFonts w:ascii="Calibri" w:hAnsi="Calibri" w:cs="Calibri"/>
          <w:lang w:eastAsia="es-CL"/>
        </w:rPr>
        <w:t>, pero con una importante recuperación en el último trimestre del año.</w:t>
      </w:r>
    </w:p>
    <w:p w14:paraId="38A3CB86" w14:textId="7EC3B29C" w:rsidR="00CA0964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34A81032" w14:textId="158A193B" w:rsidR="00CA0964" w:rsidRPr="004C5EE7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>
        <w:rPr>
          <w:rFonts w:ascii="Calibri" w:hAnsi="Calibri" w:cs="Calibri"/>
          <w:lang w:eastAsia="es-CL"/>
        </w:rPr>
        <w:t xml:space="preserve">Asimismo, resulta relevante destacar que </w:t>
      </w:r>
      <w:r w:rsidR="00543268">
        <w:rPr>
          <w:rFonts w:ascii="Calibri" w:hAnsi="Calibri" w:cs="Calibri"/>
          <w:lang w:eastAsia="es-CL"/>
        </w:rPr>
        <w:t>l</w:t>
      </w:r>
      <w:r w:rsidR="00A80753">
        <w:rPr>
          <w:rFonts w:ascii="Calibri" w:hAnsi="Calibri" w:cs="Calibri"/>
          <w:lang w:eastAsia="es-CL"/>
        </w:rPr>
        <w:t>a operación en este tiempo de pandemia se</w:t>
      </w:r>
      <w:r w:rsidR="00543268">
        <w:rPr>
          <w:rFonts w:ascii="Calibri" w:hAnsi="Calibri" w:cs="Calibri"/>
          <w:lang w:eastAsia="es-CL"/>
        </w:rPr>
        <w:t xml:space="preserve"> </w:t>
      </w:r>
      <w:r w:rsidR="00A80753">
        <w:rPr>
          <w:rFonts w:ascii="Calibri" w:hAnsi="Calibri" w:cs="Calibri"/>
          <w:lang w:eastAsia="es-CL"/>
        </w:rPr>
        <w:t xml:space="preserve">ajusta a </w:t>
      </w:r>
      <w:r w:rsidR="00543268">
        <w:rPr>
          <w:rFonts w:ascii="Calibri" w:hAnsi="Calibri" w:cs="Calibri"/>
          <w:lang w:eastAsia="es-CL"/>
        </w:rPr>
        <w:t>un aforo reducido, entre otras restricciones sanitaria</w:t>
      </w:r>
      <w:r w:rsidR="0066107D">
        <w:rPr>
          <w:rFonts w:ascii="Calibri" w:hAnsi="Calibri" w:cs="Calibri"/>
          <w:lang w:eastAsia="es-CL"/>
        </w:rPr>
        <w:t>s</w:t>
      </w:r>
      <w:r w:rsidR="00A80753">
        <w:rPr>
          <w:rFonts w:ascii="Calibri" w:hAnsi="Calibri" w:cs="Calibri"/>
          <w:lang w:eastAsia="es-CL"/>
        </w:rPr>
        <w:t xml:space="preserve">. </w:t>
      </w:r>
      <w:r w:rsidR="00543268">
        <w:rPr>
          <w:rFonts w:ascii="Calibri" w:hAnsi="Calibri" w:cs="Calibri"/>
          <w:lang w:eastAsia="es-CL"/>
        </w:rPr>
        <w:t xml:space="preserve">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042A4534" w14:textId="4CF16C04" w:rsidR="00C02FF9" w:rsidRDefault="006E4A5E" w:rsidP="00EA5C85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EC7144">
        <w:t>2,46 millones de</w:t>
      </w:r>
      <w:r w:rsidRPr="004C5EE7">
        <w:t xml:space="preserve"> personas que ingresaron a los </w:t>
      </w:r>
      <w:r w:rsidR="00A80753">
        <w:t>2</w:t>
      </w:r>
      <w:r w:rsidR="0066107D">
        <w:t>6</w:t>
      </w:r>
      <w:r w:rsidRPr="004C5EE7">
        <w:t xml:space="preserve"> casinos </w:t>
      </w:r>
      <w:r w:rsidR="00A5263C">
        <w:t>en operación</w:t>
      </w:r>
      <w:r w:rsidR="006379E8">
        <w:t>,</w:t>
      </w:r>
      <w:r w:rsidR="00EC7144">
        <w:t xml:space="preserve"> </w:t>
      </w:r>
      <w:r w:rsidR="00C02FF9">
        <w:t xml:space="preserve">lo que equivale a un 39% </w:t>
      </w:r>
      <w:r w:rsidR="004741DF">
        <w:t xml:space="preserve">respecto de </w:t>
      </w:r>
      <w:r w:rsidR="00C02FF9">
        <w:t xml:space="preserve">2019. En tanto, en el mes de diciembre las visitas fueron de 462.637, lo que equivale a un 76% de las </w:t>
      </w:r>
      <w:r w:rsidR="004741DF">
        <w:t xml:space="preserve">registradas en el mismo mes de </w:t>
      </w:r>
      <w:r w:rsidR="00C02FF9">
        <w:t>2019.</w:t>
      </w:r>
    </w:p>
    <w:p w14:paraId="6ECF986F" w14:textId="77777777" w:rsidR="00C02FF9" w:rsidRDefault="00C02FF9" w:rsidP="00EA5C85">
      <w:pPr>
        <w:tabs>
          <w:tab w:val="left" w:pos="0"/>
        </w:tabs>
        <w:spacing w:after="0" w:line="240" w:lineRule="auto"/>
      </w:pPr>
    </w:p>
    <w:p w14:paraId="0381DB9E" w14:textId="303F094D" w:rsidR="00330D14" w:rsidRDefault="00C02FF9" w:rsidP="00EA5C85">
      <w:pPr>
        <w:tabs>
          <w:tab w:val="left" w:pos="0"/>
        </w:tabs>
        <w:spacing w:after="0" w:line="240" w:lineRule="auto"/>
      </w:pPr>
      <w:r>
        <w:t>Además</w:t>
      </w:r>
      <w:r w:rsidR="006379E8">
        <w:t xml:space="preserve">, </w:t>
      </w:r>
      <w:r w:rsidR="00265A30" w:rsidRPr="004C5EE7">
        <w:t xml:space="preserve">durante </w:t>
      </w:r>
      <w:r>
        <w:t>diciembre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>
        <w:t>de</w:t>
      </w:r>
      <w:r w:rsidR="00A51CDD" w:rsidRPr="009C3A3E">
        <w:t xml:space="preserve"> $</w:t>
      </w:r>
      <w:r>
        <w:t>100</w:t>
      </w:r>
      <w:r w:rsidR="002E7643">
        <w:t>.</w:t>
      </w:r>
      <w:r>
        <w:t>538</w:t>
      </w:r>
      <w:r w:rsidR="00265A30" w:rsidRPr="009C3A3E">
        <w:t xml:space="preserve"> por visita, </w:t>
      </w:r>
      <w:r>
        <w:t>cerrando el año con un gasto promedio de $100.003</w:t>
      </w:r>
      <w:r w:rsidR="00DC689B">
        <w:t>.</w:t>
      </w:r>
    </w:p>
    <w:p w14:paraId="563B8A29" w14:textId="196B3784" w:rsidR="00EA5C85" w:rsidRDefault="00EA5C85" w:rsidP="00EA5C85">
      <w:pPr>
        <w:tabs>
          <w:tab w:val="left" w:pos="0"/>
        </w:tabs>
        <w:spacing w:after="0" w:line="240" w:lineRule="auto"/>
      </w:pPr>
    </w:p>
    <w:p w14:paraId="413D87AA" w14:textId="708A4DE3" w:rsidR="0074512F" w:rsidRDefault="0074512F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052AC60F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134171">
        <w:t xml:space="preserve">dos años </w:t>
      </w:r>
      <w:r w:rsidR="00B440B7">
        <w:t>de su implementación</w:t>
      </w:r>
      <w:r w:rsidRPr="004C5EE7">
        <w:t xml:space="preserve">, la cantidad de autoexcluidos ha aumentado en un </w:t>
      </w:r>
      <w:r w:rsidR="00C02FF9">
        <w:t>7</w:t>
      </w:r>
      <w:r w:rsidR="007F75D6">
        <w:t>6</w:t>
      </w:r>
      <w:r w:rsidRPr="004C5EE7">
        <w:t xml:space="preserve">%, llegando a </w:t>
      </w:r>
      <w:r w:rsidR="00A80753">
        <w:t>1.</w:t>
      </w:r>
      <w:r w:rsidR="007F75D6">
        <w:t>721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A80753">
        <w:t>1.</w:t>
      </w:r>
      <w:r w:rsidR="007F75D6">
        <w:t>344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9623D2">
        <w:t>5</w:t>
      </w:r>
      <w:r w:rsidR="007F75D6">
        <w:t>99</w:t>
      </w:r>
      <w:r w:rsidR="004C5EE7" w:rsidRPr="004C5EE7">
        <w:t xml:space="preserve"> personas han revocado su registro en el sistema de autoexclusión.</w:t>
      </w:r>
    </w:p>
    <w:sectPr w:rsidR="00EF4E0C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F749" w14:textId="77777777" w:rsidR="0080415F" w:rsidRDefault="0080415F" w:rsidP="00FD382C">
      <w:r>
        <w:separator/>
      </w:r>
    </w:p>
  </w:endnote>
  <w:endnote w:type="continuationSeparator" w:id="0">
    <w:p w14:paraId="45F0FDA0" w14:textId="77777777" w:rsidR="0080415F" w:rsidRDefault="0080415F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7251" w14:textId="77777777" w:rsidR="0080415F" w:rsidRDefault="0080415F" w:rsidP="00FD382C">
      <w:r>
        <w:separator/>
      </w:r>
    </w:p>
  </w:footnote>
  <w:footnote w:type="continuationSeparator" w:id="0">
    <w:p w14:paraId="0E9D1A54" w14:textId="77777777" w:rsidR="0080415F" w:rsidRDefault="0080415F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29505486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E310F">
      <w:rPr>
        <w:b/>
      </w:rPr>
      <w:t>Martes 08</w:t>
    </w:r>
    <w:r w:rsidR="00731D61">
      <w:rPr>
        <w:b/>
      </w:rPr>
      <w:t xml:space="preserve"> </w:t>
    </w:r>
    <w:r>
      <w:rPr>
        <w:b/>
      </w:rPr>
      <w:t xml:space="preserve">de </w:t>
    </w:r>
    <w:r w:rsidR="000E1640">
      <w:rPr>
        <w:b/>
      </w:rPr>
      <w:t>febrero</w:t>
    </w:r>
    <w:r w:rsidR="008659CE">
      <w:rPr>
        <w:b/>
      </w:rPr>
      <w:t xml:space="preserve"> </w:t>
    </w:r>
    <w:r>
      <w:rPr>
        <w:b/>
      </w:rPr>
      <w:t>de 202</w:t>
    </w:r>
    <w:r w:rsidR="00B0301A">
      <w:rPr>
        <w:b/>
      </w:rPr>
      <w:t>2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1358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19C6"/>
    <w:rsid w:val="00462DA6"/>
    <w:rsid w:val="0046773A"/>
    <w:rsid w:val="00474076"/>
    <w:rsid w:val="004741DF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310F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0AF5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D340C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57441"/>
    <w:rsid w:val="00765889"/>
    <w:rsid w:val="007735DC"/>
    <w:rsid w:val="00773FDD"/>
    <w:rsid w:val="00774921"/>
    <w:rsid w:val="0077523F"/>
    <w:rsid w:val="00786B26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7F75D6"/>
    <w:rsid w:val="00801D21"/>
    <w:rsid w:val="00803DBB"/>
    <w:rsid w:val="0080415F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76A"/>
    <w:rsid w:val="00A12283"/>
    <w:rsid w:val="00A1369B"/>
    <w:rsid w:val="00A139E6"/>
    <w:rsid w:val="00A148ED"/>
    <w:rsid w:val="00A14A88"/>
    <w:rsid w:val="00A17581"/>
    <w:rsid w:val="00A17684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DE2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B6F98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9E"/>
    <w:rsid w:val="00DA20B1"/>
    <w:rsid w:val="00DA21E5"/>
    <w:rsid w:val="00DA6495"/>
    <w:rsid w:val="00DB1263"/>
    <w:rsid w:val="00DB2A3C"/>
    <w:rsid w:val="00DB3239"/>
    <w:rsid w:val="00DB5082"/>
    <w:rsid w:val="00DC689B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46F8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20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5</cp:revision>
  <cp:lastPrinted>2019-08-27T13:47:00Z</cp:lastPrinted>
  <dcterms:created xsi:type="dcterms:W3CDTF">2022-02-08T16:41:00Z</dcterms:created>
  <dcterms:modified xsi:type="dcterms:W3CDTF">2022-02-08T16:41:00Z</dcterms:modified>
</cp:coreProperties>
</file>