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FD4A6" w14:textId="51202E2C" w:rsidR="005E4252" w:rsidRDefault="005E4252" w:rsidP="005E4252">
      <w:pPr>
        <w:rPr>
          <w:rFonts w:cstheme="minorHAnsi"/>
          <w:sz w:val="22"/>
          <w:szCs w:val="22"/>
          <w:lang w:val="es-ES"/>
        </w:rPr>
      </w:pPr>
    </w:p>
    <w:p w14:paraId="535C2A19" w14:textId="77777777" w:rsidR="00422A51" w:rsidRPr="0088282F" w:rsidRDefault="00422A51" w:rsidP="005E4252">
      <w:pPr>
        <w:rPr>
          <w:rFonts w:cstheme="minorHAnsi"/>
          <w:sz w:val="22"/>
          <w:szCs w:val="22"/>
          <w:lang w:val="es-ES"/>
        </w:rPr>
      </w:pPr>
    </w:p>
    <w:p w14:paraId="5C0DC5A3" w14:textId="74E9D3C6" w:rsidR="008375BD" w:rsidRPr="0088282F" w:rsidRDefault="008375BD" w:rsidP="005E4252">
      <w:pPr>
        <w:jc w:val="center"/>
        <w:rPr>
          <w:rFonts w:cstheme="minorHAnsi"/>
          <w:b/>
          <w:sz w:val="22"/>
          <w:szCs w:val="22"/>
          <w:lang w:val="es-ES"/>
        </w:rPr>
      </w:pPr>
    </w:p>
    <w:p w14:paraId="76BBD9AE" w14:textId="77777777" w:rsidR="000934C6" w:rsidRDefault="000934C6" w:rsidP="00587F11">
      <w:pPr>
        <w:jc w:val="center"/>
        <w:rPr>
          <w:rFonts w:cstheme="minorHAnsi"/>
          <w:b/>
          <w:color w:val="000000" w:themeColor="text1"/>
          <w:sz w:val="32"/>
          <w:szCs w:val="32"/>
          <w:lang w:val="es-ES"/>
        </w:rPr>
      </w:pPr>
    </w:p>
    <w:p w14:paraId="2EAB6F20" w14:textId="7EAB8A21" w:rsidR="00DB6BEB" w:rsidRDefault="00500F09" w:rsidP="00587F11">
      <w:pPr>
        <w:jc w:val="center"/>
        <w:rPr>
          <w:rFonts w:cstheme="minorHAnsi"/>
          <w:b/>
          <w:color w:val="000000" w:themeColor="text1"/>
          <w:sz w:val="32"/>
          <w:szCs w:val="32"/>
          <w:lang w:val="es-ES"/>
        </w:rPr>
      </w:pPr>
      <w:r>
        <w:rPr>
          <w:rFonts w:cstheme="minorHAnsi"/>
          <w:b/>
          <w:color w:val="000000" w:themeColor="text1"/>
          <w:sz w:val="32"/>
          <w:szCs w:val="32"/>
          <w:lang w:val="es-ES"/>
        </w:rPr>
        <w:t xml:space="preserve">Consejo Resolutivo </w:t>
      </w:r>
      <w:r w:rsidR="002376E0">
        <w:rPr>
          <w:rFonts w:cstheme="minorHAnsi"/>
          <w:b/>
          <w:color w:val="000000" w:themeColor="text1"/>
          <w:sz w:val="32"/>
          <w:szCs w:val="32"/>
          <w:lang w:val="es-ES"/>
        </w:rPr>
        <w:t xml:space="preserve">de la SCJ </w:t>
      </w:r>
      <w:r>
        <w:rPr>
          <w:rFonts w:cstheme="minorHAnsi"/>
          <w:b/>
          <w:color w:val="000000" w:themeColor="text1"/>
          <w:sz w:val="32"/>
          <w:szCs w:val="32"/>
          <w:lang w:val="es-ES"/>
        </w:rPr>
        <w:t xml:space="preserve">revoca permiso de operación de casino de juego a </w:t>
      </w:r>
      <w:r w:rsidR="000934C6">
        <w:rPr>
          <w:rFonts w:cstheme="minorHAnsi"/>
          <w:b/>
          <w:color w:val="000000" w:themeColor="text1"/>
          <w:sz w:val="32"/>
          <w:szCs w:val="32"/>
          <w:lang w:val="es-ES"/>
        </w:rPr>
        <w:t>C</w:t>
      </w:r>
      <w:r w:rsidR="00422A51">
        <w:rPr>
          <w:rFonts w:cstheme="minorHAnsi"/>
          <w:b/>
          <w:color w:val="000000" w:themeColor="text1"/>
          <w:sz w:val="32"/>
          <w:szCs w:val="32"/>
          <w:lang w:val="es-ES"/>
        </w:rPr>
        <w:t>asino de Puerto Varas</w:t>
      </w:r>
      <w:r w:rsidR="000934C6">
        <w:rPr>
          <w:rFonts w:cstheme="minorHAnsi"/>
          <w:b/>
          <w:color w:val="000000" w:themeColor="text1"/>
          <w:sz w:val="32"/>
          <w:szCs w:val="32"/>
          <w:lang w:val="es-ES"/>
        </w:rPr>
        <w:t xml:space="preserve"> </w:t>
      </w:r>
      <w:r w:rsidR="002376E0">
        <w:rPr>
          <w:rFonts w:cstheme="minorHAnsi"/>
          <w:b/>
          <w:color w:val="000000" w:themeColor="text1"/>
          <w:sz w:val="32"/>
          <w:szCs w:val="32"/>
          <w:lang w:val="es-ES"/>
        </w:rPr>
        <w:t>S.A.</w:t>
      </w:r>
    </w:p>
    <w:p w14:paraId="0404D9B6" w14:textId="4920D26A" w:rsidR="00422A51" w:rsidRDefault="00422A51" w:rsidP="00587F11">
      <w:pPr>
        <w:jc w:val="center"/>
        <w:rPr>
          <w:rFonts w:cstheme="minorHAnsi"/>
          <w:b/>
          <w:color w:val="000000" w:themeColor="text1"/>
          <w:sz w:val="32"/>
          <w:szCs w:val="32"/>
          <w:lang w:val="es-ES"/>
        </w:rPr>
      </w:pPr>
    </w:p>
    <w:p w14:paraId="7388ACBF" w14:textId="5F3E5C12" w:rsidR="00500F09" w:rsidRDefault="00500F09" w:rsidP="00587F11">
      <w:pPr>
        <w:jc w:val="both"/>
        <w:rPr>
          <w:rFonts w:cstheme="minorHAnsi"/>
          <w:sz w:val="23"/>
          <w:szCs w:val="23"/>
          <w:lang w:val="es-ES"/>
        </w:rPr>
      </w:pPr>
    </w:p>
    <w:p w14:paraId="6030DEF5" w14:textId="72FBA646" w:rsidR="005F6385" w:rsidRDefault="00DC0F6A" w:rsidP="00500F09">
      <w:pPr>
        <w:jc w:val="both"/>
        <w:rPr>
          <w:rFonts w:cstheme="minorHAnsi"/>
          <w:sz w:val="23"/>
          <w:szCs w:val="23"/>
          <w:lang w:val="es-ES"/>
        </w:rPr>
      </w:pPr>
      <w:r>
        <w:rPr>
          <w:rFonts w:cstheme="minorHAnsi"/>
          <w:sz w:val="23"/>
          <w:szCs w:val="23"/>
          <w:lang w:val="es-ES"/>
        </w:rPr>
        <w:t>Haciendo uso de</w:t>
      </w:r>
      <w:r w:rsidR="000934C6">
        <w:rPr>
          <w:rFonts w:cstheme="minorHAnsi"/>
          <w:sz w:val="23"/>
          <w:szCs w:val="23"/>
          <w:lang w:val="es-ES"/>
        </w:rPr>
        <w:t xml:space="preserve"> </w:t>
      </w:r>
      <w:r w:rsidR="00500F09">
        <w:rPr>
          <w:rFonts w:cstheme="minorHAnsi"/>
          <w:sz w:val="23"/>
          <w:szCs w:val="23"/>
          <w:lang w:val="es-ES"/>
        </w:rPr>
        <w:t xml:space="preserve">su </w:t>
      </w:r>
      <w:r w:rsidR="00500F09">
        <w:rPr>
          <w:szCs w:val="22"/>
        </w:rPr>
        <w:t>atribución exclusiva de otorgar, denegar, renovar y revocar los permisos de operación de casinos de juego en el país, de acuerdo con lo establecido en la Ley N°19.995</w:t>
      </w:r>
      <w:r w:rsidR="005F6385">
        <w:rPr>
          <w:szCs w:val="22"/>
        </w:rPr>
        <w:t xml:space="preserve">, </w:t>
      </w:r>
      <w:r>
        <w:rPr>
          <w:szCs w:val="22"/>
        </w:rPr>
        <w:t>el Consejo Resolutivo de la Superintendencia de Casinos de Juegos</w:t>
      </w:r>
      <w:r w:rsidR="000934C6">
        <w:rPr>
          <w:szCs w:val="22"/>
        </w:rPr>
        <w:t xml:space="preserve"> resolvió</w:t>
      </w:r>
      <w:r w:rsidR="00053336">
        <w:rPr>
          <w:szCs w:val="22"/>
        </w:rPr>
        <w:t xml:space="preserve">, en la </w:t>
      </w:r>
      <w:r w:rsidR="002376E0">
        <w:rPr>
          <w:szCs w:val="22"/>
        </w:rPr>
        <w:t>sesión</w:t>
      </w:r>
      <w:r w:rsidR="00053336">
        <w:rPr>
          <w:szCs w:val="22"/>
        </w:rPr>
        <w:t xml:space="preserve"> del 2 de marzo pasado</w:t>
      </w:r>
      <w:r w:rsidR="000934C6">
        <w:rPr>
          <w:szCs w:val="22"/>
        </w:rPr>
        <w:t>,</w:t>
      </w:r>
      <w:r>
        <w:rPr>
          <w:szCs w:val="22"/>
        </w:rPr>
        <w:t xml:space="preserve"> por la unanimidad de sus miembros, y a partir de los antecedentes entregados por la Superintendencia,</w:t>
      </w:r>
      <w:r w:rsidR="000934C6">
        <w:rPr>
          <w:szCs w:val="22"/>
        </w:rPr>
        <w:t xml:space="preserve"> revocar el permiso de operación </w:t>
      </w:r>
      <w:r w:rsidR="008B7DFE">
        <w:rPr>
          <w:szCs w:val="22"/>
        </w:rPr>
        <w:t xml:space="preserve">otorgado </w:t>
      </w:r>
      <w:r w:rsidR="000934C6">
        <w:rPr>
          <w:szCs w:val="22"/>
        </w:rPr>
        <w:t xml:space="preserve">a Casino de Puerto </w:t>
      </w:r>
      <w:r w:rsidR="000934C6" w:rsidRPr="000934C6">
        <w:rPr>
          <w:rFonts w:cstheme="minorHAnsi"/>
          <w:sz w:val="23"/>
          <w:szCs w:val="23"/>
          <w:lang w:val="es-ES"/>
        </w:rPr>
        <w:t>Varas S.A.</w:t>
      </w:r>
      <w:r w:rsidR="00E338FD">
        <w:rPr>
          <w:rFonts w:cstheme="minorHAnsi"/>
          <w:sz w:val="23"/>
          <w:szCs w:val="23"/>
          <w:lang w:val="es-ES"/>
        </w:rPr>
        <w:t>,</w:t>
      </w:r>
      <w:r w:rsidR="005F6385">
        <w:rPr>
          <w:rFonts w:cstheme="minorHAnsi"/>
          <w:sz w:val="23"/>
          <w:szCs w:val="23"/>
          <w:lang w:val="es-ES"/>
        </w:rPr>
        <w:t xml:space="preserve"> </w:t>
      </w:r>
      <w:r w:rsidR="008B7DFE">
        <w:rPr>
          <w:rFonts w:cstheme="minorHAnsi"/>
          <w:sz w:val="23"/>
          <w:szCs w:val="23"/>
          <w:lang w:val="es-ES"/>
        </w:rPr>
        <w:t>en</w:t>
      </w:r>
      <w:r w:rsidR="000934C6" w:rsidRPr="000934C6">
        <w:rPr>
          <w:rFonts w:cstheme="minorHAnsi"/>
          <w:sz w:val="23"/>
          <w:szCs w:val="23"/>
          <w:lang w:val="es-ES"/>
        </w:rPr>
        <w:t xml:space="preserve"> junio de 2018</w:t>
      </w:r>
      <w:r w:rsidR="005F6385">
        <w:rPr>
          <w:rFonts w:cstheme="minorHAnsi"/>
          <w:sz w:val="23"/>
          <w:szCs w:val="23"/>
          <w:lang w:val="es-ES"/>
        </w:rPr>
        <w:t>.</w:t>
      </w:r>
    </w:p>
    <w:p w14:paraId="5F177E7F" w14:textId="77777777" w:rsidR="005F6385" w:rsidRDefault="005F6385" w:rsidP="00500F09">
      <w:pPr>
        <w:jc w:val="both"/>
        <w:rPr>
          <w:rFonts w:cstheme="minorHAnsi"/>
          <w:sz w:val="23"/>
          <w:szCs w:val="23"/>
          <w:lang w:val="es-ES"/>
        </w:rPr>
      </w:pPr>
    </w:p>
    <w:p w14:paraId="6D3EE066" w14:textId="5615F7DF" w:rsidR="005F6385" w:rsidRDefault="005F6385" w:rsidP="005F6385">
      <w:pPr>
        <w:jc w:val="both"/>
        <w:rPr>
          <w:rFonts w:cstheme="minorHAnsi"/>
          <w:sz w:val="23"/>
          <w:szCs w:val="23"/>
          <w:lang w:val="es-ES"/>
        </w:rPr>
      </w:pPr>
      <w:r>
        <w:rPr>
          <w:rFonts w:cstheme="minorHAnsi"/>
          <w:sz w:val="23"/>
          <w:szCs w:val="23"/>
          <w:lang w:val="es-ES"/>
        </w:rPr>
        <w:t xml:space="preserve">Lo anterior, </w:t>
      </w:r>
      <w:r w:rsidR="00DC0F6A">
        <w:rPr>
          <w:rFonts w:cstheme="minorHAnsi"/>
          <w:sz w:val="23"/>
          <w:szCs w:val="23"/>
          <w:lang w:val="es-ES"/>
        </w:rPr>
        <w:t xml:space="preserve">debido al incumplimiento </w:t>
      </w:r>
      <w:r w:rsidR="008C1E86">
        <w:rPr>
          <w:rFonts w:cstheme="minorHAnsi"/>
          <w:sz w:val="23"/>
          <w:szCs w:val="23"/>
          <w:lang w:val="es-ES"/>
        </w:rPr>
        <w:t xml:space="preserve">por parte </w:t>
      </w:r>
      <w:r w:rsidR="00DC0F6A">
        <w:rPr>
          <w:rFonts w:cstheme="minorHAnsi"/>
          <w:sz w:val="23"/>
          <w:szCs w:val="23"/>
          <w:lang w:val="es-ES"/>
        </w:rPr>
        <w:t>de</w:t>
      </w:r>
      <w:r w:rsidR="00400BAA">
        <w:rPr>
          <w:rFonts w:cstheme="minorHAnsi"/>
          <w:sz w:val="23"/>
          <w:szCs w:val="23"/>
          <w:lang w:val="es-ES"/>
        </w:rPr>
        <w:t xml:space="preserve"> esta</w:t>
      </w:r>
      <w:r w:rsidR="008B7DFE">
        <w:rPr>
          <w:rFonts w:cstheme="minorHAnsi"/>
          <w:sz w:val="23"/>
          <w:szCs w:val="23"/>
          <w:lang w:val="es-ES"/>
        </w:rPr>
        <w:t xml:space="preserve"> sociedad</w:t>
      </w:r>
      <w:r w:rsidR="00400BAA">
        <w:rPr>
          <w:rFonts w:cstheme="minorHAnsi"/>
          <w:sz w:val="23"/>
          <w:szCs w:val="23"/>
          <w:lang w:val="es-ES"/>
        </w:rPr>
        <w:t xml:space="preserve"> de</w:t>
      </w:r>
      <w:r w:rsidR="00DC0F6A">
        <w:rPr>
          <w:rFonts w:cstheme="minorHAnsi"/>
          <w:sz w:val="23"/>
          <w:szCs w:val="23"/>
          <w:lang w:val="es-ES"/>
        </w:rPr>
        <w:t xml:space="preserve"> la obligación establecida en el artículo 28 de la Ley N°19.995, de construir el proyecto integral </w:t>
      </w:r>
      <w:r w:rsidR="008B7DFE">
        <w:rPr>
          <w:rFonts w:cstheme="minorHAnsi"/>
          <w:sz w:val="23"/>
          <w:szCs w:val="23"/>
          <w:lang w:val="es-ES"/>
        </w:rPr>
        <w:t xml:space="preserve">de casino </w:t>
      </w:r>
      <w:r w:rsidR="00DC0F6A">
        <w:rPr>
          <w:rFonts w:cstheme="minorHAnsi"/>
          <w:sz w:val="23"/>
          <w:szCs w:val="23"/>
          <w:lang w:val="es-ES"/>
        </w:rPr>
        <w:t>aprobado dentro del plazo establecido en la ley (2 años, con la posibilidad de prorrogarlo por un año adicional)</w:t>
      </w:r>
      <w:r>
        <w:rPr>
          <w:rFonts w:cstheme="minorHAnsi"/>
          <w:sz w:val="23"/>
          <w:szCs w:val="23"/>
          <w:lang w:val="es-ES"/>
        </w:rPr>
        <w:t xml:space="preserve"> el que venc</w:t>
      </w:r>
      <w:r w:rsidR="008C1E86">
        <w:rPr>
          <w:rFonts w:cstheme="minorHAnsi"/>
          <w:sz w:val="23"/>
          <w:szCs w:val="23"/>
          <w:lang w:val="es-ES"/>
        </w:rPr>
        <w:t>ió</w:t>
      </w:r>
      <w:r>
        <w:rPr>
          <w:rFonts w:cstheme="minorHAnsi"/>
          <w:sz w:val="23"/>
          <w:szCs w:val="23"/>
          <w:lang w:val="es-ES"/>
        </w:rPr>
        <w:t xml:space="preserve"> el 1° de agosto </w:t>
      </w:r>
      <w:r w:rsidR="008C1E86">
        <w:rPr>
          <w:rFonts w:cstheme="minorHAnsi"/>
          <w:sz w:val="23"/>
          <w:szCs w:val="23"/>
          <w:lang w:val="es-ES"/>
        </w:rPr>
        <w:t xml:space="preserve">de 2021 </w:t>
      </w:r>
      <w:r>
        <w:rPr>
          <w:rFonts w:cstheme="minorHAnsi"/>
          <w:sz w:val="23"/>
          <w:szCs w:val="23"/>
          <w:lang w:val="es-ES"/>
        </w:rPr>
        <w:t>para el casino de juego.</w:t>
      </w:r>
    </w:p>
    <w:p w14:paraId="20338BBD" w14:textId="77777777" w:rsidR="005F6385" w:rsidRDefault="005F6385" w:rsidP="005F6385">
      <w:pPr>
        <w:jc w:val="both"/>
        <w:rPr>
          <w:rFonts w:cstheme="minorHAnsi"/>
          <w:sz w:val="23"/>
          <w:szCs w:val="23"/>
          <w:lang w:val="es-ES"/>
        </w:rPr>
      </w:pPr>
    </w:p>
    <w:p w14:paraId="6B3D1846" w14:textId="0CBF1BA6" w:rsidR="00DC0F6A" w:rsidRDefault="00DC0F6A" w:rsidP="00500F09">
      <w:pPr>
        <w:jc w:val="both"/>
        <w:rPr>
          <w:rFonts w:cstheme="minorHAnsi"/>
          <w:sz w:val="23"/>
          <w:szCs w:val="23"/>
          <w:lang w:val="es-ES"/>
        </w:rPr>
      </w:pPr>
      <w:r>
        <w:rPr>
          <w:rFonts w:cstheme="minorHAnsi"/>
          <w:sz w:val="23"/>
          <w:szCs w:val="23"/>
          <w:lang w:val="es-ES"/>
        </w:rPr>
        <w:t xml:space="preserve">El procedimiento </w:t>
      </w:r>
      <w:r w:rsidR="008C1E86">
        <w:rPr>
          <w:rFonts w:cstheme="minorHAnsi"/>
          <w:sz w:val="23"/>
          <w:szCs w:val="23"/>
          <w:lang w:val="es-ES"/>
        </w:rPr>
        <w:t xml:space="preserve">administrativo </w:t>
      </w:r>
      <w:r>
        <w:rPr>
          <w:rFonts w:cstheme="minorHAnsi"/>
          <w:sz w:val="23"/>
          <w:szCs w:val="23"/>
          <w:lang w:val="es-ES"/>
        </w:rPr>
        <w:t>de revocación se inició</w:t>
      </w:r>
      <w:r w:rsidR="005F6385">
        <w:rPr>
          <w:rFonts w:cstheme="minorHAnsi"/>
          <w:sz w:val="23"/>
          <w:szCs w:val="23"/>
          <w:lang w:val="es-ES"/>
        </w:rPr>
        <w:t xml:space="preserve"> el 2</w:t>
      </w:r>
      <w:r w:rsidR="00400BAA">
        <w:rPr>
          <w:rFonts w:cstheme="minorHAnsi"/>
          <w:sz w:val="23"/>
          <w:szCs w:val="23"/>
          <w:lang w:val="es-ES"/>
        </w:rPr>
        <w:t xml:space="preserve"> de agosto de 2021,</w:t>
      </w:r>
      <w:r w:rsidR="005F6385">
        <w:rPr>
          <w:rFonts w:cstheme="minorHAnsi"/>
          <w:sz w:val="23"/>
          <w:szCs w:val="23"/>
          <w:lang w:val="es-ES"/>
        </w:rPr>
        <w:t xml:space="preserve"> luego de que los fiscalizadores de la </w:t>
      </w:r>
      <w:r>
        <w:rPr>
          <w:rFonts w:cstheme="minorHAnsi"/>
          <w:sz w:val="23"/>
          <w:szCs w:val="23"/>
          <w:lang w:val="es-ES"/>
        </w:rPr>
        <w:t xml:space="preserve">Superintendencia </w:t>
      </w:r>
      <w:r w:rsidR="005F6385">
        <w:rPr>
          <w:rFonts w:cstheme="minorHAnsi"/>
          <w:sz w:val="23"/>
          <w:szCs w:val="23"/>
          <w:lang w:val="es-ES"/>
        </w:rPr>
        <w:t xml:space="preserve">constataran </w:t>
      </w:r>
      <w:r w:rsidR="008C1E86">
        <w:rPr>
          <w:rFonts w:cstheme="minorHAnsi"/>
          <w:sz w:val="23"/>
          <w:szCs w:val="23"/>
          <w:lang w:val="es-ES"/>
        </w:rPr>
        <w:t xml:space="preserve">en terreno </w:t>
      </w:r>
      <w:r>
        <w:rPr>
          <w:rFonts w:cstheme="minorHAnsi"/>
          <w:sz w:val="23"/>
          <w:szCs w:val="23"/>
          <w:lang w:val="es-ES"/>
        </w:rPr>
        <w:t>que, vencido el plazo señalado</w:t>
      </w:r>
      <w:r w:rsidR="005F6385">
        <w:rPr>
          <w:rFonts w:cstheme="minorHAnsi"/>
          <w:sz w:val="23"/>
          <w:szCs w:val="23"/>
          <w:lang w:val="es-ES"/>
        </w:rPr>
        <w:t xml:space="preserve">, </w:t>
      </w:r>
      <w:r>
        <w:rPr>
          <w:rFonts w:cstheme="minorHAnsi"/>
          <w:sz w:val="23"/>
          <w:szCs w:val="23"/>
          <w:lang w:val="es-ES"/>
        </w:rPr>
        <w:t xml:space="preserve">el proyecto integral comprometido por la sociedad operadora </w:t>
      </w:r>
      <w:r w:rsidR="00400BAA">
        <w:rPr>
          <w:rFonts w:cstheme="minorHAnsi"/>
          <w:sz w:val="23"/>
          <w:szCs w:val="23"/>
          <w:lang w:val="es-ES"/>
        </w:rPr>
        <w:t xml:space="preserve">en la comuna de Puerto Varas, </w:t>
      </w:r>
      <w:r>
        <w:rPr>
          <w:rFonts w:cstheme="minorHAnsi"/>
          <w:sz w:val="23"/>
          <w:szCs w:val="23"/>
          <w:lang w:val="es-ES"/>
        </w:rPr>
        <w:t>no había sido construido.</w:t>
      </w:r>
    </w:p>
    <w:p w14:paraId="784DB763" w14:textId="58813691" w:rsidR="00DC0F6A" w:rsidRDefault="00DC0F6A" w:rsidP="00500F09">
      <w:pPr>
        <w:jc w:val="both"/>
        <w:rPr>
          <w:rFonts w:cstheme="minorHAnsi"/>
          <w:sz w:val="23"/>
          <w:szCs w:val="23"/>
          <w:lang w:val="es-ES"/>
        </w:rPr>
      </w:pPr>
    </w:p>
    <w:p w14:paraId="42688742" w14:textId="35A9AF33" w:rsidR="00103589" w:rsidRDefault="00DC0F6A" w:rsidP="00103589">
      <w:pPr>
        <w:jc w:val="both"/>
        <w:rPr>
          <w:rFonts w:cstheme="minorHAnsi"/>
          <w:sz w:val="23"/>
          <w:szCs w:val="23"/>
          <w:lang w:val="es-ES"/>
        </w:rPr>
      </w:pPr>
      <w:r>
        <w:rPr>
          <w:rFonts w:cstheme="minorHAnsi"/>
          <w:sz w:val="23"/>
          <w:szCs w:val="23"/>
          <w:lang w:val="es-ES"/>
        </w:rPr>
        <w:t xml:space="preserve">Cabe hacer presente que </w:t>
      </w:r>
      <w:r w:rsidR="008B7DFE">
        <w:rPr>
          <w:rFonts w:cstheme="minorHAnsi"/>
          <w:sz w:val="23"/>
          <w:szCs w:val="23"/>
          <w:lang w:val="es-ES"/>
        </w:rPr>
        <w:t xml:space="preserve">el inicio de </w:t>
      </w:r>
      <w:r w:rsidR="00400BAA">
        <w:rPr>
          <w:rFonts w:cstheme="minorHAnsi"/>
          <w:sz w:val="23"/>
          <w:szCs w:val="23"/>
          <w:lang w:val="es-ES"/>
        </w:rPr>
        <w:t>este procedimiento</w:t>
      </w:r>
      <w:r>
        <w:rPr>
          <w:rFonts w:cstheme="minorHAnsi"/>
          <w:sz w:val="23"/>
          <w:szCs w:val="23"/>
          <w:lang w:val="es-ES"/>
        </w:rPr>
        <w:t xml:space="preserve"> fue notificad</w:t>
      </w:r>
      <w:r w:rsidR="00103589">
        <w:rPr>
          <w:rFonts w:cstheme="minorHAnsi"/>
          <w:sz w:val="23"/>
          <w:szCs w:val="23"/>
          <w:lang w:val="es-ES"/>
        </w:rPr>
        <w:t>o</w:t>
      </w:r>
      <w:r w:rsidR="00400BAA">
        <w:rPr>
          <w:rFonts w:cstheme="minorHAnsi"/>
          <w:sz w:val="23"/>
          <w:szCs w:val="23"/>
          <w:lang w:val="es-ES"/>
        </w:rPr>
        <w:t xml:space="preserve"> a</w:t>
      </w:r>
      <w:r>
        <w:rPr>
          <w:rFonts w:cstheme="minorHAnsi"/>
          <w:sz w:val="23"/>
          <w:szCs w:val="23"/>
          <w:lang w:val="es-ES"/>
        </w:rPr>
        <w:t xml:space="preserve"> la sociedad op</w:t>
      </w:r>
      <w:r w:rsidR="008B7DFE">
        <w:rPr>
          <w:rFonts w:cstheme="minorHAnsi"/>
          <w:sz w:val="23"/>
          <w:szCs w:val="23"/>
          <w:lang w:val="es-ES"/>
        </w:rPr>
        <w:t>eradora</w:t>
      </w:r>
      <w:r w:rsidR="005F6385">
        <w:rPr>
          <w:rFonts w:cstheme="minorHAnsi"/>
          <w:sz w:val="23"/>
          <w:szCs w:val="23"/>
          <w:lang w:val="es-ES"/>
        </w:rPr>
        <w:t xml:space="preserve"> el 6 de agosto</w:t>
      </w:r>
      <w:r w:rsidR="00103589">
        <w:rPr>
          <w:rFonts w:cstheme="minorHAnsi"/>
          <w:sz w:val="23"/>
          <w:szCs w:val="23"/>
          <w:lang w:val="es-ES"/>
        </w:rPr>
        <w:t xml:space="preserve"> y que el </w:t>
      </w:r>
      <w:r w:rsidR="00400BAA">
        <w:rPr>
          <w:rFonts w:cstheme="minorHAnsi"/>
          <w:sz w:val="23"/>
          <w:szCs w:val="23"/>
          <w:lang w:val="es-ES"/>
        </w:rPr>
        <w:t xml:space="preserve">27 de </w:t>
      </w:r>
      <w:r w:rsidR="00103589">
        <w:rPr>
          <w:rFonts w:cstheme="minorHAnsi"/>
          <w:sz w:val="23"/>
          <w:szCs w:val="23"/>
          <w:lang w:val="es-ES"/>
        </w:rPr>
        <w:t>agosto</w:t>
      </w:r>
      <w:r w:rsidR="00400BAA">
        <w:rPr>
          <w:rFonts w:cstheme="minorHAnsi"/>
          <w:sz w:val="23"/>
          <w:szCs w:val="23"/>
          <w:lang w:val="es-ES"/>
        </w:rPr>
        <w:t xml:space="preserve"> de 2021 </w:t>
      </w:r>
      <w:r w:rsidR="008C1E86">
        <w:rPr>
          <w:rFonts w:cstheme="minorHAnsi"/>
          <w:sz w:val="23"/>
          <w:szCs w:val="23"/>
          <w:lang w:val="es-ES"/>
        </w:rPr>
        <w:t xml:space="preserve">aquella </w:t>
      </w:r>
      <w:r w:rsidR="00400BAA">
        <w:rPr>
          <w:rFonts w:cstheme="minorHAnsi"/>
          <w:sz w:val="23"/>
          <w:szCs w:val="23"/>
          <w:lang w:val="es-ES"/>
        </w:rPr>
        <w:t xml:space="preserve">realizó sus descargos. </w:t>
      </w:r>
      <w:r w:rsidR="00103589">
        <w:rPr>
          <w:rFonts w:cstheme="minorHAnsi"/>
          <w:sz w:val="23"/>
          <w:szCs w:val="23"/>
          <w:lang w:val="es-ES"/>
        </w:rPr>
        <w:t xml:space="preserve">En tanto, el </w:t>
      </w:r>
      <w:r w:rsidR="00400BAA">
        <w:rPr>
          <w:rFonts w:cstheme="minorHAnsi"/>
          <w:sz w:val="23"/>
          <w:szCs w:val="23"/>
          <w:lang w:val="es-ES"/>
        </w:rPr>
        <w:t xml:space="preserve">2 de febrero de 2022, </w:t>
      </w:r>
      <w:r w:rsidR="00103589">
        <w:rPr>
          <w:rFonts w:cstheme="minorHAnsi"/>
          <w:sz w:val="23"/>
          <w:szCs w:val="23"/>
          <w:lang w:val="es-ES"/>
        </w:rPr>
        <w:t xml:space="preserve">la Superintendencia elevó los antecedentes al Consejo Resolutivo, el que resolvió de la forma antes señalada. </w:t>
      </w:r>
    </w:p>
    <w:p w14:paraId="73AD7E30" w14:textId="61CEFF0E" w:rsidR="00400BAA" w:rsidRDefault="00400BAA" w:rsidP="00500F09">
      <w:pPr>
        <w:jc w:val="both"/>
        <w:rPr>
          <w:rFonts w:cstheme="minorHAnsi"/>
          <w:sz w:val="23"/>
          <w:szCs w:val="23"/>
          <w:lang w:val="es-ES"/>
        </w:rPr>
      </w:pPr>
    </w:p>
    <w:p w14:paraId="0AC5C38F" w14:textId="41B10006" w:rsidR="00400BAA" w:rsidRDefault="00400BAA" w:rsidP="00400BAA">
      <w:pPr>
        <w:jc w:val="both"/>
        <w:rPr>
          <w:szCs w:val="22"/>
        </w:rPr>
      </w:pPr>
      <w:r>
        <w:rPr>
          <w:rFonts w:cstheme="minorHAnsi"/>
          <w:sz w:val="23"/>
          <w:szCs w:val="23"/>
          <w:lang w:val="es-ES"/>
        </w:rPr>
        <w:t xml:space="preserve">Sin perjuicio de lo anterior, de acuerdo con </w:t>
      </w:r>
      <w:r w:rsidR="00103589">
        <w:rPr>
          <w:rFonts w:cstheme="minorHAnsi"/>
          <w:sz w:val="23"/>
          <w:szCs w:val="23"/>
          <w:lang w:val="es-ES"/>
        </w:rPr>
        <w:t xml:space="preserve">el artículo 34 </w:t>
      </w:r>
      <w:r>
        <w:rPr>
          <w:rFonts w:cstheme="minorHAnsi"/>
          <w:sz w:val="23"/>
          <w:szCs w:val="23"/>
          <w:lang w:val="es-ES"/>
        </w:rPr>
        <w:t xml:space="preserve">de la Ley de Casinos, si el operador </w:t>
      </w:r>
      <w:r>
        <w:rPr>
          <w:szCs w:val="22"/>
        </w:rPr>
        <w:t xml:space="preserve">considera que la revocación de su permiso ha sido injustificada, podrá recurrir ante la Corte de Apelaciones respectiva, dentro del plazo de diez días siguientes a la fecha de notificación de la resolución de revocación, </w:t>
      </w:r>
      <w:r w:rsidR="008C1E86">
        <w:rPr>
          <w:szCs w:val="22"/>
        </w:rPr>
        <w:t>solicitando que se deje sin efecto</w:t>
      </w:r>
      <w:r>
        <w:rPr>
          <w:szCs w:val="22"/>
        </w:rPr>
        <w:t xml:space="preserve">. </w:t>
      </w:r>
    </w:p>
    <w:p w14:paraId="166363D3" w14:textId="7DF94CA5" w:rsidR="00400BAA" w:rsidRDefault="00400BAA" w:rsidP="00400BAA">
      <w:pPr>
        <w:jc w:val="both"/>
        <w:rPr>
          <w:szCs w:val="22"/>
        </w:rPr>
      </w:pPr>
    </w:p>
    <w:p w14:paraId="3A5E9A5D" w14:textId="2CBC7E9E" w:rsidR="006D21C7" w:rsidRDefault="006D21C7" w:rsidP="006D21C7">
      <w:pPr>
        <w:jc w:val="both"/>
        <w:rPr>
          <w:rFonts w:cstheme="minorHAnsi"/>
          <w:sz w:val="23"/>
          <w:szCs w:val="23"/>
          <w:lang w:val="es-ES"/>
        </w:rPr>
      </w:pPr>
      <w:r>
        <w:rPr>
          <w:rFonts w:cstheme="minorHAnsi"/>
          <w:sz w:val="23"/>
          <w:szCs w:val="23"/>
          <w:lang w:val="es-ES"/>
        </w:rPr>
        <w:t>En este contexto, solo una vez que esta resolución</w:t>
      </w:r>
      <w:r w:rsidR="001873E9">
        <w:rPr>
          <w:rFonts w:cstheme="minorHAnsi"/>
          <w:sz w:val="23"/>
          <w:szCs w:val="23"/>
          <w:lang w:val="es-ES"/>
        </w:rPr>
        <w:t xml:space="preserve"> </w:t>
      </w:r>
      <w:r w:rsidR="00F1510E">
        <w:rPr>
          <w:rFonts w:cstheme="minorHAnsi"/>
          <w:sz w:val="23"/>
          <w:szCs w:val="23"/>
          <w:lang w:val="es-ES"/>
        </w:rPr>
        <w:t xml:space="preserve">emitida </w:t>
      </w:r>
      <w:r w:rsidR="001873E9">
        <w:rPr>
          <w:rFonts w:cstheme="minorHAnsi"/>
          <w:sz w:val="23"/>
          <w:szCs w:val="23"/>
          <w:lang w:val="es-ES"/>
        </w:rPr>
        <w:t xml:space="preserve">por la Superintendencia </w:t>
      </w:r>
      <w:r w:rsidR="00D62459">
        <w:rPr>
          <w:rFonts w:cstheme="minorHAnsi"/>
          <w:sz w:val="23"/>
          <w:szCs w:val="23"/>
          <w:lang w:val="es-ES"/>
        </w:rPr>
        <w:t>-</w:t>
      </w:r>
      <w:r w:rsidR="001873E9">
        <w:rPr>
          <w:rFonts w:cstheme="minorHAnsi"/>
          <w:sz w:val="23"/>
          <w:szCs w:val="23"/>
          <w:lang w:val="es-ES"/>
        </w:rPr>
        <w:t xml:space="preserve">el 10 de marzo pasado-, </w:t>
      </w:r>
      <w:r w:rsidRPr="0048199C">
        <w:rPr>
          <w:rFonts w:cstheme="minorHAnsi"/>
          <w:sz w:val="23"/>
          <w:szCs w:val="23"/>
          <w:lang w:val="es-ES"/>
        </w:rPr>
        <w:t>se encuentre ejecutoriad</w:t>
      </w:r>
      <w:r>
        <w:rPr>
          <w:rFonts w:cstheme="minorHAnsi"/>
          <w:sz w:val="23"/>
          <w:szCs w:val="23"/>
          <w:lang w:val="es-ES"/>
        </w:rPr>
        <w:t>a</w:t>
      </w:r>
      <w:r w:rsidRPr="0048199C">
        <w:rPr>
          <w:rFonts w:cstheme="minorHAnsi"/>
          <w:sz w:val="23"/>
          <w:szCs w:val="23"/>
          <w:lang w:val="es-ES"/>
        </w:rPr>
        <w:t xml:space="preserve">, corresponde proceder al cobro de las garantías, </w:t>
      </w:r>
      <w:r>
        <w:rPr>
          <w:rFonts w:cstheme="minorHAnsi"/>
          <w:sz w:val="23"/>
          <w:szCs w:val="23"/>
          <w:lang w:val="es-ES"/>
        </w:rPr>
        <w:t xml:space="preserve">las </w:t>
      </w:r>
      <w:r w:rsidRPr="0048199C">
        <w:rPr>
          <w:rFonts w:cstheme="minorHAnsi"/>
          <w:sz w:val="23"/>
          <w:szCs w:val="23"/>
          <w:lang w:val="es-ES"/>
        </w:rPr>
        <w:t>que deben mantenerse en todo momento vigentes por parte de la sociedad operador</w:t>
      </w:r>
      <w:r>
        <w:rPr>
          <w:rFonts w:cstheme="minorHAnsi"/>
          <w:sz w:val="23"/>
          <w:szCs w:val="23"/>
          <w:lang w:val="es-ES"/>
        </w:rPr>
        <w:t>a.</w:t>
      </w:r>
    </w:p>
    <w:p w14:paraId="7A660AA4" w14:textId="77777777" w:rsidR="00400BAA" w:rsidRDefault="00400BAA" w:rsidP="00400BAA">
      <w:pPr>
        <w:jc w:val="both"/>
        <w:rPr>
          <w:rFonts w:cstheme="minorHAnsi"/>
          <w:sz w:val="23"/>
          <w:szCs w:val="23"/>
          <w:lang w:val="es-ES"/>
        </w:rPr>
      </w:pPr>
    </w:p>
    <w:p w14:paraId="37B33DE0" w14:textId="3F3C0932" w:rsidR="00400BAA" w:rsidRDefault="00400BAA" w:rsidP="00400BAA">
      <w:pPr>
        <w:jc w:val="both"/>
        <w:rPr>
          <w:rFonts w:cstheme="minorHAnsi"/>
          <w:sz w:val="23"/>
          <w:szCs w:val="23"/>
          <w:lang w:val="es-ES"/>
        </w:rPr>
      </w:pPr>
      <w:r>
        <w:rPr>
          <w:rFonts w:cstheme="minorHAnsi"/>
          <w:sz w:val="23"/>
          <w:szCs w:val="23"/>
          <w:lang w:val="es-ES"/>
        </w:rPr>
        <w:t xml:space="preserve">Finalmente, cabe señalar que </w:t>
      </w:r>
      <w:r w:rsidR="008B7DFE">
        <w:rPr>
          <w:rFonts w:cstheme="minorHAnsi"/>
          <w:sz w:val="23"/>
          <w:szCs w:val="23"/>
          <w:lang w:val="es-ES"/>
        </w:rPr>
        <w:t>de acuerdo</w:t>
      </w:r>
      <w:r w:rsidR="006D21C7">
        <w:rPr>
          <w:rFonts w:cstheme="minorHAnsi"/>
          <w:sz w:val="23"/>
          <w:szCs w:val="23"/>
          <w:lang w:val="es-ES"/>
        </w:rPr>
        <w:t xml:space="preserve"> con </w:t>
      </w:r>
      <w:r>
        <w:rPr>
          <w:rFonts w:cstheme="minorHAnsi"/>
          <w:sz w:val="23"/>
          <w:szCs w:val="23"/>
          <w:lang w:val="es-ES"/>
        </w:rPr>
        <w:t>la Circular N°84 de la SCJ de 2017, el actual concesionario del Casino Municipal de Puerto Varas podrá seguir funcionando, hasta que el nuevo operador del casino que debe ser licitado entre en funcionamiento.</w:t>
      </w:r>
    </w:p>
    <w:sectPr w:rsidR="00400BAA" w:rsidSect="0067496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16C31" w14:textId="77777777" w:rsidR="00692421" w:rsidRDefault="00692421" w:rsidP="008375BD">
      <w:r>
        <w:separator/>
      </w:r>
    </w:p>
  </w:endnote>
  <w:endnote w:type="continuationSeparator" w:id="0">
    <w:p w14:paraId="032782CD" w14:textId="77777777" w:rsidR="00692421" w:rsidRDefault="00692421" w:rsidP="0083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24540" w14:textId="77777777" w:rsidR="00692421" w:rsidRDefault="00692421" w:rsidP="008375BD">
      <w:r>
        <w:separator/>
      </w:r>
    </w:p>
  </w:footnote>
  <w:footnote w:type="continuationSeparator" w:id="0">
    <w:p w14:paraId="4E9673A0" w14:textId="77777777" w:rsidR="00692421" w:rsidRDefault="00692421" w:rsidP="00837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4F04" w14:textId="77777777" w:rsidR="008375BD" w:rsidRDefault="008375BD" w:rsidP="008375BD">
    <w:pPr>
      <w:pStyle w:val="Encabezado"/>
      <w:jc w:val="right"/>
    </w:pPr>
    <w:r w:rsidRPr="000F2490">
      <w:rPr>
        <w:noProof/>
        <w:lang w:eastAsia="es-CL"/>
      </w:rPr>
      <w:drawing>
        <wp:inline distT="0" distB="0" distL="0" distR="0" wp14:anchorId="061CAD96" wp14:editId="153BFE21">
          <wp:extent cx="2453640" cy="661035"/>
          <wp:effectExtent l="0" t="0" r="0" b="0"/>
          <wp:docPr id="2" name="Imagen 1" descr="SCJ_marca_principal-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CJ_marca_principal-0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640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472E"/>
    <w:multiLevelType w:val="hybridMultilevel"/>
    <w:tmpl w:val="C5305D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E15FD"/>
    <w:multiLevelType w:val="hybridMultilevel"/>
    <w:tmpl w:val="8A7AE39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46E6D"/>
    <w:multiLevelType w:val="hybridMultilevel"/>
    <w:tmpl w:val="6FF8E4BA"/>
    <w:lvl w:ilvl="0" w:tplc="1466E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10BE0"/>
    <w:multiLevelType w:val="hybridMultilevel"/>
    <w:tmpl w:val="E8882AF0"/>
    <w:lvl w:ilvl="0" w:tplc="9B580E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01463"/>
    <w:multiLevelType w:val="hybridMultilevel"/>
    <w:tmpl w:val="7B34F78E"/>
    <w:lvl w:ilvl="0" w:tplc="2EEC8D6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52"/>
    <w:rsid w:val="00053336"/>
    <w:rsid w:val="000536EA"/>
    <w:rsid w:val="000934C6"/>
    <w:rsid w:val="000B4973"/>
    <w:rsid w:val="0010065C"/>
    <w:rsid w:val="00103589"/>
    <w:rsid w:val="00126B5A"/>
    <w:rsid w:val="001847F6"/>
    <w:rsid w:val="001873E9"/>
    <w:rsid w:val="001975D0"/>
    <w:rsid w:val="001E4324"/>
    <w:rsid w:val="001E5D23"/>
    <w:rsid w:val="00213DBA"/>
    <w:rsid w:val="002248E1"/>
    <w:rsid w:val="002376E0"/>
    <w:rsid w:val="00283548"/>
    <w:rsid w:val="00287E18"/>
    <w:rsid w:val="002A1572"/>
    <w:rsid w:val="002C4B57"/>
    <w:rsid w:val="002D3B2F"/>
    <w:rsid w:val="002E1D95"/>
    <w:rsid w:val="002E2B18"/>
    <w:rsid w:val="002E7931"/>
    <w:rsid w:val="002F1EE5"/>
    <w:rsid w:val="002F4AAD"/>
    <w:rsid w:val="00315CE6"/>
    <w:rsid w:val="00325A17"/>
    <w:rsid w:val="00362C82"/>
    <w:rsid w:val="003638BA"/>
    <w:rsid w:val="003747A5"/>
    <w:rsid w:val="003A52AE"/>
    <w:rsid w:val="003C39B6"/>
    <w:rsid w:val="003E5688"/>
    <w:rsid w:val="003F04CC"/>
    <w:rsid w:val="003F697E"/>
    <w:rsid w:val="00400BAA"/>
    <w:rsid w:val="00422A51"/>
    <w:rsid w:val="00423BA0"/>
    <w:rsid w:val="00437776"/>
    <w:rsid w:val="0048199C"/>
    <w:rsid w:val="004B4CA3"/>
    <w:rsid w:val="00500DC7"/>
    <w:rsid w:val="00500F09"/>
    <w:rsid w:val="00517B0E"/>
    <w:rsid w:val="00542F94"/>
    <w:rsid w:val="00585C12"/>
    <w:rsid w:val="00587F11"/>
    <w:rsid w:val="005A322C"/>
    <w:rsid w:val="005B7C41"/>
    <w:rsid w:val="005E4252"/>
    <w:rsid w:val="005F3E90"/>
    <w:rsid w:val="005F6385"/>
    <w:rsid w:val="00621797"/>
    <w:rsid w:val="00674961"/>
    <w:rsid w:val="006917D5"/>
    <w:rsid w:val="00692421"/>
    <w:rsid w:val="006B701B"/>
    <w:rsid w:val="006D21C7"/>
    <w:rsid w:val="00715601"/>
    <w:rsid w:val="00762BF9"/>
    <w:rsid w:val="00774636"/>
    <w:rsid w:val="007B6101"/>
    <w:rsid w:val="007C358A"/>
    <w:rsid w:val="00814DF0"/>
    <w:rsid w:val="00832F42"/>
    <w:rsid w:val="008375BD"/>
    <w:rsid w:val="0088282F"/>
    <w:rsid w:val="008B7DFE"/>
    <w:rsid w:val="008C1E86"/>
    <w:rsid w:val="008F2648"/>
    <w:rsid w:val="008F5E9B"/>
    <w:rsid w:val="00922E2D"/>
    <w:rsid w:val="00960571"/>
    <w:rsid w:val="00A21169"/>
    <w:rsid w:val="00AD0D78"/>
    <w:rsid w:val="00AF7D5F"/>
    <w:rsid w:val="00B126CD"/>
    <w:rsid w:val="00B37B51"/>
    <w:rsid w:val="00B95852"/>
    <w:rsid w:val="00B962A3"/>
    <w:rsid w:val="00C11AB5"/>
    <w:rsid w:val="00C218BF"/>
    <w:rsid w:val="00C26F35"/>
    <w:rsid w:val="00C27434"/>
    <w:rsid w:val="00C50476"/>
    <w:rsid w:val="00C57EF1"/>
    <w:rsid w:val="00C97A60"/>
    <w:rsid w:val="00CB6337"/>
    <w:rsid w:val="00CB668E"/>
    <w:rsid w:val="00CD531C"/>
    <w:rsid w:val="00CE5519"/>
    <w:rsid w:val="00CE5B47"/>
    <w:rsid w:val="00CF65E3"/>
    <w:rsid w:val="00D117DC"/>
    <w:rsid w:val="00D240B0"/>
    <w:rsid w:val="00D276F6"/>
    <w:rsid w:val="00D62459"/>
    <w:rsid w:val="00DA4D30"/>
    <w:rsid w:val="00DB6BEB"/>
    <w:rsid w:val="00DC0F6A"/>
    <w:rsid w:val="00DF6DFC"/>
    <w:rsid w:val="00E00F6B"/>
    <w:rsid w:val="00E12488"/>
    <w:rsid w:val="00E338FD"/>
    <w:rsid w:val="00E64245"/>
    <w:rsid w:val="00EA048B"/>
    <w:rsid w:val="00EB23E3"/>
    <w:rsid w:val="00EC4F1D"/>
    <w:rsid w:val="00EF6E47"/>
    <w:rsid w:val="00F1510E"/>
    <w:rsid w:val="00F70654"/>
    <w:rsid w:val="00F91DDB"/>
    <w:rsid w:val="00F93C51"/>
    <w:rsid w:val="00F93DEE"/>
    <w:rsid w:val="00F950A0"/>
    <w:rsid w:val="00F9706C"/>
    <w:rsid w:val="00FA2EA3"/>
    <w:rsid w:val="00FA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E4E7F"/>
  <w15:chartTrackingRefBased/>
  <w15:docId w15:val="{B3350FCB-F8E8-F14E-A29C-AB7D6F37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B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75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5BD"/>
  </w:style>
  <w:style w:type="paragraph" w:styleId="Piedepgina">
    <w:name w:val="footer"/>
    <w:basedOn w:val="Normal"/>
    <w:link w:val="PiedepginaCar"/>
    <w:uiPriority w:val="99"/>
    <w:unhideWhenUsed/>
    <w:rsid w:val="008375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5BD"/>
  </w:style>
  <w:style w:type="paragraph" w:styleId="Prrafodelista">
    <w:name w:val="List Paragraph"/>
    <w:basedOn w:val="Normal"/>
    <w:uiPriority w:val="34"/>
    <w:qFormat/>
    <w:rsid w:val="001975D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F7D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F7D5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F7D5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7D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7D5F"/>
    <w:rPr>
      <w:b/>
      <w:bCs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B7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B701B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2376E0"/>
  </w:style>
  <w:style w:type="paragraph" w:styleId="Textodeglobo">
    <w:name w:val="Balloon Text"/>
    <w:basedOn w:val="Normal"/>
    <w:link w:val="TextodegloboCar"/>
    <w:uiPriority w:val="99"/>
    <w:semiHidden/>
    <w:unhideWhenUsed/>
    <w:rsid w:val="00400BA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4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2083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Gatica</dc:creator>
  <cp:keywords/>
  <dc:description/>
  <cp:lastModifiedBy>Desiree Navia</cp:lastModifiedBy>
  <cp:revision>2</cp:revision>
  <cp:lastPrinted>2022-03-10T20:19:00Z</cp:lastPrinted>
  <dcterms:created xsi:type="dcterms:W3CDTF">2022-03-15T14:13:00Z</dcterms:created>
  <dcterms:modified xsi:type="dcterms:W3CDTF">2022-03-15T14:13:00Z</dcterms:modified>
</cp:coreProperties>
</file>