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0EC26" w14:textId="79264218" w:rsidR="0027633E" w:rsidRDefault="00B67DE2" w:rsidP="00536AD9">
      <w:pPr>
        <w:pStyle w:val="Ttulo1"/>
        <w:tabs>
          <w:tab w:val="left" w:pos="0"/>
        </w:tabs>
        <w:rPr>
          <w:sz w:val="28"/>
          <w:szCs w:val="28"/>
        </w:rPr>
      </w:pPr>
      <w:r>
        <w:rPr>
          <w:sz w:val="28"/>
          <w:szCs w:val="28"/>
        </w:rPr>
        <w:t>Aporte tributario de los c</w:t>
      </w:r>
      <w:r w:rsidR="00536AD9" w:rsidRPr="00FF1CAB">
        <w:rPr>
          <w:sz w:val="28"/>
          <w:szCs w:val="28"/>
        </w:rPr>
        <w:t xml:space="preserve">asinos </w:t>
      </w:r>
      <w:r w:rsidR="00536AD9" w:rsidRPr="009C3A3E">
        <w:rPr>
          <w:sz w:val="28"/>
          <w:szCs w:val="28"/>
        </w:rPr>
        <w:t>de juego</w:t>
      </w:r>
      <w:r w:rsidR="00CF73CD" w:rsidRPr="009C3A3E">
        <w:rPr>
          <w:sz w:val="28"/>
          <w:szCs w:val="28"/>
        </w:rPr>
        <w:t xml:space="preserve"> autorizados por la ley N°19.995</w:t>
      </w:r>
      <w:r w:rsidR="001914DF" w:rsidRPr="009C3A3E">
        <w:rPr>
          <w:sz w:val="28"/>
          <w:szCs w:val="28"/>
        </w:rPr>
        <w:t xml:space="preserve"> </w:t>
      </w:r>
      <w:r w:rsidR="00BC3A5E">
        <w:rPr>
          <w:sz w:val="28"/>
          <w:szCs w:val="28"/>
        </w:rPr>
        <w:t>alcanza</w:t>
      </w:r>
      <w:r>
        <w:rPr>
          <w:sz w:val="28"/>
          <w:szCs w:val="28"/>
        </w:rPr>
        <w:t xml:space="preserve"> los</w:t>
      </w:r>
      <w:r w:rsidR="000E1640">
        <w:rPr>
          <w:sz w:val="28"/>
          <w:szCs w:val="28"/>
        </w:rPr>
        <w:t xml:space="preserve"> $ </w:t>
      </w:r>
      <w:r w:rsidR="00BC3A5E">
        <w:rPr>
          <w:sz w:val="28"/>
          <w:szCs w:val="28"/>
        </w:rPr>
        <w:t>14</w:t>
      </w:r>
      <w:r w:rsidR="000E1640">
        <w:rPr>
          <w:sz w:val="28"/>
          <w:szCs w:val="28"/>
        </w:rPr>
        <w:t>.</w:t>
      </w:r>
      <w:r w:rsidR="00BC3A5E">
        <w:rPr>
          <w:sz w:val="28"/>
          <w:szCs w:val="28"/>
        </w:rPr>
        <w:t>4</w:t>
      </w:r>
      <w:r w:rsidR="00F243A1">
        <w:rPr>
          <w:sz w:val="28"/>
          <w:szCs w:val="28"/>
        </w:rPr>
        <w:t>11</w:t>
      </w:r>
      <w:r w:rsidR="001914DF" w:rsidRPr="009C3A3E">
        <w:rPr>
          <w:sz w:val="28"/>
          <w:szCs w:val="28"/>
        </w:rPr>
        <w:t xml:space="preserve"> millones</w:t>
      </w:r>
      <w:r w:rsidR="00787820" w:rsidRPr="009C3A3E">
        <w:rPr>
          <w:sz w:val="28"/>
          <w:szCs w:val="28"/>
        </w:rPr>
        <w:t xml:space="preserve"> </w:t>
      </w:r>
      <w:r w:rsidR="000E1640">
        <w:rPr>
          <w:sz w:val="28"/>
          <w:szCs w:val="28"/>
        </w:rPr>
        <w:t>e</w:t>
      </w:r>
      <w:r w:rsidR="00BC3A5E">
        <w:rPr>
          <w:sz w:val="28"/>
          <w:szCs w:val="28"/>
        </w:rPr>
        <w:t>n enero</w:t>
      </w:r>
      <w:r w:rsidR="00787820" w:rsidRPr="009C3A3E">
        <w:rPr>
          <w:sz w:val="28"/>
          <w:szCs w:val="28"/>
        </w:rPr>
        <w:t xml:space="preserve"> </w:t>
      </w:r>
      <w:r w:rsidR="00BC3A5E">
        <w:rPr>
          <w:sz w:val="28"/>
          <w:szCs w:val="28"/>
        </w:rPr>
        <w:t xml:space="preserve">de </w:t>
      </w:r>
      <w:r w:rsidR="00787820" w:rsidRPr="009C3A3E">
        <w:rPr>
          <w:sz w:val="28"/>
          <w:szCs w:val="28"/>
        </w:rPr>
        <w:t>202</w:t>
      </w:r>
      <w:r w:rsidR="00BC3A5E">
        <w:rPr>
          <w:sz w:val="28"/>
          <w:szCs w:val="28"/>
        </w:rPr>
        <w:t>2.</w:t>
      </w:r>
    </w:p>
    <w:p w14:paraId="671B6DB7" w14:textId="75B14873" w:rsidR="00841E68" w:rsidRPr="009C3A3E" w:rsidRDefault="0028027D" w:rsidP="00D17B24">
      <w:pPr>
        <w:pStyle w:val="Ttulo1"/>
        <w:numPr>
          <w:ilvl w:val="0"/>
          <w:numId w:val="6"/>
        </w:numPr>
        <w:tabs>
          <w:tab w:val="left" w:pos="0"/>
        </w:tabs>
        <w:ind w:left="284" w:hanging="284"/>
        <w:rPr>
          <w:i/>
          <w:sz w:val="22"/>
        </w:rPr>
      </w:pPr>
      <w:r w:rsidRPr="009C3A3E">
        <w:rPr>
          <w:i/>
          <w:sz w:val="22"/>
        </w:rPr>
        <w:t>La recaudación s</w:t>
      </w:r>
      <w:r w:rsidR="00CF73CD" w:rsidRPr="009C3A3E">
        <w:rPr>
          <w:i/>
          <w:sz w:val="22"/>
        </w:rPr>
        <w:t>e</w:t>
      </w:r>
      <w:r w:rsidR="001914DF" w:rsidRPr="009C3A3E">
        <w:rPr>
          <w:i/>
          <w:sz w:val="22"/>
        </w:rPr>
        <w:t xml:space="preserve"> distribuye en $</w:t>
      </w:r>
      <w:r w:rsidR="00BC3A5E">
        <w:rPr>
          <w:i/>
          <w:sz w:val="22"/>
        </w:rPr>
        <w:t>6</w:t>
      </w:r>
      <w:r w:rsidR="00496A03">
        <w:rPr>
          <w:i/>
          <w:sz w:val="22"/>
        </w:rPr>
        <w:t>.</w:t>
      </w:r>
      <w:r w:rsidR="00F243A1">
        <w:rPr>
          <w:i/>
          <w:sz w:val="22"/>
        </w:rPr>
        <w:t>547</w:t>
      </w:r>
      <w:r w:rsidR="001914DF" w:rsidRPr="009C3A3E">
        <w:rPr>
          <w:i/>
          <w:sz w:val="22"/>
        </w:rPr>
        <w:t xml:space="preserve"> millones pagados por los casinos 19.995</w:t>
      </w:r>
      <w:r w:rsidR="00CF73CD" w:rsidRPr="009C3A3E">
        <w:rPr>
          <w:i/>
          <w:sz w:val="22"/>
        </w:rPr>
        <w:t xml:space="preserve"> a las</w:t>
      </w:r>
      <w:r w:rsidR="001914DF" w:rsidRPr="009C3A3E">
        <w:rPr>
          <w:i/>
          <w:sz w:val="22"/>
        </w:rPr>
        <w:t xml:space="preserve"> comunas y gobierno</w:t>
      </w:r>
      <w:r w:rsidR="00B37D4B">
        <w:rPr>
          <w:i/>
          <w:sz w:val="22"/>
        </w:rPr>
        <w:t>s</w:t>
      </w:r>
      <w:r w:rsidR="001914DF" w:rsidRPr="009C3A3E">
        <w:rPr>
          <w:i/>
          <w:sz w:val="22"/>
        </w:rPr>
        <w:t xml:space="preserve"> regionales en que se ubican</w:t>
      </w:r>
      <w:r w:rsidR="00B37D4B">
        <w:rPr>
          <w:i/>
          <w:sz w:val="22"/>
        </w:rPr>
        <w:t>,</w:t>
      </w:r>
      <w:r w:rsidR="00186B7F" w:rsidRPr="009C3A3E">
        <w:rPr>
          <w:i/>
          <w:sz w:val="22"/>
        </w:rPr>
        <w:t xml:space="preserve"> $</w:t>
      </w:r>
      <w:r w:rsidR="006B63F1">
        <w:rPr>
          <w:i/>
          <w:sz w:val="22"/>
        </w:rPr>
        <w:t>6.230</w:t>
      </w:r>
      <w:r w:rsidR="00186B7F" w:rsidRPr="009C3A3E">
        <w:rPr>
          <w:i/>
          <w:sz w:val="22"/>
        </w:rPr>
        <w:t xml:space="preserve"> millones en</w:t>
      </w:r>
      <w:r w:rsidRPr="009C3A3E">
        <w:rPr>
          <w:i/>
          <w:sz w:val="22"/>
        </w:rPr>
        <w:t xml:space="preserve"> IVA al juego y</w:t>
      </w:r>
      <w:r w:rsidR="001914DF" w:rsidRPr="009C3A3E">
        <w:rPr>
          <w:i/>
          <w:sz w:val="22"/>
        </w:rPr>
        <w:t xml:space="preserve"> $</w:t>
      </w:r>
      <w:r w:rsidR="00BC3A5E">
        <w:rPr>
          <w:i/>
          <w:sz w:val="22"/>
        </w:rPr>
        <w:t>1.</w:t>
      </w:r>
      <w:r w:rsidR="006B63F1">
        <w:rPr>
          <w:i/>
          <w:sz w:val="22"/>
        </w:rPr>
        <w:t>634</w:t>
      </w:r>
      <w:r w:rsidR="001914DF" w:rsidRPr="009C3A3E">
        <w:rPr>
          <w:i/>
          <w:sz w:val="22"/>
        </w:rPr>
        <w:t xml:space="preserve"> millones en </w:t>
      </w:r>
      <w:r w:rsidRPr="009C3A3E">
        <w:rPr>
          <w:i/>
          <w:sz w:val="22"/>
        </w:rPr>
        <w:t>impuesto a las entradas.</w:t>
      </w:r>
    </w:p>
    <w:p w14:paraId="7C5D1B25" w14:textId="20BEBF4A" w:rsidR="00496A03" w:rsidRDefault="003A4081" w:rsidP="00496A03">
      <w:pPr>
        <w:pStyle w:val="Ttulo1"/>
        <w:numPr>
          <w:ilvl w:val="0"/>
          <w:numId w:val="6"/>
        </w:numPr>
        <w:tabs>
          <w:tab w:val="left" w:pos="0"/>
        </w:tabs>
        <w:ind w:left="284" w:hanging="284"/>
        <w:rPr>
          <w:i/>
          <w:sz w:val="22"/>
        </w:rPr>
      </w:pPr>
      <w:r>
        <w:rPr>
          <w:i/>
          <w:sz w:val="22"/>
        </w:rPr>
        <w:t xml:space="preserve"> </w:t>
      </w:r>
      <w:r w:rsidR="00BC3A5E">
        <w:rPr>
          <w:i/>
          <w:sz w:val="22"/>
        </w:rPr>
        <w:t>Los resultados del mes de</w:t>
      </w:r>
      <w:r w:rsidR="00EC3C2C">
        <w:rPr>
          <w:i/>
          <w:sz w:val="22"/>
        </w:rPr>
        <w:t xml:space="preserve"> </w:t>
      </w:r>
      <w:r w:rsidR="00BC3A5E">
        <w:rPr>
          <w:i/>
          <w:sz w:val="22"/>
        </w:rPr>
        <w:t>enero</w:t>
      </w:r>
      <w:r w:rsidR="00EC3C2C">
        <w:rPr>
          <w:i/>
          <w:sz w:val="22"/>
        </w:rPr>
        <w:t xml:space="preserve"> </w:t>
      </w:r>
      <w:r w:rsidR="00F243A1">
        <w:rPr>
          <w:i/>
          <w:sz w:val="22"/>
        </w:rPr>
        <w:t xml:space="preserve">2022 </w:t>
      </w:r>
      <w:r w:rsidR="00BC3A5E">
        <w:rPr>
          <w:i/>
          <w:sz w:val="22"/>
        </w:rPr>
        <w:t>son similares a los observados previo a la pandemia para la misma época del año</w:t>
      </w:r>
      <w:r w:rsidR="00EC3C2C">
        <w:rPr>
          <w:i/>
          <w:sz w:val="22"/>
        </w:rPr>
        <w:t>.</w:t>
      </w:r>
    </w:p>
    <w:p w14:paraId="39B5FAA9" w14:textId="6426A09D" w:rsidR="00496A03" w:rsidRDefault="00496A03" w:rsidP="00496A03">
      <w:pPr>
        <w:tabs>
          <w:tab w:val="left" w:pos="0"/>
        </w:tabs>
        <w:spacing w:after="0" w:line="240" w:lineRule="auto"/>
        <w:rPr>
          <w:rFonts w:cstheme="minorHAnsi"/>
        </w:rPr>
      </w:pPr>
    </w:p>
    <w:p w14:paraId="68B6AEFF" w14:textId="77777777" w:rsidR="00A913BC" w:rsidRPr="009C3A3E" w:rsidRDefault="00A913BC" w:rsidP="00A913BC">
      <w:pPr>
        <w:tabs>
          <w:tab w:val="left" w:pos="-720"/>
          <w:tab w:val="left" w:pos="284"/>
        </w:tabs>
        <w:spacing w:after="0" w:line="240" w:lineRule="auto"/>
        <w:rPr>
          <w:b/>
          <w:bCs/>
        </w:rPr>
      </w:pPr>
      <w:r w:rsidRPr="009C3A3E">
        <w:rPr>
          <w:b/>
          <w:bCs/>
        </w:rPr>
        <w:t>Ingresos y visitas</w:t>
      </w:r>
    </w:p>
    <w:p w14:paraId="43645D07" w14:textId="77777777" w:rsidR="00A913BC" w:rsidRPr="009C3A3E" w:rsidRDefault="00A913BC" w:rsidP="00A913BC">
      <w:pPr>
        <w:tabs>
          <w:tab w:val="left" w:pos="-720"/>
          <w:tab w:val="left" w:pos="284"/>
        </w:tabs>
        <w:spacing w:after="0" w:line="240" w:lineRule="auto"/>
        <w:rPr>
          <w:b/>
          <w:bCs/>
        </w:rPr>
      </w:pPr>
    </w:p>
    <w:p w14:paraId="7C51C110" w14:textId="75BE3957" w:rsidR="00A913BC" w:rsidRDefault="00A913BC" w:rsidP="00A913BC">
      <w:pPr>
        <w:tabs>
          <w:tab w:val="left" w:pos="-720"/>
          <w:tab w:val="left" w:pos="284"/>
        </w:tabs>
        <w:spacing w:after="0" w:line="240" w:lineRule="auto"/>
        <w:rPr>
          <w:rFonts w:ascii="Calibri" w:hAnsi="Calibri" w:cs="Calibri"/>
          <w:lang w:eastAsia="es-CL"/>
        </w:rPr>
      </w:pPr>
      <w:r w:rsidRPr="009C3A3E">
        <w:t>Los casinos de juego registraron ingresos brutos del juego (</w:t>
      </w:r>
      <w:proofErr w:type="spellStart"/>
      <w:r w:rsidRPr="009C3A3E">
        <w:t>win</w:t>
      </w:r>
      <w:proofErr w:type="spellEnd"/>
      <w:r w:rsidRPr="009C3A3E">
        <w:t>) por $</w:t>
      </w:r>
      <w:r>
        <w:t>46.854</w:t>
      </w:r>
      <w:r w:rsidRPr="009C3A3E">
        <w:t xml:space="preserve"> millones</w:t>
      </w:r>
      <w:r>
        <w:t xml:space="preserve"> en enero de 2022. L</w:t>
      </w:r>
      <w:r w:rsidRPr="004C5EE7">
        <w:rPr>
          <w:rFonts w:ascii="Calibri" w:hAnsi="Calibri" w:cs="Calibri"/>
          <w:lang w:eastAsia="es-CL"/>
        </w:rPr>
        <w:t>os ingresos</w:t>
      </w:r>
      <w:r>
        <w:rPr>
          <w:rFonts w:ascii="Calibri" w:hAnsi="Calibri" w:cs="Calibri"/>
          <w:lang w:eastAsia="es-CL"/>
        </w:rPr>
        <w:t xml:space="preserve"> del mes</w:t>
      </w:r>
      <w:r w:rsidRPr="004C5EE7">
        <w:rPr>
          <w:rFonts w:ascii="Calibri" w:hAnsi="Calibri" w:cs="Calibri"/>
          <w:lang w:eastAsia="es-CL"/>
        </w:rPr>
        <w:t xml:space="preserve">, en términos reales, </w:t>
      </w:r>
      <w:r>
        <w:rPr>
          <w:rFonts w:ascii="Calibri" w:hAnsi="Calibri" w:cs="Calibri"/>
          <w:lang w:eastAsia="es-CL"/>
        </w:rPr>
        <w:t xml:space="preserve">fueron un </w:t>
      </w:r>
      <w:r w:rsidR="00372D81">
        <w:rPr>
          <w:rFonts w:ascii="Calibri" w:hAnsi="Calibri" w:cs="Calibri"/>
          <w:lang w:eastAsia="es-CL"/>
        </w:rPr>
        <w:t>2,4</w:t>
      </w:r>
      <w:r w:rsidRPr="004C5EE7">
        <w:rPr>
          <w:rFonts w:ascii="Calibri" w:hAnsi="Calibri" w:cs="Calibri"/>
          <w:lang w:eastAsia="es-CL"/>
        </w:rPr>
        <w:t xml:space="preserve">% </w:t>
      </w:r>
      <w:r>
        <w:rPr>
          <w:rFonts w:ascii="Calibri" w:hAnsi="Calibri" w:cs="Calibri"/>
          <w:lang w:eastAsia="es-CL"/>
        </w:rPr>
        <w:t>m</w:t>
      </w:r>
      <w:r w:rsidR="00372D81">
        <w:rPr>
          <w:rFonts w:ascii="Calibri" w:hAnsi="Calibri" w:cs="Calibri"/>
          <w:lang w:eastAsia="es-CL"/>
        </w:rPr>
        <w:t>enores</w:t>
      </w:r>
      <w:r>
        <w:rPr>
          <w:rFonts w:ascii="Calibri" w:hAnsi="Calibri" w:cs="Calibri"/>
          <w:lang w:eastAsia="es-CL"/>
        </w:rPr>
        <w:t xml:space="preserve"> de </w:t>
      </w:r>
      <w:r w:rsidRPr="004C5EE7">
        <w:rPr>
          <w:rFonts w:ascii="Calibri" w:hAnsi="Calibri" w:cs="Calibri"/>
          <w:lang w:eastAsia="es-CL"/>
        </w:rPr>
        <w:t>lo</w:t>
      </w:r>
      <w:r>
        <w:rPr>
          <w:rFonts w:ascii="Calibri" w:hAnsi="Calibri" w:cs="Calibri"/>
          <w:lang w:eastAsia="es-CL"/>
        </w:rPr>
        <w:t>s</w:t>
      </w:r>
      <w:r w:rsidRPr="004C5EE7">
        <w:rPr>
          <w:rFonts w:ascii="Calibri" w:hAnsi="Calibri" w:cs="Calibri"/>
          <w:lang w:eastAsia="es-CL"/>
        </w:rPr>
        <w:t xml:space="preserve"> obtenido en </w:t>
      </w:r>
      <w:r w:rsidR="00372D81">
        <w:rPr>
          <w:rFonts w:ascii="Calibri" w:hAnsi="Calibri" w:cs="Calibri"/>
          <w:lang w:eastAsia="es-CL"/>
        </w:rPr>
        <w:t>enero</w:t>
      </w:r>
      <w:r w:rsidRPr="004C5EE7">
        <w:rPr>
          <w:rFonts w:ascii="Calibri" w:hAnsi="Calibri" w:cs="Calibri"/>
          <w:lang w:eastAsia="es-CL"/>
        </w:rPr>
        <w:t xml:space="preserve"> de 20</w:t>
      </w:r>
      <w:r>
        <w:rPr>
          <w:rFonts w:ascii="Calibri" w:hAnsi="Calibri" w:cs="Calibri"/>
          <w:lang w:eastAsia="es-CL"/>
        </w:rPr>
        <w:t>20</w:t>
      </w:r>
      <w:r w:rsidR="00372D81">
        <w:rPr>
          <w:rFonts w:ascii="Calibri" w:hAnsi="Calibri" w:cs="Calibri"/>
          <w:lang w:eastAsia="es-CL"/>
        </w:rPr>
        <w:t>, previo a la pandemia</w:t>
      </w:r>
      <w:r>
        <w:rPr>
          <w:rFonts w:ascii="Calibri" w:hAnsi="Calibri" w:cs="Calibri"/>
          <w:lang w:eastAsia="es-CL"/>
        </w:rPr>
        <w:t xml:space="preserve">. Mientras que los ingresos fueron 4,5 veces los percibidos en </w:t>
      </w:r>
      <w:r w:rsidR="00372D81">
        <w:rPr>
          <w:rFonts w:ascii="Calibri" w:hAnsi="Calibri" w:cs="Calibri"/>
          <w:lang w:eastAsia="es-CL"/>
        </w:rPr>
        <w:t>enero</w:t>
      </w:r>
      <w:r>
        <w:rPr>
          <w:rFonts w:ascii="Calibri" w:hAnsi="Calibri" w:cs="Calibri"/>
          <w:lang w:eastAsia="es-CL"/>
        </w:rPr>
        <w:t xml:space="preserve"> de 202</w:t>
      </w:r>
      <w:r w:rsidR="00372D81">
        <w:rPr>
          <w:rFonts w:ascii="Calibri" w:hAnsi="Calibri" w:cs="Calibri"/>
          <w:lang w:eastAsia="es-CL"/>
        </w:rPr>
        <w:t>1</w:t>
      </w:r>
      <w:r>
        <w:rPr>
          <w:rFonts w:ascii="Calibri" w:hAnsi="Calibri" w:cs="Calibri"/>
          <w:lang w:eastAsia="es-CL"/>
        </w:rPr>
        <w:t xml:space="preserve"> cuando se estaba reabriendo la industria de casinos.</w:t>
      </w:r>
    </w:p>
    <w:p w14:paraId="676875C0" w14:textId="77777777" w:rsidR="00A913BC" w:rsidRDefault="00A913BC" w:rsidP="00A913BC">
      <w:pPr>
        <w:tabs>
          <w:tab w:val="left" w:pos="-720"/>
          <w:tab w:val="left" w:pos="284"/>
        </w:tabs>
        <w:spacing w:after="0" w:line="240" w:lineRule="auto"/>
        <w:rPr>
          <w:rFonts w:ascii="Calibri" w:hAnsi="Calibri" w:cs="Calibri"/>
          <w:lang w:eastAsia="es-CL"/>
        </w:rPr>
      </w:pPr>
    </w:p>
    <w:p w14:paraId="2D7A392B" w14:textId="77777777" w:rsidR="00A913BC" w:rsidRPr="004C5EE7" w:rsidRDefault="00A913BC" w:rsidP="00A913BC">
      <w:pPr>
        <w:tabs>
          <w:tab w:val="left" w:pos="-720"/>
          <w:tab w:val="left" w:pos="284"/>
        </w:tabs>
        <w:spacing w:after="0" w:line="240" w:lineRule="auto"/>
        <w:rPr>
          <w:rFonts w:ascii="Calibri" w:hAnsi="Calibri" w:cs="Calibri"/>
          <w:lang w:eastAsia="es-CL"/>
        </w:rPr>
      </w:pPr>
      <w:r>
        <w:rPr>
          <w:rFonts w:ascii="Calibri" w:hAnsi="Calibri" w:cs="Calibri"/>
          <w:lang w:eastAsia="es-CL"/>
        </w:rPr>
        <w:t xml:space="preserve">Asimismo, resulta relevante destacar que la operación en este tiempo de pandemia se ajusta a un aforo reducido, entre otras restricciones sanitarias.  </w:t>
      </w:r>
    </w:p>
    <w:p w14:paraId="44EFE81C" w14:textId="77777777" w:rsidR="00A913BC" w:rsidRPr="004C5EE7" w:rsidRDefault="00A913BC" w:rsidP="00A913BC">
      <w:pPr>
        <w:tabs>
          <w:tab w:val="left" w:pos="0"/>
        </w:tabs>
        <w:spacing w:after="0" w:line="240" w:lineRule="auto"/>
      </w:pPr>
    </w:p>
    <w:p w14:paraId="42A84A92" w14:textId="766271F6" w:rsidR="00A913BC" w:rsidRDefault="00A913BC" w:rsidP="00A913BC">
      <w:pPr>
        <w:tabs>
          <w:tab w:val="left" w:pos="0"/>
        </w:tabs>
        <w:spacing w:after="0" w:line="240" w:lineRule="auto"/>
      </w:pPr>
      <w:r w:rsidRPr="004C5EE7">
        <w:t xml:space="preserve">En cuanto a las visitas, se registraron </w:t>
      </w:r>
      <w:r w:rsidR="00372D81">
        <w:t>514.667</w:t>
      </w:r>
      <w:r w:rsidRPr="004C5EE7">
        <w:t xml:space="preserve"> personas que ingresaron a los </w:t>
      </w:r>
      <w:r>
        <w:t>26</w:t>
      </w:r>
      <w:r w:rsidRPr="004C5EE7">
        <w:t xml:space="preserve"> casinos </w:t>
      </w:r>
      <w:r>
        <w:t xml:space="preserve">en operación, lo que equivale a un </w:t>
      </w:r>
      <w:r w:rsidR="00A83CB9">
        <w:t>74,6</w:t>
      </w:r>
      <w:r>
        <w:t>% de las visitas de</w:t>
      </w:r>
      <w:r w:rsidR="00A83CB9">
        <w:t xml:space="preserve"> enero 2020</w:t>
      </w:r>
      <w:r>
        <w:t>.</w:t>
      </w:r>
      <w:r w:rsidR="00A83CB9">
        <w:t xml:space="preserve"> Esto muestra una estabilización en las visitas considerando que el promedio del último trimestre 2021 fue de 491.128 personas al mes.</w:t>
      </w:r>
    </w:p>
    <w:p w14:paraId="4D41990E" w14:textId="77777777" w:rsidR="00A913BC" w:rsidRDefault="00A913BC" w:rsidP="00A913BC">
      <w:pPr>
        <w:tabs>
          <w:tab w:val="left" w:pos="0"/>
        </w:tabs>
        <w:spacing w:after="0" w:line="240" w:lineRule="auto"/>
      </w:pPr>
    </w:p>
    <w:p w14:paraId="4CA91572" w14:textId="12F7197D" w:rsidR="00A83CB9" w:rsidRPr="00A83CB9" w:rsidRDefault="00A913BC" w:rsidP="00496A03">
      <w:pPr>
        <w:tabs>
          <w:tab w:val="left" w:pos="0"/>
        </w:tabs>
        <w:spacing w:after="0" w:line="240" w:lineRule="auto"/>
      </w:pPr>
      <w:r>
        <w:t xml:space="preserve">Además, </w:t>
      </w:r>
      <w:r w:rsidRPr="004C5EE7">
        <w:t xml:space="preserve">durante </w:t>
      </w:r>
      <w:r w:rsidR="00A83CB9">
        <w:t>enero</w:t>
      </w:r>
      <w:r w:rsidRPr="009C3A3E">
        <w:t xml:space="preserve"> se registró un gasto promedio </w:t>
      </w:r>
      <w:r>
        <w:t>de</w:t>
      </w:r>
      <w:r w:rsidRPr="009C3A3E">
        <w:t xml:space="preserve"> $</w:t>
      </w:r>
      <w:r w:rsidR="00A83CB9">
        <w:t>91.001</w:t>
      </w:r>
      <w:r w:rsidRPr="009C3A3E">
        <w:t xml:space="preserve"> por visita, lo que implica un</w:t>
      </w:r>
      <w:r>
        <w:t xml:space="preserve"> aumento real de casi un </w:t>
      </w:r>
      <w:r w:rsidR="00A83CB9">
        <w:t>53</w:t>
      </w:r>
      <w:r>
        <w:t>%</w:t>
      </w:r>
      <w:r w:rsidR="00A83CB9">
        <w:t xml:space="preserve"> comparado con enero de 2020</w:t>
      </w:r>
      <w:r>
        <w:t>.</w:t>
      </w:r>
    </w:p>
    <w:p w14:paraId="11E06606" w14:textId="77777777" w:rsidR="00A913BC" w:rsidRDefault="00A913BC" w:rsidP="00496A03">
      <w:pPr>
        <w:tabs>
          <w:tab w:val="left" w:pos="0"/>
        </w:tabs>
        <w:spacing w:after="0" w:line="240" w:lineRule="auto"/>
        <w:rPr>
          <w:rFonts w:cstheme="minorHAnsi"/>
        </w:rPr>
      </w:pPr>
    </w:p>
    <w:p w14:paraId="554E6C99" w14:textId="6627ABD4" w:rsidR="00B57DCD" w:rsidRPr="009C3A3E" w:rsidRDefault="00B57DCD" w:rsidP="00B57DCD">
      <w:pPr>
        <w:tabs>
          <w:tab w:val="left" w:pos="0"/>
        </w:tabs>
        <w:spacing w:after="0" w:line="240" w:lineRule="auto"/>
        <w:rPr>
          <w:rFonts w:cstheme="minorHAnsi"/>
          <w:b/>
          <w:bCs/>
        </w:rPr>
      </w:pPr>
      <w:r w:rsidRPr="009C3A3E">
        <w:rPr>
          <w:rFonts w:cstheme="minorHAnsi"/>
          <w:b/>
          <w:bCs/>
        </w:rPr>
        <w:t>Impuestos recaudados</w:t>
      </w:r>
      <w:r w:rsidR="00A83CB9">
        <w:rPr>
          <w:rFonts w:cstheme="minorHAnsi"/>
          <w:b/>
          <w:bCs/>
        </w:rPr>
        <w:t xml:space="preserve"> y ofertas económicas</w:t>
      </w:r>
    </w:p>
    <w:p w14:paraId="5FC403CA" w14:textId="77777777" w:rsidR="00496A03" w:rsidRDefault="00496A03" w:rsidP="00B57DCD">
      <w:pPr>
        <w:tabs>
          <w:tab w:val="left" w:pos="0"/>
        </w:tabs>
        <w:spacing w:after="0" w:line="240" w:lineRule="auto"/>
        <w:rPr>
          <w:rFonts w:cstheme="minorHAnsi"/>
        </w:rPr>
      </w:pPr>
    </w:p>
    <w:p w14:paraId="68D65A82" w14:textId="0505333C" w:rsidR="000B16EA" w:rsidRDefault="003A4081" w:rsidP="00B57DCD">
      <w:pPr>
        <w:tabs>
          <w:tab w:val="left" w:pos="0"/>
        </w:tabs>
        <w:spacing w:after="0" w:line="240" w:lineRule="auto"/>
        <w:rPr>
          <w:rFonts w:cstheme="minorHAnsi"/>
        </w:rPr>
      </w:pPr>
      <w:r>
        <w:rPr>
          <w:rFonts w:cstheme="minorHAnsi"/>
        </w:rPr>
        <w:t xml:space="preserve">Los </w:t>
      </w:r>
      <w:r w:rsidR="00F96FD7">
        <w:rPr>
          <w:rFonts w:cstheme="minorHAnsi"/>
        </w:rPr>
        <w:t>2</w:t>
      </w:r>
      <w:r w:rsidR="00BC3A5E">
        <w:rPr>
          <w:rFonts w:cstheme="minorHAnsi"/>
        </w:rPr>
        <w:t>1</w:t>
      </w:r>
      <w:r>
        <w:rPr>
          <w:rFonts w:cstheme="minorHAnsi"/>
        </w:rPr>
        <w:t xml:space="preserve"> casinos 19.995 </w:t>
      </w:r>
      <w:r w:rsidR="00731D61">
        <w:rPr>
          <w:rFonts w:cstheme="minorHAnsi"/>
        </w:rPr>
        <w:t>a</w:t>
      </w:r>
      <w:r w:rsidR="00B14621" w:rsidRPr="009C3A3E">
        <w:rPr>
          <w:rFonts w:cstheme="minorHAnsi"/>
        </w:rPr>
        <w:t xml:space="preserve">portaron un </w:t>
      </w:r>
      <w:r w:rsidR="006F7CA6" w:rsidRPr="009C3A3E">
        <w:rPr>
          <w:rFonts w:cstheme="minorHAnsi"/>
        </w:rPr>
        <w:t xml:space="preserve">total </w:t>
      </w:r>
      <w:r w:rsidR="00B14621" w:rsidRPr="009C3A3E">
        <w:rPr>
          <w:rFonts w:cstheme="minorHAnsi"/>
        </w:rPr>
        <w:t>de $</w:t>
      </w:r>
      <w:r w:rsidR="00BC3A5E">
        <w:rPr>
          <w:rFonts w:cstheme="minorHAnsi"/>
        </w:rPr>
        <w:t>14</w:t>
      </w:r>
      <w:r w:rsidR="00B67DE2">
        <w:rPr>
          <w:rFonts w:cstheme="minorHAnsi"/>
        </w:rPr>
        <w:t>.</w:t>
      </w:r>
      <w:r w:rsidR="00BC3A5E">
        <w:rPr>
          <w:rFonts w:cstheme="minorHAnsi"/>
        </w:rPr>
        <w:t>411</w:t>
      </w:r>
      <w:r w:rsidR="00B14621" w:rsidRPr="009C3A3E">
        <w:rPr>
          <w:rFonts w:cstheme="minorHAnsi"/>
        </w:rPr>
        <w:t xml:space="preserve"> millones en impuestos</w:t>
      </w:r>
      <w:r w:rsidR="00BC3A5E">
        <w:rPr>
          <w:rFonts w:cstheme="minorHAnsi"/>
        </w:rPr>
        <w:t xml:space="preserve"> en el mes de enero</w:t>
      </w:r>
      <w:r w:rsidR="00B67DE2">
        <w:rPr>
          <w:rFonts w:cstheme="minorHAnsi"/>
        </w:rPr>
        <w:t>,</w:t>
      </w:r>
      <w:r w:rsidR="00BB6F98">
        <w:rPr>
          <w:rFonts w:cstheme="minorHAnsi"/>
        </w:rPr>
        <w:t xml:space="preserve"> superando </w:t>
      </w:r>
      <w:r w:rsidR="00BC3A5E">
        <w:rPr>
          <w:rFonts w:cstheme="minorHAnsi"/>
        </w:rPr>
        <w:t xml:space="preserve">levemente en términos reales </w:t>
      </w:r>
      <w:r w:rsidR="00BB6F98">
        <w:rPr>
          <w:rFonts w:cstheme="minorHAnsi"/>
        </w:rPr>
        <w:t xml:space="preserve">el aporte realizado en </w:t>
      </w:r>
      <w:r w:rsidR="00BC3A5E">
        <w:rPr>
          <w:rFonts w:cstheme="minorHAnsi"/>
        </w:rPr>
        <w:t>enero</w:t>
      </w:r>
      <w:r w:rsidR="00BB6F98">
        <w:rPr>
          <w:rFonts w:cstheme="minorHAnsi"/>
        </w:rPr>
        <w:t xml:space="preserve"> de 2020 </w:t>
      </w:r>
      <w:r w:rsidR="00BC3A5E">
        <w:rPr>
          <w:rFonts w:cstheme="minorHAnsi"/>
        </w:rPr>
        <w:t>previo a la pandemia de Covid</w:t>
      </w:r>
      <w:r w:rsidR="00BB6F98">
        <w:rPr>
          <w:rFonts w:cstheme="minorHAnsi"/>
        </w:rPr>
        <w:t xml:space="preserve">-19. </w:t>
      </w:r>
      <w:r w:rsidR="00A83CB9">
        <w:rPr>
          <w:rFonts w:cstheme="minorHAnsi"/>
        </w:rPr>
        <w:t>Se debe tener en cuenta que desde el 21 de enero en la comuna de Coquimbo opera el casino Enjoy Coquimbo, el que desde esa fecha se incorpora al régimen de la Ley N°19.995</w:t>
      </w:r>
      <w:r w:rsidR="006B63F1">
        <w:rPr>
          <w:rFonts w:cstheme="minorHAnsi"/>
        </w:rPr>
        <w:t>, contribuyendo con los impuestos acá señalados y con el pago de la oferta económica anual al municipio.</w:t>
      </w:r>
    </w:p>
    <w:p w14:paraId="7B3B9794" w14:textId="77777777" w:rsidR="000B16EA" w:rsidRDefault="000B16EA" w:rsidP="00B57DCD">
      <w:pPr>
        <w:tabs>
          <w:tab w:val="left" w:pos="0"/>
        </w:tabs>
        <w:spacing w:after="0" w:line="240" w:lineRule="auto"/>
        <w:rPr>
          <w:rFonts w:cstheme="minorHAnsi"/>
        </w:rPr>
      </w:pPr>
    </w:p>
    <w:p w14:paraId="7CCCBC11" w14:textId="4BC28B81" w:rsidR="00B14621" w:rsidRPr="009C3A3E" w:rsidRDefault="00F96FD7" w:rsidP="00B57DCD">
      <w:pPr>
        <w:tabs>
          <w:tab w:val="left" w:pos="0"/>
        </w:tabs>
        <w:spacing w:after="0" w:line="240" w:lineRule="auto"/>
        <w:rPr>
          <w:rFonts w:cstheme="minorHAnsi"/>
        </w:rPr>
      </w:pPr>
      <w:r>
        <w:rPr>
          <w:rFonts w:cstheme="minorHAnsi"/>
        </w:rPr>
        <w:t>Los montos agregados</w:t>
      </w:r>
      <w:r w:rsidR="003A4081">
        <w:rPr>
          <w:rFonts w:cstheme="minorHAnsi"/>
        </w:rPr>
        <w:t xml:space="preserve"> </w:t>
      </w:r>
      <w:r>
        <w:rPr>
          <w:rFonts w:cstheme="minorHAnsi"/>
        </w:rPr>
        <w:t xml:space="preserve">a nivel de industria </w:t>
      </w:r>
      <w:r w:rsidR="003A4081">
        <w:rPr>
          <w:rFonts w:cstheme="minorHAnsi"/>
        </w:rPr>
        <w:t>se dividen en</w:t>
      </w:r>
      <w:r w:rsidR="00B14621" w:rsidRPr="009C3A3E">
        <w:rPr>
          <w:rFonts w:cstheme="minorHAnsi"/>
        </w:rPr>
        <w:t xml:space="preserve"> $</w:t>
      </w:r>
      <w:r w:rsidR="006B63F1">
        <w:rPr>
          <w:rFonts w:cstheme="minorHAnsi"/>
        </w:rPr>
        <w:t>6.</w:t>
      </w:r>
      <w:r w:rsidR="00AB2377">
        <w:rPr>
          <w:rFonts w:cstheme="minorHAnsi"/>
        </w:rPr>
        <w:t>547</w:t>
      </w:r>
      <w:r w:rsidR="00B14621" w:rsidRPr="009C3A3E">
        <w:rPr>
          <w:rFonts w:cstheme="minorHAnsi"/>
        </w:rPr>
        <w:t xml:space="preserve"> millones </w:t>
      </w:r>
      <w:r w:rsidR="003A4081">
        <w:rPr>
          <w:rFonts w:cstheme="minorHAnsi"/>
        </w:rPr>
        <w:t xml:space="preserve">que </w:t>
      </w:r>
      <w:r w:rsidR="00B14621" w:rsidRPr="009C3A3E">
        <w:rPr>
          <w:rFonts w:cstheme="minorHAnsi"/>
        </w:rPr>
        <w:t xml:space="preserve">corresponden al impuesto específico al juego destinados a los </w:t>
      </w:r>
      <w:r w:rsidR="00CD5340">
        <w:rPr>
          <w:rFonts w:cstheme="minorHAnsi"/>
        </w:rPr>
        <w:t>g</w:t>
      </w:r>
      <w:r w:rsidR="00B14621" w:rsidRPr="009C3A3E">
        <w:rPr>
          <w:rFonts w:cstheme="minorHAnsi"/>
        </w:rPr>
        <w:t xml:space="preserve">obiernos </w:t>
      </w:r>
      <w:r w:rsidR="00CD5340">
        <w:rPr>
          <w:rFonts w:cstheme="minorHAnsi"/>
        </w:rPr>
        <w:t>r</w:t>
      </w:r>
      <w:r w:rsidR="00B14621" w:rsidRPr="009C3A3E">
        <w:rPr>
          <w:rFonts w:cstheme="minorHAnsi"/>
        </w:rPr>
        <w:t xml:space="preserve">egionales y </w:t>
      </w:r>
      <w:r w:rsidR="00CD5340">
        <w:rPr>
          <w:rFonts w:cstheme="minorHAnsi"/>
        </w:rPr>
        <w:t>m</w:t>
      </w:r>
      <w:r w:rsidR="00B14621" w:rsidRPr="009C3A3E">
        <w:rPr>
          <w:rFonts w:cstheme="minorHAnsi"/>
        </w:rPr>
        <w:t>unicipalidades para el financiamiento de obras de desarrollo, además de $</w:t>
      </w:r>
      <w:r w:rsidR="006B63F1">
        <w:rPr>
          <w:rFonts w:cstheme="minorHAnsi"/>
        </w:rPr>
        <w:t>6.230</w:t>
      </w:r>
      <w:r w:rsidR="00B14621" w:rsidRPr="009C3A3E">
        <w:rPr>
          <w:rFonts w:cstheme="minorHAnsi"/>
        </w:rPr>
        <w:t xml:space="preserve"> millones asociados al pago de IVA</w:t>
      </w:r>
      <w:r w:rsidR="003D3437">
        <w:rPr>
          <w:rFonts w:cstheme="minorHAnsi"/>
        </w:rPr>
        <w:t xml:space="preserve"> por los ingresos del juego</w:t>
      </w:r>
      <w:r w:rsidR="00B14621" w:rsidRPr="009C3A3E">
        <w:rPr>
          <w:rFonts w:cstheme="minorHAnsi"/>
        </w:rPr>
        <w:t xml:space="preserve"> y $</w:t>
      </w:r>
      <w:r w:rsidR="006B63F1">
        <w:rPr>
          <w:rFonts w:cstheme="minorHAnsi"/>
        </w:rPr>
        <w:t>1.634</w:t>
      </w:r>
      <w:r w:rsidR="000B16EA">
        <w:rPr>
          <w:rFonts w:cstheme="minorHAnsi"/>
        </w:rPr>
        <w:t xml:space="preserve"> </w:t>
      </w:r>
      <w:r w:rsidR="00B14621" w:rsidRPr="009C3A3E">
        <w:rPr>
          <w:rFonts w:cstheme="minorHAnsi"/>
        </w:rPr>
        <w:t>millones correspondientes al impuesto por entrada a las salas de juego, que se destinan a los fondos generales de la nación.</w:t>
      </w:r>
    </w:p>
    <w:p w14:paraId="24152A02" w14:textId="3BB83CEE" w:rsidR="00B14621" w:rsidRDefault="00B14621" w:rsidP="00B57DCD">
      <w:pPr>
        <w:tabs>
          <w:tab w:val="left" w:pos="0"/>
        </w:tabs>
        <w:spacing w:after="0" w:line="240" w:lineRule="auto"/>
        <w:rPr>
          <w:rFonts w:cstheme="minorHAnsi"/>
        </w:rPr>
      </w:pPr>
    </w:p>
    <w:p w14:paraId="58A2C9E8" w14:textId="0FFC3EE0" w:rsidR="00F96FD7" w:rsidRDefault="00F96FD7" w:rsidP="00F96FD7">
      <w:pPr>
        <w:pStyle w:val="Prrafodelista"/>
        <w:tabs>
          <w:tab w:val="left" w:pos="0"/>
        </w:tabs>
        <w:spacing w:after="0"/>
        <w:ind w:left="0"/>
        <w:rPr>
          <w:rFonts w:ascii="Calibri" w:hAnsi="Calibri" w:cs="Calibri"/>
        </w:rPr>
      </w:pPr>
      <w:r w:rsidRPr="009C3A3E">
        <w:rPr>
          <w:rFonts w:cstheme="minorHAnsi"/>
        </w:rPr>
        <w:t xml:space="preserve">Los gobiernos regionales y las municipalidades reciben los fondos provenientes del impuesto específico al juego el mes subsiguiente del pago de </w:t>
      </w:r>
      <w:r>
        <w:rPr>
          <w:rFonts w:cstheme="minorHAnsi"/>
        </w:rPr>
        <w:t>estos</w:t>
      </w:r>
      <w:r w:rsidRPr="009C3A3E">
        <w:rPr>
          <w:rFonts w:cstheme="minorHAnsi"/>
        </w:rPr>
        <w:t xml:space="preserve"> por parte de las sociedades operadoras. Por lo tanto, estos recursos serán recibidos en </w:t>
      </w:r>
      <w:r w:rsidR="00B67DE2">
        <w:rPr>
          <w:rFonts w:cstheme="minorHAnsi"/>
        </w:rPr>
        <w:t>marzo</w:t>
      </w:r>
      <w:r w:rsidRPr="009C3A3E">
        <w:rPr>
          <w:rFonts w:cstheme="minorHAnsi"/>
        </w:rPr>
        <w:t xml:space="preserve"> de 202</w:t>
      </w:r>
      <w:r w:rsidR="00BB6F98">
        <w:rPr>
          <w:rFonts w:cstheme="minorHAnsi"/>
        </w:rPr>
        <w:t>2</w:t>
      </w:r>
      <w:r w:rsidRPr="009C3A3E">
        <w:rPr>
          <w:rFonts w:cstheme="minorHAnsi"/>
        </w:rPr>
        <w:t>.</w:t>
      </w:r>
    </w:p>
    <w:p w14:paraId="091934FA" w14:textId="77777777" w:rsidR="00B67DE2" w:rsidRDefault="00B67DE2" w:rsidP="00B57DCD">
      <w:pPr>
        <w:tabs>
          <w:tab w:val="left" w:pos="0"/>
        </w:tabs>
        <w:spacing w:after="0" w:line="240" w:lineRule="auto"/>
        <w:rPr>
          <w:rFonts w:cstheme="minorHAnsi"/>
        </w:rPr>
      </w:pPr>
    </w:p>
    <w:p w14:paraId="3A8ABCB1" w14:textId="2AC79D03" w:rsidR="00B57DCD" w:rsidRPr="009C3A3E" w:rsidRDefault="00B57DCD" w:rsidP="00B57DCD">
      <w:pPr>
        <w:tabs>
          <w:tab w:val="left" w:pos="0"/>
        </w:tabs>
        <w:spacing w:after="0" w:line="240" w:lineRule="auto"/>
        <w:rPr>
          <w:rFonts w:cstheme="minorHAnsi"/>
        </w:rPr>
      </w:pPr>
      <w:r w:rsidRPr="009C3A3E">
        <w:rPr>
          <w:rFonts w:cstheme="minorHAnsi"/>
        </w:rPr>
        <w:t>La distribución de los impuestos recaudados se muestra a continuación</w:t>
      </w:r>
      <w:r w:rsidR="00BA4CC3">
        <w:rPr>
          <w:rFonts w:cstheme="minorHAnsi"/>
        </w:rPr>
        <w:t>:</w:t>
      </w:r>
    </w:p>
    <w:p w14:paraId="55ADE08A" w14:textId="73C9C590" w:rsidR="000D7975" w:rsidRDefault="000D7975" w:rsidP="000D7975">
      <w:pPr>
        <w:pStyle w:val="Prrafodelista"/>
        <w:tabs>
          <w:tab w:val="left" w:pos="0"/>
        </w:tabs>
        <w:spacing w:after="0"/>
        <w:ind w:left="0"/>
        <w:rPr>
          <w:rFonts w:ascii="Calibri" w:hAnsi="Calibri" w:cs="Calibri"/>
        </w:rPr>
      </w:pPr>
    </w:p>
    <w:tbl>
      <w:tblPr>
        <w:tblW w:w="9227" w:type="dxa"/>
        <w:jc w:val="center"/>
        <w:tblCellMar>
          <w:left w:w="70" w:type="dxa"/>
          <w:right w:w="70" w:type="dxa"/>
        </w:tblCellMar>
        <w:tblLook w:val="04A0" w:firstRow="1" w:lastRow="0" w:firstColumn="1" w:lastColumn="0" w:noHBand="0" w:noVBand="1"/>
      </w:tblPr>
      <w:tblGrid>
        <w:gridCol w:w="1488"/>
        <w:gridCol w:w="2008"/>
        <w:gridCol w:w="1330"/>
        <w:gridCol w:w="1256"/>
        <w:gridCol w:w="939"/>
        <w:gridCol w:w="1270"/>
        <w:gridCol w:w="936"/>
      </w:tblGrid>
      <w:tr w:rsidR="006B63F1" w:rsidRPr="006B63F1" w14:paraId="16E76A3B" w14:textId="77777777" w:rsidTr="00C337EB">
        <w:trPr>
          <w:trHeight w:val="306"/>
          <w:jc w:val="center"/>
        </w:trPr>
        <w:tc>
          <w:tcPr>
            <w:tcW w:w="9227" w:type="dxa"/>
            <w:gridSpan w:val="7"/>
            <w:tcBorders>
              <w:top w:val="nil"/>
              <w:left w:val="nil"/>
              <w:bottom w:val="single" w:sz="8" w:space="0" w:color="A6A6A6"/>
              <w:right w:val="nil"/>
            </w:tcBorders>
            <w:shd w:val="clear" w:color="000000" w:fill="1F497D"/>
            <w:noWrap/>
            <w:vAlign w:val="center"/>
            <w:hideMark/>
          </w:tcPr>
          <w:p w14:paraId="5CCBF0F2"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lastRenderedPageBreak/>
              <w:t>IMPUESTOS enero 2022 ($ Millones)</w:t>
            </w:r>
          </w:p>
        </w:tc>
      </w:tr>
      <w:tr w:rsidR="006B63F1" w:rsidRPr="006B63F1" w14:paraId="6CA871C2" w14:textId="77777777" w:rsidTr="00C337EB">
        <w:trPr>
          <w:trHeight w:val="947"/>
          <w:jc w:val="center"/>
        </w:trPr>
        <w:tc>
          <w:tcPr>
            <w:tcW w:w="1488" w:type="dxa"/>
            <w:tcBorders>
              <w:top w:val="nil"/>
              <w:left w:val="single" w:sz="8" w:space="0" w:color="A6A6A6"/>
              <w:bottom w:val="single" w:sz="8" w:space="0" w:color="A6A6A6"/>
              <w:right w:val="single" w:sz="8" w:space="0" w:color="A6A6A6"/>
            </w:tcBorders>
            <w:shd w:val="clear" w:color="000000" w:fill="1F497D"/>
            <w:noWrap/>
            <w:vAlign w:val="center"/>
            <w:hideMark/>
          </w:tcPr>
          <w:p w14:paraId="46E305A4"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Región</w:t>
            </w:r>
          </w:p>
        </w:tc>
        <w:tc>
          <w:tcPr>
            <w:tcW w:w="2008" w:type="dxa"/>
            <w:tcBorders>
              <w:top w:val="nil"/>
              <w:left w:val="nil"/>
              <w:bottom w:val="single" w:sz="8" w:space="0" w:color="A6A6A6"/>
              <w:right w:val="single" w:sz="8" w:space="0" w:color="A6A6A6"/>
            </w:tcBorders>
            <w:shd w:val="clear" w:color="000000" w:fill="1F497D"/>
            <w:vAlign w:val="center"/>
            <w:hideMark/>
          </w:tcPr>
          <w:p w14:paraId="0E5C44DD"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Casino</w:t>
            </w:r>
          </w:p>
        </w:tc>
        <w:tc>
          <w:tcPr>
            <w:tcW w:w="1330" w:type="dxa"/>
            <w:tcBorders>
              <w:top w:val="nil"/>
              <w:left w:val="nil"/>
              <w:bottom w:val="single" w:sz="8" w:space="0" w:color="A6A6A6"/>
              <w:right w:val="single" w:sz="8" w:space="0" w:color="A6A6A6"/>
            </w:tcBorders>
            <w:shd w:val="clear" w:color="000000" w:fill="1F497D"/>
            <w:vAlign w:val="center"/>
            <w:hideMark/>
          </w:tcPr>
          <w:p w14:paraId="04CA956D"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Impuesto específico Gobierno Regional</w:t>
            </w:r>
          </w:p>
        </w:tc>
        <w:tc>
          <w:tcPr>
            <w:tcW w:w="1256" w:type="dxa"/>
            <w:tcBorders>
              <w:top w:val="nil"/>
              <w:left w:val="nil"/>
              <w:bottom w:val="single" w:sz="8" w:space="0" w:color="A6A6A6"/>
              <w:right w:val="single" w:sz="8" w:space="0" w:color="A6A6A6"/>
            </w:tcBorders>
            <w:shd w:val="clear" w:color="000000" w:fill="1F497D"/>
            <w:vAlign w:val="center"/>
            <w:hideMark/>
          </w:tcPr>
          <w:p w14:paraId="6AD3207B"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Impuesto específico Municipalidad</w:t>
            </w:r>
          </w:p>
        </w:tc>
        <w:tc>
          <w:tcPr>
            <w:tcW w:w="939" w:type="dxa"/>
            <w:tcBorders>
              <w:top w:val="nil"/>
              <w:left w:val="nil"/>
              <w:bottom w:val="single" w:sz="8" w:space="0" w:color="A6A6A6"/>
              <w:right w:val="single" w:sz="8" w:space="0" w:color="A6A6A6"/>
            </w:tcBorders>
            <w:shd w:val="clear" w:color="000000" w:fill="1F497D"/>
            <w:noWrap/>
            <w:vAlign w:val="center"/>
            <w:hideMark/>
          </w:tcPr>
          <w:p w14:paraId="4091FD21"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IVA</w:t>
            </w:r>
          </w:p>
        </w:tc>
        <w:tc>
          <w:tcPr>
            <w:tcW w:w="1270" w:type="dxa"/>
            <w:tcBorders>
              <w:top w:val="nil"/>
              <w:left w:val="nil"/>
              <w:bottom w:val="single" w:sz="8" w:space="0" w:color="A6A6A6"/>
              <w:right w:val="nil"/>
            </w:tcBorders>
            <w:shd w:val="clear" w:color="000000" w:fill="1F497D"/>
            <w:noWrap/>
            <w:vAlign w:val="center"/>
            <w:hideMark/>
          </w:tcPr>
          <w:p w14:paraId="3BA8AAF0"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Por entrada</w:t>
            </w:r>
          </w:p>
        </w:tc>
        <w:tc>
          <w:tcPr>
            <w:tcW w:w="933" w:type="dxa"/>
            <w:tcBorders>
              <w:top w:val="nil"/>
              <w:left w:val="single" w:sz="8" w:space="0" w:color="A6A6A6"/>
              <w:bottom w:val="single" w:sz="8" w:space="0" w:color="A6A6A6"/>
              <w:right w:val="single" w:sz="8" w:space="0" w:color="A6A6A6"/>
            </w:tcBorders>
            <w:shd w:val="clear" w:color="000000" w:fill="1F497D"/>
            <w:vAlign w:val="center"/>
            <w:hideMark/>
          </w:tcPr>
          <w:p w14:paraId="50B28BC2"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Total</w:t>
            </w:r>
          </w:p>
        </w:tc>
      </w:tr>
      <w:tr w:rsidR="006B63F1" w:rsidRPr="006B63F1" w14:paraId="2BE3ACDA" w14:textId="77777777" w:rsidTr="00C337EB">
        <w:trPr>
          <w:trHeight w:val="306"/>
          <w:jc w:val="center"/>
        </w:trPr>
        <w:tc>
          <w:tcPr>
            <w:tcW w:w="1488" w:type="dxa"/>
            <w:tcBorders>
              <w:top w:val="nil"/>
              <w:left w:val="single" w:sz="8" w:space="0" w:color="A6A6A6"/>
              <w:bottom w:val="single" w:sz="8" w:space="0" w:color="A6A6A6"/>
              <w:right w:val="single" w:sz="8" w:space="0" w:color="A6A6A6"/>
            </w:tcBorders>
            <w:shd w:val="clear" w:color="000000" w:fill="D9E2F3"/>
            <w:noWrap/>
            <w:vAlign w:val="center"/>
            <w:hideMark/>
          </w:tcPr>
          <w:p w14:paraId="152108FB"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De Arica y Parinacota</w:t>
            </w:r>
          </w:p>
        </w:tc>
        <w:tc>
          <w:tcPr>
            <w:tcW w:w="2008" w:type="dxa"/>
            <w:tcBorders>
              <w:top w:val="nil"/>
              <w:left w:val="nil"/>
              <w:bottom w:val="single" w:sz="8" w:space="0" w:color="A6A6A6"/>
              <w:right w:val="single" w:sz="8" w:space="0" w:color="A6A6A6"/>
            </w:tcBorders>
            <w:shd w:val="clear" w:color="000000" w:fill="D9E2F3"/>
            <w:noWrap/>
            <w:vAlign w:val="center"/>
            <w:hideMark/>
          </w:tcPr>
          <w:p w14:paraId="2F622F12"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 xml:space="preserve">Casino </w:t>
            </w:r>
            <w:proofErr w:type="spellStart"/>
            <w:r w:rsidRPr="006B63F1">
              <w:rPr>
                <w:rFonts w:ascii="Calibri" w:eastAsia="Times New Roman" w:hAnsi="Calibri" w:cs="Calibri"/>
                <w:color w:val="244062"/>
                <w:sz w:val="18"/>
                <w:szCs w:val="18"/>
                <w:lang w:eastAsia="es-CL"/>
              </w:rPr>
              <w:t>Luckia</w:t>
            </w:r>
            <w:proofErr w:type="spellEnd"/>
            <w:r w:rsidRPr="006B63F1">
              <w:rPr>
                <w:rFonts w:ascii="Calibri" w:eastAsia="Times New Roman" w:hAnsi="Calibri" w:cs="Calibri"/>
                <w:color w:val="244062"/>
                <w:sz w:val="18"/>
                <w:szCs w:val="18"/>
                <w:lang w:eastAsia="es-CL"/>
              </w:rPr>
              <w:t xml:space="preserve"> Arica</w:t>
            </w:r>
          </w:p>
        </w:tc>
        <w:tc>
          <w:tcPr>
            <w:tcW w:w="1330" w:type="dxa"/>
            <w:tcBorders>
              <w:top w:val="nil"/>
              <w:left w:val="nil"/>
              <w:bottom w:val="single" w:sz="8" w:space="0" w:color="A6A6A6"/>
              <w:right w:val="single" w:sz="8" w:space="0" w:color="A6A6A6"/>
            </w:tcBorders>
            <w:shd w:val="clear" w:color="000000" w:fill="D9E2F3"/>
            <w:noWrap/>
            <w:vAlign w:val="center"/>
            <w:hideMark/>
          </w:tcPr>
          <w:p w14:paraId="64B48D9E"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81,8</w:t>
            </w:r>
          </w:p>
        </w:tc>
        <w:tc>
          <w:tcPr>
            <w:tcW w:w="1256" w:type="dxa"/>
            <w:tcBorders>
              <w:top w:val="nil"/>
              <w:left w:val="nil"/>
              <w:bottom w:val="single" w:sz="8" w:space="0" w:color="A6A6A6"/>
              <w:right w:val="single" w:sz="8" w:space="0" w:color="A6A6A6"/>
            </w:tcBorders>
            <w:shd w:val="clear" w:color="000000" w:fill="D9E2F3"/>
            <w:noWrap/>
            <w:vAlign w:val="center"/>
            <w:hideMark/>
          </w:tcPr>
          <w:p w14:paraId="7DA9DC8F"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81,8</w:t>
            </w:r>
          </w:p>
        </w:tc>
        <w:tc>
          <w:tcPr>
            <w:tcW w:w="939" w:type="dxa"/>
            <w:tcBorders>
              <w:top w:val="nil"/>
              <w:left w:val="nil"/>
              <w:bottom w:val="single" w:sz="8" w:space="0" w:color="A6A6A6"/>
              <w:right w:val="single" w:sz="8" w:space="0" w:color="A6A6A6"/>
            </w:tcBorders>
            <w:shd w:val="clear" w:color="000000" w:fill="D9E2F3"/>
            <w:noWrap/>
            <w:vAlign w:val="center"/>
            <w:hideMark/>
          </w:tcPr>
          <w:p w14:paraId="787F44F2"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155,3</w:t>
            </w:r>
          </w:p>
        </w:tc>
        <w:tc>
          <w:tcPr>
            <w:tcW w:w="1270" w:type="dxa"/>
            <w:tcBorders>
              <w:top w:val="nil"/>
              <w:left w:val="nil"/>
              <w:bottom w:val="single" w:sz="8" w:space="0" w:color="A6A6A6"/>
              <w:right w:val="single" w:sz="8" w:space="0" w:color="A6A6A6"/>
            </w:tcBorders>
            <w:shd w:val="clear" w:color="000000" w:fill="D9E2F3"/>
            <w:noWrap/>
            <w:vAlign w:val="center"/>
            <w:hideMark/>
          </w:tcPr>
          <w:p w14:paraId="4584E070"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76,2</w:t>
            </w:r>
          </w:p>
        </w:tc>
        <w:tc>
          <w:tcPr>
            <w:tcW w:w="933" w:type="dxa"/>
            <w:tcBorders>
              <w:top w:val="nil"/>
              <w:left w:val="nil"/>
              <w:bottom w:val="single" w:sz="8" w:space="0" w:color="A6A6A6"/>
              <w:right w:val="single" w:sz="8" w:space="0" w:color="A6A6A6"/>
            </w:tcBorders>
            <w:shd w:val="clear" w:color="000000" w:fill="D9E2F3"/>
            <w:noWrap/>
            <w:vAlign w:val="center"/>
            <w:hideMark/>
          </w:tcPr>
          <w:p w14:paraId="15A31184"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395,0</w:t>
            </w:r>
          </w:p>
        </w:tc>
      </w:tr>
      <w:tr w:rsidR="006B63F1" w:rsidRPr="006B63F1" w14:paraId="1BFB77C1" w14:textId="77777777" w:rsidTr="00C337EB">
        <w:trPr>
          <w:trHeight w:val="306"/>
          <w:jc w:val="center"/>
        </w:trPr>
        <w:tc>
          <w:tcPr>
            <w:tcW w:w="1488" w:type="dxa"/>
            <w:vMerge w:val="restart"/>
            <w:tcBorders>
              <w:top w:val="nil"/>
              <w:left w:val="single" w:sz="8" w:space="0" w:color="A6A6A6"/>
              <w:bottom w:val="single" w:sz="8" w:space="0" w:color="A6A6A6"/>
              <w:right w:val="single" w:sz="8" w:space="0" w:color="A6A6A6"/>
            </w:tcBorders>
            <w:shd w:val="clear" w:color="auto" w:fill="auto"/>
            <w:noWrap/>
            <w:vAlign w:val="center"/>
            <w:hideMark/>
          </w:tcPr>
          <w:p w14:paraId="586AEE00"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 xml:space="preserve">De Antofagasta </w:t>
            </w:r>
          </w:p>
        </w:tc>
        <w:tc>
          <w:tcPr>
            <w:tcW w:w="2008" w:type="dxa"/>
            <w:tcBorders>
              <w:top w:val="nil"/>
              <w:left w:val="nil"/>
              <w:bottom w:val="single" w:sz="8" w:space="0" w:color="A6A6A6"/>
              <w:right w:val="single" w:sz="8" w:space="0" w:color="A6A6A6"/>
            </w:tcBorders>
            <w:shd w:val="clear" w:color="auto" w:fill="auto"/>
            <w:noWrap/>
            <w:vAlign w:val="center"/>
            <w:hideMark/>
          </w:tcPr>
          <w:p w14:paraId="193968CB"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Marina de Sol Calama</w:t>
            </w:r>
          </w:p>
        </w:tc>
        <w:tc>
          <w:tcPr>
            <w:tcW w:w="1330" w:type="dxa"/>
            <w:tcBorders>
              <w:top w:val="nil"/>
              <w:left w:val="nil"/>
              <w:bottom w:val="single" w:sz="8" w:space="0" w:color="A6A6A6"/>
              <w:right w:val="single" w:sz="8" w:space="0" w:color="A6A6A6"/>
            </w:tcBorders>
            <w:shd w:val="clear" w:color="000000" w:fill="FFFFFF"/>
            <w:noWrap/>
            <w:vAlign w:val="center"/>
            <w:hideMark/>
          </w:tcPr>
          <w:p w14:paraId="4A75F1B6"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85,0</w:t>
            </w:r>
          </w:p>
        </w:tc>
        <w:tc>
          <w:tcPr>
            <w:tcW w:w="1256" w:type="dxa"/>
            <w:tcBorders>
              <w:top w:val="nil"/>
              <w:left w:val="nil"/>
              <w:bottom w:val="single" w:sz="8" w:space="0" w:color="A6A6A6"/>
              <w:right w:val="single" w:sz="8" w:space="0" w:color="A6A6A6"/>
            </w:tcBorders>
            <w:shd w:val="clear" w:color="000000" w:fill="FFFFFF"/>
            <w:noWrap/>
            <w:vAlign w:val="center"/>
            <w:hideMark/>
          </w:tcPr>
          <w:p w14:paraId="29C6B546"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85,0</w:t>
            </w:r>
          </w:p>
        </w:tc>
        <w:tc>
          <w:tcPr>
            <w:tcW w:w="939" w:type="dxa"/>
            <w:tcBorders>
              <w:top w:val="nil"/>
              <w:left w:val="nil"/>
              <w:bottom w:val="single" w:sz="8" w:space="0" w:color="A6A6A6"/>
              <w:right w:val="single" w:sz="8" w:space="0" w:color="A6A6A6"/>
            </w:tcBorders>
            <w:shd w:val="clear" w:color="000000" w:fill="FFFFFF"/>
            <w:noWrap/>
            <w:vAlign w:val="center"/>
            <w:hideMark/>
          </w:tcPr>
          <w:p w14:paraId="47251652"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161,5</w:t>
            </w:r>
          </w:p>
        </w:tc>
        <w:tc>
          <w:tcPr>
            <w:tcW w:w="1270" w:type="dxa"/>
            <w:tcBorders>
              <w:top w:val="nil"/>
              <w:left w:val="nil"/>
              <w:bottom w:val="single" w:sz="8" w:space="0" w:color="A6A6A6"/>
              <w:right w:val="single" w:sz="8" w:space="0" w:color="A6A6A6"/>
            </w:tcBorders>
            <w:shd w:val="clear" w:color="000000" w:fill="FFFFFF"/>
            <w:noWrap/>
            <w:vAlign w:val="center"/>
            <w:hideMark/>
          </w:tcPr>
          <w:p w14:paraId="74D62419"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40,1</w:t>
            </w:r>
          </w:p>
        </w:tc>
        <w:tc>
          <w:tcPr>
            <w:tcW w:w="933" w:type="dxa"/>
            <w:tcBorders>
              <w:top w:val="nil"/>
              <w:left w:val="nil"/>
              <w:bottom w:val="single" w:sz="8" w:space="0" w:color="A6A6A6"/>
              <w:right w:val="single" w:sz="8" w:space="0" w:color="A6A6A6"/>
            </w:tcBorders>
            <w:shd w:val="clear" w:color="000000" w:fill="FFFFFF"/>
            <w:noWrap/>
            <w:vAlign w:val="center"/>
            <w:hideMark/>
          </w:tcPr>
          <w:p w14:paraId="5633CAE4"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371,7</w:t>
            </w:r>
          </w:p>
        </w:tc>
      </w:tr>
      <w:tr w:rsidR="006B63F1" w:rsidRPr="006B63F1" w14:paraId="3EF647DF" w14:textId="77777777" w:rsidTr="00C337EB">
        <w:trPr>
          <w:trHeight w:val="306"/>
          <w:jc w:val="center"/>
        </w:trPr>
        <w:tc>
          <w:tcPr>
            <w:tcW w:w="1488" w:type="dxa"/>
            <w:vMerge/>
            <w:tcBorders>
              <w:top w:val="nil"/>
              <w:left w:val="single" w:sz="8" w:space="0" w:color="A6A6A6"/>
              <w:bottom w:val="single" w:sz="8" w:space="0" w:color="A6A6A6"/>
              <w:right w:val="single" w:sz="8" w:space="0" w:color="A6A6A6"/>
            </w:tcBorders>
            <w:vAlign w:val="center"/>
            <w:hideMark/>
          </w:tcPr>
          <w:p w14:paraId="192DE24F"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p>
        </w:tc>
        <w:tc>
          <w:tcPr>
            <w:tcW w:w="2008" w:type="dxa"/>
            <w:tcBorders>
              <w:top w:val="nil"/>
              <w:left w:val="nil"/>
              <w:bottom w:val="single" w:sz="8" w:space="0" w:color="A6A6A6"/>
              <w:right w:val="single" w:sz="8" w:space="0" w:color="A6A6A6"/>
            </w:tcBorders>
            <w:shd w:val="clear" w:color="auto" w:fill="auto"/>
            <w:noWrap/>
            <w:vAlign w:val="center"/>
            <w:hideMark/>
          </w:tcPr>
          <w:p w14:paraId="104FB736"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Enjoy Antofagasta</w:t>
            </w:r>
          </w:p>
        </w:tc>
        <w:tc>
          <w:tcPr>
            <w:tcW w:w="1330" w:type="dxa"/>
            <w:tcBorders>
              <w:top w:val="nil"/>
              <w:left w:val="nil"/>
              <w:bottom w:val="single" w:sz="8" w:space="0" w:color="A6A6A6"/>
              <w:right w:val="single" w:sz="8" w:space="0" w:color="A6A6A6"/>
            </w:tcBorders>
            <w:shd w:val="clear" w:color="000000" w:fill="FFFFFF"/>
            <w:noWrap/>
            <w:vAlign w:val="center"/>
            <w:hideMark/>
          </w:tcPr>
          <w:p w14:paraId="5D34432B"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185,2</w:t>
            </w:r>
          </w:p>
        </w:tc>
        <w:tc>
          <w:tcPr>
            <w:tcW w:w="1256" w:type="dxa"/>
            <w:tcBorders>
              <w:top w:val="nil"/>
              <w:left w:val="nil"/>
              <w:bottom w:val="single" w:sz="8" w:space="0" w:color="A6A6A6"/>
              <w:right w:val="single" w:sz="8" w:space="0" w:color="A6A6A6"/>
            </w:tcBorders>
            <w:shd w:val="clear" w:color="000000" w:fill="FFFFFF"/>
            <w:noWrap/>
            <w:vAlign w:val="center"/>
            <w:hideMark/>
          </w:tcPr>
          <w:p w14:paraId="3901BD6F"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185,2</w:t>
            </w:r>
          </w:p>
        </w:tc>
        <w:tc>
          <w:tcPr>
            <w:tcW w:w="939" w:type="dxa"/>
            <w:tcBorders>
              <w:top w:val="nil"/>
              <w:left w:val="nil"/>
              <w:bottom w:val="single" w:sz="8" w:space="0" w:color="A6A6A6"/>
              <w:right w:val="single" w:sz="8" w:space="0" w:color="A6A6A6"/>
            </w:tcBorders>
            <w:shd w:val="clear" w:color="000000" w:fill="FFFFFF"/>
            <w:noWrap/>
            <w:vAlign w:val="center"/>
            <w:hideMark/>
          </w:tcPr>
          <w:p w14:paraId="12CD2BFC"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351,8</w:t>
            </w:r>
          </w:p>
        </w:tc>
        <w:tc>
          <w:tcPr>
            <w:tcW w:w="1270" w:type="dxa"/>
            <w:tcBorders>
              <w:top w:val="nil"/>
              <w:left w:val="nil"/>
              <w:bottom w:val="single" w:sz="8" w:space="0" w:color="A6A6A6"/>
              <w:right w:val="single" w:sz="8" w:space="0" w:color="A6A6A6"/>
            </w:tcBorders>
            <w:shd w:val="clear" w:color="000000" w:fill="FFFFFF"/>
            <w:noWrap/>
            <w:vAlign w:val="center"/>
            <w:hideMark/>
          </w:tcPr>
          <w:p w14:paraId="641D2229"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98,9</w:t>
            </w:r>
          </w:p>
        </w:tc>
        <w:tc>
          <w:tcPr>
            <w:tcW w:w="933" w:type="dxa"/>
            <w:tcBorders>
              <w:top w:val="nil"/>
              <w:left w:val="nil"/>
              <w:bottom w:val="single" w:sz="8" w:space="0" w:color="A6A6A6"/>
              <w:right w:val="single" w:sz="8" w:space="0" w:color="A6A6A6"/>
            </w:tcBorders>
            <w:shd w:val="clear" w:color="000000" w:fill="FFFFFF"/>
            <w:noWrap/>
            <w:vAlign w:val="center"/>
            <w:hideMark/>
          </w:tcPr>
          <w:p w14:paraId="4CB460E6"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821,0</w:t>
            </w:r>
          </w:p>
        </w:tc>
      </w:tr>
      <w:tr w:rsidR="006B63F1" w:rsidRPr="006B63F1" w14:paraId="34876F4C" w14:textId="77777777" w:rsidTr="00C337EB">
        <w:trPr>
          <w:trHeight w:val="306"/>
          <w:jc w:val="center"/>
        </w:trPr>
        <w:tc>
          <w:tcPr>
            <w:tcW w:w="1488" w:type="dxa"/>
            <w:tcBorders>
              <w:top w:val="nil"/>
              <w:left w:val="single" w:sz="8" w:space="0" w:color="A6A6A6"/>
              <w:bottom w:val="single" w:sz="8" w:space="0" w:color="A6A6A6"/>
              <w:right w:val="single" w:sz="8" w:space="0" w:color="A6A6A6"/>
            </w:tcBorders>
            <w:shd w:val="clear" w:color="000000" w:fill="D9E2F3"/>
            <w:noWrap/>
            <w:vAlign w:val="center"/>
            <w:hideMark/>
          </w:tcPr>
          <w:p w14:paraId="09301A92"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De Atacama</w:t>
            </w:r>
          </w:p>
        </w:tc>
        <w:tc>
          <w:tcPr>
            <w:tcW w:w="2008" w:type="dxa"/>
            <w:tcBorders>
              <w:top w:val="nil"/>
              <w:left w:val="nil"/>
              <w:bottom w:val="single" w:sz="8" w:space="0" w:color="A6A6A6"/>
              <w:right w:val="single" w:sz="8" w:space="0" w:color="A6A6A6"/>
            </w:tcBorders>
            <w:shd w:val="clear" w:color="000000" w:fill="D9E2F3"/>
            <w:noWrap/>
            <w:vAlign w:val="center"/>
            <w:hideMark/>
          </w:tcPr>
          <w:p w14:paraId="1577FD60"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proofErr w:type="spellStart"/>
            <w:r w:rsidRPr="006B63F1">
              <w:rPr>
                <w:rFonts w:ascii="Calibri" w:eastAsia="Times New Roman" w:hAnsi="Calibri" w:cs="Calibri"/>
                <w:color w:val="244062"/>
                <w:sz w:val="18"/>
                <w:szCs w:val="18"/>
                <w:lang w:eastAsia="es-CL"/>
              </w:rPr>
              <w:t>Antay</w:t>
            </w:r>
            <w:proofErr w:type="spellEnd"/>
            <w:r w:rsidRPr="006B63F1">
              <w:rPr>
                <w:rFonts w:ascii="Calibri" w:eastAsia="Times New Roman" w:hAnsi="Calibri" w:cs="Calibri"/>
                <w:color w:val="244062"/>
                <w:sz w:val="18"/>
                <w:szCs w:val="18"/>
                <w:lang w:eastAsia="es-CL"/>
              </w:rPr>
              <w:t xml:space="preserve"> Casino &amp; Hotel</w:t>
            </w:r>
          </w:p>
        </w:tc>
        <w:tc>
          <w:tcPr>
            <w:tcW w:w="1330" w:type="dxa"/>
            <w:tcBorders>
              <w:top w:val="nil"/>
              <w:left w:val="nil"/>
              <w:bottom w:val="single" w:sz="8" w:space="0" w:color="A6A6A6"/>
              <w:right w:val="single" w:sz="8" w:space="0" w:color="A6A6A6"/>
            </w:tcBorders>
            <w:shd w:val="clear" w:color="000000" w:fill="D9E2F3"/>
            <w:noWrap/>
            <w:vAlign w:val="center"/>
            <w:hideMark/>
          </w:tcPr>
          <w:p w14:paraId="37401767"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116,9</w:t>
            </w:r>
          </w:p>
        </w:tc>
        <w:tc>
          <w:tcPr>
            <w:tcW w:w="1256" w:type="dxa"/>
            <w:tcBorders>
              <w:top w:val="nil"/>
              <w:left w:val="nil"/>
              <w:bottom w:val="single" w:sz="8" w:space="0" w:color="A6A6A6"/>
              <w:right w:val="single" w:sz="8" w:space="0" w:color="A6A6A6"/>
            </w:tcBorders>
            <w:shd w:val="clear" w:color="000000" w:fill="D9E2F3"/>
            <w:noWrap/>
            <w:vAlign w:val="center"/>
            <w:hideMark/>
          </w:tcPr>
          <w:p w14:paraId="30CEA7DB"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116,9</w:t>
            </w:r>
          </w:p>
        </w:tc>
        <w:tc>
          <w:tcPr>
            <w:tcW w:w="939" w:type="dxa"/>
            <w:tcBorders>
              <w:top w:val="nil"/>
              <w:left w:val="nil"/>
              <w:bottom w:val="single" w:sz="8" w:space="0" w:color="A6A6A6"/>
              <w:right w:val="single" w:sz="8" w:space="0" w:color="A6A6A6"/>
            </w:tcBorders>
            <w:shd w:val="clear" w:color="000000" w:fill="D9E2F3"/>
            <w:noWrap/>
            <w:vAlign w:val="center"/>
            <w:hideMark/>
          </w:tcPr>
          <w:p w14:paraId="030A4372"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224,4</w:t>
            </w:r>
          </w:p>
        </w:tc>
        <w:tc>
          <w:tcPr>
            <w:tcW w:w="1270" w:type="dxa"/>
            <w:tcBorders>
              <w:top w:val="nil"/>
              <w:left w:val="nil"/>
              <w:bottom w:val="single" w:sz="8" w:space="0" w:color="A6A6A6"/>
              <w:right w:val="single" w:sz="8" w:space="0" w:color="A6A6A6"/>
            </w:tcBorders>
            <w:shd w:val="clear" w:color="000000" w:fill="D9E2F3"/>
            <w:noWrap/>
            <w:vAlign w:val="center"/>
            <w:hideMark/>
          </w:tcPr>
          <w:p w14:paraId="3BCA1972"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69,4</w:t>
            </w:r>
          </w:p>
        </w:tc>
        <w:tc>
          <w:tcPr>
            <w:tcW w:w="933" w:type="dxa"/>
            <w:tcBorders>
              <w:top w:val="nil"/>
              <w:left w:val="nil"/>
              <w:bottom w:val="single" w:sz="8" w:space="0" w:color="A6A6A6"/>
              <w:right w:val="single" w:sz="8" w:space="0" w:color="A6A6A6"/>
            </w:tcBorders>
            <w:shd w:val="clear" w:color="000000" w:fill="D9E2F3"/>
            <w:noWrap/>
            <w:vAlign w:val="center"/>
            <w:hideMark/>
          </w:tcPr>
          <w:p w14:paraId="533F0AA0"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527,7</w:t>
            </w:r>
          </w:p>
        </w:tc>
      </w:tr>
      <w:tr w:rsidR="006B63F1" w:rsidRPr="006B63F1" w14:paraId="365778C2" w14:textId="77777777" w:rsidTr="00C337EB">
        <w:trPr>
          <w:trHeight w:val="306"/>
          <w:jc w:val="center"/>
        </w:trPr>
        <w:tc>
          <w:tcPr>
            <w:tcW w:w="1488" w:type="dxa"/>
            <w:vMerge w:val="restart"/>
            <w:tcBorders>
              <w:top w:val="nil"/>
              <w:left w:val="single" w:sz="8" w:space="0" w:color="A6A6A6"/>
              <w:bottom w:val="single" w:sz="8" w:space="0" w:color="A6A6A6"/>
              <w:right w:val="single" w:sz="8" w:space="0" w:color="A6A6A6"/>
            </w:tcBorders>
            <w:shd w:val="clear" w:color="auto" w:fill="auto"/>
            <w:noWrap/>
            <w:vAlign w:val="center"/>
            <w:hideMark/>
          </w:tcPr>
          <w:p w14:paraId="4AC581E9"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De Coquimbo</w:t>
            </w:r>
          </w:p>
        </w:tc>
        <w:tc>
          <w:tcPr>
            <w:tcW w:w="2008" w:type="dxa"/>
            <w:tcBorders>
              <w:top w:val="nil"/>
              <w:left w:val="nil"/>
              <w:bottom w:val="single" w:sz="8" w:space="0" w:color="A6A6A6"/>
              <w:right w:val="single" w:sz="8" w:space="0" w:color="A6A6A6"/>
            </w:tcBorders>
            <w:shd w:val="clear" w:color="auto" w:fill="auto"/>
            <w:noWrap/>
            <w:vAlign w:val="center"/>
            <w:hideMark/>
          </w:tcPr>
          <w:p w14:paraId="1615B68B"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Ovalle Casino Resort S.A.</w:t>
            </w:r>
          </w:p>
        </w:tc>
        <w:tc>
          <w:tcPr>
            <w:tcW w:w="1330" w:type="dxa"/>
            <w:tcBorders>
              <w:top w:val="nil"/>
              <w:left w:val="nil"/>
              <w:bottom w:val="single" w:sz="8" w:space="0" w:color="A6A6A6"/>
              <w:right w:val="single" w:sz="8" w:space="0" w:color="A6A6A6"/>
            </w:tcBorders>
            <w:shd w:val="clear" w:color="000000" w:fill="FFFFFF"/>
            <w:noWrap/>
            <w:vAlign w:val="center"/>
            <w:hideMark/>
          </w:tcPr>
          <w:p w14:paraId="5A089F60"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38,4</w:t>
            </w:r>
          </w:p>
        </w:tc>
        <w:tc>
          <w:tcPr>
            <w:tcW w:w="1256" w:type="dxa"/>
            <w:tcBorders>
              <w:top w:val="nil"/>
              <w:left w:val="nil"/>
              <w:bottom w:val="single" w:sz="8" w:space="0" w:color="A6A6A6"/>
              <w:right w:val="single" w:sz="8" w:space="0" w:color="A6A6A6"/>
            </w:tcBorders>
            <w:shd w:val="clear" w:color="000000" w:fill="FFFFFF"/>
            <w:noWrap/>
            <w:vAlign w:val="center"/>
            <w:hideMark/>
          </w:tcPr>
          <w:p w14:paraId="17D71E83"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38,4</w:t>
            </w:r>
          </w:p>
        </w:tc>
        <w:tc>
          <w:tcPr>
            <w:tcW w:w="939" w:type="dxa"/>
            <w:tcBorders>
              <w:top w:val="nil"/>
              <w:left w:val="nil"/>
              <w:bottom w:val="single" w:sz="8" w:space="0" w:color="A6A6A6"/>
              <w:right w:val="single" w:sz="8" w:space="0" w:color="A6A6A6"/>
            </w:tcBorders>
            <w:shd w:val="clear" w:color="000000" w:fill="FFFFFF"/>
            <w:noWrap/>
            <w:vAlign w:val="center"/>
            <w:hideMark/>
          </w:tcPr>
          <w:p w14:paraId="32BA4C00"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72,9</w:t>
            </w:r>
          </w:p>
        </w:tc>
        <w:tc>
          <w:tcPr>
            <w:tcW w:w="1270" w:type="dxa"/>
            <w:tcBorders>
              <w:top w:val="nil"/>
              <w:left w:val="nil"/>
              <w:bottom w:val="single" w:sz="8" w:space="0" w:color="A6A6A6"/>
              <w:right w:val="single" w:sz="8" w:space="0" w:color="A6A6A6"/>
            </w:tcBorders>
            <w:shd w:val="clear" w:color="000000" w:fill="FFFFFF"/>
            <w:noWrap/>
            <w:vAlign w:val="center"/>
            <w:hideMark/>
          </w:tcPr>
          <w:p w14:paraId="30026F9F"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22,7</w:t>
            </w:r>
          </w:p>
        </w:tc>
        <w:tc>
          <w:tcPr>
            <w:tcW w:w="933" w:type="dxa"/>
            <w:tcBorders>
              <w:top w:val="nil"/>
              <w:left w:val="nil"/>
              <w:bottom w:val="single" w:sz="8" w:space="0" w:color="A6A6A6"/>
              <w:right w:val="single" w:sz="8" w:space="0" w:color="A6A6A6"/>
            </w:tcBorders>
            <w:shd w:val="clear" w:color="000000" w:fill="FFFFFF"/>
            <w:noWrap/>
            <w:vAlign w:val="center"/>
            <w:hideMark/>
          </w:tcPr>
          <w:p w14:paraId="6880F582"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172,4</w:t>
            </w:r>
          </w:p>
        </w:tc>
      </w:tr>
      <w:tr w:rsidR="006B63F1" w:rsidRPr="006B63F1" w14:paraId="5EDCECFD" w14:textId="77777777" w:rsidTr="00C337EB">
        <w:trPr>
          <w:trHeight w:val="306"/>
          <w:jc w:val="center"/>
        </w:trPr>
        <w:tc>
          <w:tcPr>
            <w:tcW w:w="1488" w:type="dxa"/>
            <w:vMerge/>
            <w:tcBorders>
              <w:top w:val="nil"/>
              <w:left w:val="single" w:sz="8" w:space="0" w:color="A6A6A6"/>
              <w:bottom w:val="single" w:sz="8" w:space="0" w:color="A6A6A6"/>
              <w:right w:val="single" w:sz="8" w:space="0" w:color="A6A6A6"/>
            </w:tcBorders>
            <w:vAlign w:val="center"/>
            <w:hideMark/>
          </w:tcPr>
          <w:p w14:paraId="54C07FF8"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p>
        </w:tc>
        <w:tc>
          <w:tcPr>
            <w:tcW w:w="2008" w:type="dxa"/>
            <w:tcBorders>
              <w:top w:val="nil"/>
              <w:left w:val="nil"/>
              <w:bottom w:val="single" w:sz="8" w:space="0" w:color="A6A6A6"/>
              <w:right w:val="single" w:sz="8" w:space="0" w:color="A6A6A6"/>
            </w:tcBorders>
            <w:shd w:val="clear" w:color="auto" w:fill="auto"/>
            <w:noWrap/>
            <w:vAlign w:val="center"/>
            <w:hideMark/>
          </w:tcPr>
          <w:p w14:paraId="77FA3098"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Enjoy Coquimbo*</w:t>
            </w:r>
          </w:p>
        </w:tc>
        <w:tc>
          <w:tcPr>
            <w:tcW w:w="1330" w:type="dxa"/>
            <w:tcBorders>
              <w:top w:val="nil"/>
              <w:left w:val="nil"/>
              <w:bottom w:val="single" w:sz="8" w:space="0" w:color="A6A6A6"/>
              <w:right w:val="single" w:sz="8" w:space="0" w:color="A6A6A6"/>
            </w:tcBorders>
            <w:shd w:val="clear" w:color="000000" w:fill="FFFFFF"/>
            <w:noWrap/>
            <w:vAlign w:val="center"/>
            <w:hideMark/>
          </w:tcPr>
          <w:p w14:paraId="54273FD0"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94,6</w:t>
            </w:r>
          </w:p>
        </w:tc>
        <w:tc>
          <w:tcPr>
            <w:tcW w:w="1256" w:type="dxa"/>
            <w:tcBorders>
              <w:top w:val="nil"/>
              <w:left w:val="nil"/>
              <w:bottom w:val="single" w:sz="8" w:space="0" w:color="A6A6A6"/>
              <w:right w:val="single" w:sz="8" w:space="0" w:color="A6A6A6"/>
            </w:tcBorders>
            <w:shd w:val="clear" w:color="000000" w:fill="FFFFFF"/>
            <w:noWrap/>
            <w:vAlign w:val="center"/>
            <w:hideMark/>
          </w:tcPr>
          <w:p w14:paraId="00C7ED80"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94,6</w:t>
            </w:r>
          </w:p>
        </w:tc>
        <w:tc>
          <w:tcPr>
            <w:tcW w:w="939" w:type="dxa"/>
            <w:tcBorders>
              <w:top w:val="nil"/>
              <w:left w:val="nil"/>
              <w:bottom w:val="single" w:sz="8" w:space="0" w:color="A6A6A6"/>
              <w:right w:val="single" w:sz="8" w:space="0" w:color="A6A6A6"/>
            </w:tcBorders>
            <w:shd w:val="clear" w:color="000000" w:fill="FFFFFF"/>
            <w:noWrap/>
            <w:vAlign w:val="center"/>
            <w:hideMark/>
          </w:tcPr>
          <w:p w14:paraId="10EF004D"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179,7</w:t>
            </w:r>
          </w:p>
        </w:tc>
        <w:tc>
          <w:tcPr>
            <w:tcW w:w="1270" w:type="dxa"/>
            <w:tcBorders>
              <w:top w:val="nil"/>
              <w:left w:val="nil"/>
              <w:bottom w:val="single" w:sz="8" w:space="0" w:color="A6A6A6"/>
              <w:right w:val="single" w:sz="8" w:space="0" w:color="A6A6A6"/>
            </w:tcBorders>
            <w:shd w:val="clear" w:color="000000" w:fill="FFFFFF"/>
            <w:noWrap/>
            <w:vAlign w:val="center"/>
            <w:hideMark/>
          </w:tcPr>
          <w:p w14:paraId="3BEB3150"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53,2</w:t>
            </w:r>
          </w:p>
        </w:tc>
        <w:tc>
          <w:tcPr>
            <w:tcW w:w="933" w:type="dxa"/>
            <w:tcBorders>
              <w:top w:val="nil"/>
              <w:left w:val="nil"/>
              <w:bottom w:val="single" w:sz="8" w:space="0" w:color="A6A6A6"/>
              <w:right w:val="single" w:sz="8" w:space="0" w:color="A6A6A6"/>
            </w:tcBorders>
            <w:shd w:val="clear" w:color="000000" w:fill="FFFFFF"/>
            <w:noWrap/>
            <w:vAlign w:val="center"/>
            <w:hideMark/>
          </w:tcPr>
          <w:p w14:paraId="48CF96E7"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422,0</w:t>
            </w:r>
          </w:p>
        </w:tc>
      </w:tr>
      <w:tr w:rsidR="006B63F1" w:rsidRPr="006B63F1" w14:paraId="58F29D91" w14:textId="77777777" w:rsidTr="00C337EB">
        <w:trPr>
          <w:trHeight w:val="306"/>
          <w:jc w:val="center"/>
        </w:trPr>
        <w:tc>
          <w:tcPr>
            <w:tcW w:w="1488" w:type="dxa"/>
            <w:vMerge w:val="restart"/>
            <w:tcBorders>
              <w:top w:val="nil"/>
              <w:left w:val="single" w:sz="8" w:space="0" w:color="A6A6A6"/>
              <w:bottom w:val="nil"/>
              <w:right w:val="single" w:sz="8" w:space="0" w:color="A6A6A6"/>
            </w:tcBorders>
            <w:shd w:val="clear" w:color="000000" w:fill="D9E2F3"/>
            <w:noWrap/>
            <w:vAlign w:val="center"/>
            <w:hideMark/>
          </w:tcPr>
          <w:p w14:paraId="5C7C9447"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De Valparaíso</w:t>
            </w:r>
          </w:p>
        </w:tc>
        <w:tc>
          <w:tcPr>
            <w:tcW w:w="2008" w:type="dxa"/>
            <w:tcBorders>
              <w:top w:val="nil"/>
              <w:left w:val="nil"/>
              <w:bottom w:val="single" w:sz="8" w:space="0" w:color="A6A6A6"/>
              <w:right w:val="single" w:sz="8" w:space="0" w:color="A6A6A6"/>
            </w:tcBorders>
            <w:shd w:val="clear" w:color="000000" w:fill="D9E2F3"/>
            <w:noWrap/>
            <w:vAlign w:val="center"/>
            <w:hideMark/>
          </w:tcPr>
          <w:p w14:paraId="325156FD"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Casino de Juegos del Pacífico</w:t>
            </w:r>
          </w:p>
        </w:tc>
        <w:tc>
          <w:tcPr>
            <w:tcW w:w="1330" w:type="dxa"/>
            <w:tcBorders>
              <w:top w:val="nil"/>
              <w:left w:val="nil"/>
              <w:bottom w:val="single" w:sz="8" w:space="0" w:color="A6A6A6"/>
              <w:right w:val="single" w:sz="8" w:space="0" w:color="A6A6A6"/>
            </w:tcBorders>
            <w:shd w:val="clear" w:color="000000" w:fill="D9E2F3"/>
            <w:noWrap/>
            <w:vAlign w:val="center"/>
            <w:hideMark/>
          </w:tcPr>
          <w:p w14:paraId="7582F0AA"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80,3</w:t>
            </w:r>
          </w:p>
        </w:tc>
        <w:tc>
          <w:tcPr>
            <w:tcW w:w="1256" w:type="dxa"/>
            <w:tcBorders>
              <w:top w:val="nil"/>
              <w:left w:val="nil"/>
              <w:bottom w:val="single" w:sz="8" w:space="0" w:color="A6A6A6"/>
              <w:right w:val="single" w:sz="8" w:space="0" w:color="A6A6A6"/>
            </w:tcBorders>
            <w:shd w:val="clear" w:color="000000" w:fill="D9E2F3"/>
            <w:noWrap/>
            <w:vAlign w:val="center"/>
            <w:hideMark/>
          </w:tcPr>
          <w:p w14:paraId="3B5791E9"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80,3</w:t>
            </w:r>
          </w:p>
        </w:tc>
        <w:tc>
          <w:tcPr>
            <w:tcW w:w="939" w:type="dxa"/>
            <w:tcBorders>
              <w:top w:val="nil"/>
              <w:left w:val="nil"/>
              <w:bottom w:val="single" w:sz="8" w:space="0" w:color="A6A6A6"/>
              <w:right w:val="single" w:sz="8" w:space="0" w:color="A6A6A6"/>
            </w:tcBorders>
            <w:shd w:val="clear" w:color="000000" w:fill="D9E2F3"/>
            <w:noWrap/>
            <w:vAlign w:val="center"/>
            <w:hideMark/>
          </w:tcPr>
          <w:p w14:paraId="29855DB4"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152,5</w:t>
            </w:r>
          </w:p>
        </w:tc>
        <w:tc>
          <w:tcPr>
            <w:tcW w:w="1270" w:type="dxa"/>
            <w:tcBorders>
              <w:top w:val="nil"/>
              <w:left w:val="nil"/>
              <w:bottom w:val="single" w:sz="8" w:space="0" w:color="A6A6A6"/>
              <w:right w:val="single" w:sz="8" w:space="0" w:color="A6A6A6"/>
            </w:tcBorders>
            <w:shd w:val="clear" w:color="000000" w:fill="D9E2F3"/>
            <w:noWrap/>
            <w:vAlign w:val="center"/>
            <w:hideMark/>
          </w:tcPr>
          <w:p w14:paraId="7C6895DB"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55,4</w:t>
            </w:r>
          </w:p>
        </w:tc>
        <w:tc>
          <w:tcPr>
            <w:tcW w:w="933" w:type="dxa"/>
            <w:tcBorders>
              <w:top w:val="nil"/>
              <w:left w:val="nil"/>
              <w:bottom w:val="single" w:sz="8" w:space="0" w:color="A6A6A6"/>
              <w:right w:val="single" w:sz="8" w:space="0" w:color="A6A6A6"/>
            </w:tcBorders>
            <w:shd w:val="clear" w:color="000000" w:fill="D9E2F3"/>
            <w:noWrap/>
            <w:vAlign w:val="center"/>
            <w:hideMark/>
          </w:tcPr>
          <w:p w14:paraId="534A0019"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368,5</w:t>
            </w:r>
          </w:p>
        </w:tc>
      </w:tr>
      <w:tr w:rsidR="006B63F1" w:rsidRPr="006B63F1" w14:paraId="1BCE797A" w14:textId="77777777" w:rsidTr="00C337EB">
        <w:trPr>
          <w:trHeight w:val="306"/>
          <w:jc w:val="center"/>
        </w:trPr>
        <w:tc>
          <w:tcPr>
            <w:tcW w:w="1488" w:type="dxa"/>
            <w:vMerge/>
            <w:tcBorders>
              <w:top w:val="nil"/>
              <w:left w:val="single" w:sz="8" w:space="0" w:color="A6A6A6"/>
              <w:bottom w:val="nil"/>
              <w:right w:val="single" w:sz="8" w:space="0" w:color="A6A6A6"/>
            </w:tcBorders>
            <w:vAlign w:val="center"/>
            <w:hideMark/>
          </w:tcPr>
          <w:p w14:paraId="6E939F63"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p>
        </w:tc>
        <w:tc>
          <w:tcPr>
            <w:tcW w:w="2008" w:type="dxa"/>
            <w:tcBorders>
              <w:top w:val="nil"/>
              <w:left w:val="nil"/>
              <w:bottom w:val="single" w:sz="8" w:space="0" w:color="A6A6A6"/>
              <w:right w:val="single" w:sz="8" w:space="0" w:color="A6A6A6"/>
            </w:tcBorders>
            <w:shd w:val="clear" w:color="000000" w:fill="D9E2F3"/>
            <w:noWrap/>
            <w:vAlign w:val="center"/>
            <w:hideMark/>
          </w:tcPr>
          <w:p w14:paraId="30567F65"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Enjoy Viña del Mar</w:t>
            </w:r>
          </w:p>
        </w:tc>
        <w:tc>
          <w:tcPr>
            <w:tcW w:w="1330" w:type="dxa"/>
            <w:tcBorders>
              <w:top w:val="nil"/>
              <w:left w:val="nil"/>
              <w:bottom w:val="single" w:sz="8" w:space="0" w:color="A6A6A6"/>
              <w:right w:val="single" w:sz="8" w:space="0" w:color="A6A6A6"/>
            </w:tcBorders>
            <w:shd w:val="clear" w:color="000000" w:fill="D9E2F3"/>
            <w:noWrap/>
            <w:vAlign w:val="center"/>
            <w:hideMark/>
          </w:tcPr>
          <w:p w14:paraId="016204DC"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457,3</w:t>
            </w:r>
          </w:p>
        </w:tc>
        <w:tc>
          <w:tcPr>
            <w:tcW w:w="1256" w:type="dxa"/>
            <w:tcBorders>
              <w:top w:val="nil"/>
              <w:left w:val="nil"/>
              <w:bottom w:val="single" w:sz="8" w:space="0" w:color="A6A6A6"/>
              <w:right w:val="single" w:sz="8" w:space="0" w:color="A6A6A6"/>
            </w:tcBorders>
            <w:shd w:val="clear" w:color="000000" w:fill="D9E2F3"/>
            <w:noWrap/>
            <w:vAlign w:val="center"/>
            <w:hideMark/>
          </w:tcPr>
          <w:p w14:paraId="2861241F"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457,3</w:t>
            </w:r>
          </w:p>
        </w:tc>
        <w:tc>
          <w:tcPr>
            <w:tcW w:w="939" w:type="dxa"/>
            <w:tcBorders>
              <w:top w:val="nil"/>
              <w:left w:val="nil"/>
              <w:bottom w:val="single" w:sz="8" w:space="0" w:color="A6A6A6"/>
              <w:right w:val="single" w:sz="8" w:space="0" w:color="A6A6A6"/>
            </w:tcBorders>
            <w:shd w:val="clear" w:color="000000" w:fill="D9E2F3"/>
            <w:noWrap/>
            <w:vAlign w:val="center"/>
            <w:hideMark/>
          </w:tcPr>
          <w:p w14:paraId="31B37595"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868,9</w:t>
            </w:r>
          </w:p>
        </w:tc>
        <w:tc>
          <w:tcPr>
            <w:tcW w:w="1270" w:type="dxa"/>
            <w:tcBorders>
              <w:top w:val="nil"/>
              <w:left w:val="nil"/>
              <w:bottom w:val="single" w:sz="8" w:space="0" w:color="A6A6A6"/>
              <w:right w:val="single" w:sz="8" w:space="0" w:color="A6A6A6"/>
            </w:tcBorders>
            <w:shd w:val="clear" w:color="000000" w:fill="D9E2F3"/>
            <w:noWrap/>
            <w:vAlign w:val="center"/>
            <w:hideMark/>
          </w:tcPr>
          <w:p w14:paraId="4CB29C93"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229,5</w:t>
            </w:r>
          </w:p>
        </w:tc>
        <w:tc>
          <w:tcPr>
            <w:tcW w:w="933" w:type="dxa"/>
            <w:tcBorders>
              <w:top w:val="nil"/>
              <w:left w:val="nil"/>
              <w:bottom w:val="single" w:sz="8" w:space="0" w:color="A6A6A6"/>
              <w:right w:val="single" w:sz="8" w:space="0" w:color="A6A6A6"/>
            </w:tcBorders>
            <w:shd w:val="clear" w:color="000000" w:fill="D9E2F3"/>
            <w:noWrap/>
            <w:vAlign w:val="center"/>
            <w:hideMark/>
          </w:tcPr>
          <w:p w14:paraId="7B2D8183"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2.013,1</w:t>
            </w:r>
          </w:p>
        </w:tc>
      </w:tr>
      <w:tr w:rsidR="006B63F1" w:rsidRPr="006B63F1" w14:paraId="0DB30E73" w14:textId="77777777" w:rsidTr="00C337EB">
        <w:trPr>
          <w:trHeight w:val="306"/>
          <w:jc w:val="center"/>
        </w:trPr>
        <w:tc>
          <w:tcPr>
            <w:tcW w:w="1488" w:type="dxa"/>
            <w:vMerge/>
            <w:tcBorders>
              <w:top w:val="nil"/>
              <w:left w:val="single" w:sz="8" w:space="0" w:color="A6A6A6"/>
              <w:bottom w:val="nil"/>
              <w:right w:val="single" w:sz="8" w:space="0" w:color="A6A6A6"/>
            </w:tcBorders>
            <w:vAlign w:val="center"/>
            <w:hideMark/>
          </w:tcPr>
          <w:p w14:paraId="5B16EC99"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p>
        </w:tc>
        <w:tc>
          <w:tcPr>
            <w:tcW w:w="2008" w:type="dxa"/>
            <w:tcBorders>
              <w:top w:val="nil"/>
              <w:left w:val="nil"/>
              <w:bottom w:val="single" w:sz="8" w:space="0" w:color="A6A6A6"/>
              <w:right w:val="single" w:sz="8" w:space="0" w:color="A6A6A6"/>
            </w:tcBorders>
            <w:shd w:val="clear" w:color="000000" w:fill="D9E2F3"/>
            <w:noWrap/>
            <w:vAlign w:val="center"/>
            <w:hideMark/>
          </w:tcPr>
          <w:p w14:paraId="197F9B07"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Enjoy Santiago</w:t>
            </w:r>
          </w:p>
        </w:tc>
        <w:tc>
          <w:tcPr>
            <w:tcW w:w="1330" w:type="dxa"/>
            <w:tcBorders>
              <w:top w:val="nil"/>
              <w:left w:val="nil"/>
              <w:bottom w:val="single" w:sz="8" w:space="0" w:color="A6A6A6"/>
              <w:right w:val="single" w:sz="8" w:space="0" w:color="A6A6A6"/>
            </w:tcBorders>
            <w:shd w:val="clear" w:color="000000" w:fill="D9E2F3"/>
            <w:noWrap/>
            <w:vAlign w:val="center"/>
            <w:hideMark/>
          </w:tcPr>
          <w:p w14:paraId="4F6B0F2B"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237,4</w:t>
            </w:r>
          </w:p>
        </w:tc>
        <w:tc>
          <w:tcPr>
            <w:tcW w:w="1256" w:type="dxa"/>
            <w:tcBorders>
              <w:top w:val="nil"/>
              <w:left w:val="nil"/>
              <w:bottom w:val="single" w:sz="8" w:space="0" w:color="A6A6A6"/>
              <w:right w:val="single" w:sz="8" w:space="0" w:color="A6A6A6"/>
            </w:tcBorders>
            <w:shd w:val="clear" w:color="000000" w:fill="D9E2F3"/>
            <w:noWrap/>
            <w:vAlign w:val="center"/>
            <w:hideMark/>
          </w:tcPr>
          <w:p w14:paraId="5931C43A"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237,4</w:t>
            </w:r>
          </w:p>
        </w:tc>
        <w:tc>
          <w:tcPr>
            <w:tcW w:w="939" w:type="dxa"/>
            <w:tcBorders>
              <w:top w:val="nil"/>
              <w:left w:val="nil"/>
              <w:bottom w:val="single" w:sz="8" w:space="0" w:color="A6A6A6"/>
              <w:right w:val="single" w:sz="8" w:space="0" w:color="A6A6A6"/>
            </w:tcBorders>
            <w:shd w:val="clear" w:color="000000" w:fill="D9E2F3"/>
            <w:noWrap/>
            <w:vAlign w:val="center"/>
            <w:hideMark/>
          </w:tcPr>
          <w:p w14:paraId="6541DC94"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451,0</w:t>
            </w:r>
          </w:p>
        </w:tc>
        <w:tc>
          <w:tcPr>
            <w:tcW w:w="1270" w:type="dxa"/>
            <w:tcBorders>
              <w:top w:val="nil"/>
              <w:left w:val="nil"/>
              <w:bottom w:val="single" w:sz="8" w:space="0" w:color="A6A6A6"/>
              <w:right w:val="single" w:sz="8" w:space="0" w:color="A6A6A6"/>
            </w:tcBorders>
            <w:shd w:val="clear" w:color="000000" w:fill="D9E2F3"/>
            <w:noWrap/>
            <w:vAlign w:val="center"/>
            <w:hideMark/>
          </w:tcPr>
          <w:p w14:paraId="2AB80F1B"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93,8</w:t>
            </w:r>
          </w:p>
        </w:tc>
        <w:tc>
          <w:tcPr>
            <w:tcW w:w="933" w:type="dxa"/>
            <w:tcBorders>
              <w:top w:val="nil"/>
              <w:left w:val="nil"/>
              <w:bottom w:val="single" w:sz="8" w:space="0" w:color="A6A6A6"/>
              <w:right w:val="single" w:sz="8" w:space="0" w:color="A6A6A6"/>
            </w:tcBorders>
            <w:shd w:val="clear" w:color="000000" w:fill="D9E2F3"/>
            <w:noWrap/>
            <w:vAlign w:val="center"/>
            <w:hideMark/>
          </w:tcPr>
          <w:p w14:paraId="72284384"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1.019,5</w:t>
            </w:r>
          </w:p>
        </w:tc>
      </w:tr>
      <w:tr w:rsidR="006B63F1" w:rsidRPr="006B63F1" w14:paraId="21F6EFAB" w14:textId="77777777" w:rsidTr="00C337EB">
        <w:trPr>
          <w:trHeight w:val="306"/>
          <w:jc w:val="center"/>
        </w:trPr>
        <w:tc>
          <w:tcPr>
            <w:tcW w:w="1488" w:type="dxa"/>
            <w:vMerge w:val="restart"/>
            <w:tcBorders>
              <w:top w:val="single" w:sz="8" w:space="0" w:color="A6A6A6"/>
              <w:left w:val="single" w:sz="8" w:space="0" w:color="A6A6A6"/>
              <w:bottom w:val="single" w:sz="8" w:space="0" w:color="A6A6A6"/>
              <w:right w:val="single" w:sz="8" w:space="0" w:color="A6A6A6"/>
            </w:tcBorders>
            <w:shd w:val="clear" w:color="auto" w:fill="auto"/>
            <w:noWrap/>
            <w:vAlign w:val="center"/>
            <w:hideMark/>
          </w:tcPr>
          <w:p w14:paraId="293E100B"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De O´Higgins</w:t>
            </w:r>
          </w:p>
        </w:tc>
        <w:tc>
          <w:tcPr>
            <w:tcW w:w="2008" w:type="dxa"/>
            <w:tcBorders>
              <w:top w:val="nil"/>
              <w:left w:val="nil"/>
              <w:bottom w:val="single" w:sz="8" w:space="0" w:color="A6A6A6"/>
              <w:right w:val="single" w:sz="8" w:space="0" w:color="A6A6A6"/>
            </w:tcBorders>
            <w:shd w:val="clear" w:color="auto" w:fill="auto"/>
            <w:noWrap/>
            <w:vAlign w:val="center"/>
            <w:hideMark/>
          </w:tcPr>
          <w:p w14:paraId="4CFA4DA9"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Casino Monticello</w:t>
            </w:r>
          </w:p>
        </w:tc>
        <w:tc>
          <w:tcPr>
            <w:tcW w:w="1330" w:type="dxa"/>
            <w:tcBorders>
              <w:top w:val="nil"/>
              <w:left w:val="nil"/>
              <w:bottom w:val="single" w:sz="8" w:space="0" w:color="A6A6A6"/>
              <w:right w:val="single" w:sz="8" w:space="0" w:color="A6A6A6"/>
            </w:tcBorders>
            <w:shd w:val="clear" w:color="000000" w:fill="FFFFFF"/>
            <w:noWrap/>
            <w:vAlign w:val="center"/>
            <w:hideMark/>
          </w:tcPr>
          <w:p w14:paraId="39823A2A"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751,5</w:t>
            </w:r>
          </w:p>
        </w:tc>
        <w:tc>
          <w:tcPr>
            <w:tcW w:w="1256" w:type="dxa"/>
            <w:tcBorders>
              <w:top w:val="nil"/>
              <w:left w:val="nil"/>
              <w:bottom w:val="single" w:sz="8" w:space="0" w:color="A6A6A6"/>
              <w:right w:val="single" w:sz="8" w:space="0" w:color="A6A6A6"/>
            </w:tcBorders>
            <w:shd w:val="clear" w:color="000000" w:fill="FFFFFF"/>
            <w:noWrap/>
            <w:vAlign w:val="center"/>
            <w:hideMark/>
          </w:tcPr>
          <w:p w14:paraId="53FE3B11"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751,5</w:t>
            </w:r>
          </w:p>
        </w:tc>
        <w:tc>
          <w:tcPr>
            <w:tcW w:w="939" w:type="dxa"/>
            <w:tcBorders>
              <w:top w:val="nil"/>
              <w:left w:val="nil"/>
              <w:bottom w:val="single" w:sz="8" w:space="0" w:color="A6A6A6"/>
              <w:right w:val="single" w:sz="8" w:space="0" w:color="A6A6A6"/>
            </w:tcBorders>
            <w:shd w:val="clear" w:color="000000" w:fill="FFFFFF"/>
            <w:noWrap/>
            <w:vAlign w:val="center"/>
            <w:hideMark/>
          </w:tcPr>
          <w:p w14:paraId="5B2CE4E6"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1.427,8</w:t>
            </w:r>
          </w:p>
        </w:tc>
        <w:tc>
          <w:tcPr>
            <w:tcW w:w="1270" w:type="dxa"/>
            <w:tcBorders>
              <w:top w:val="nil"/>
              <w:left w:val="nil"/>
              <w:bottom w:val="single" w:sz="8" w:space="0" w:color="A6A6A6"/>
              <w:right w:val="single" w:sz="8" w:space="0" w:color="A6A6A6"/>
            </w:tcBorders>
            <w:shd w:val="clear" w:color="000000" w:fill="FFFFFF"/>
            <w:noWrap/>
            <w:vAlign w:val="center"/>
            <w:hideMark/>
          </w:tcPr>
          <w:p w14:paraId="645630B5"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254,2</w:t>
            </w:r>
          </w:p>
        </w:tc>
        <w:tc>
          <w:tcPr>
            <w:tcW w:w="933" w:type="dxa"/>
            <w:tcBorders>
              <w:top w:val="nil"/>
              <w:left w:val="nil"/>
              <w:bottom w:val="single" w:sz="8" w:space="0" w:color="A6A6A6"/>
              <w:right w:val="single" w:sz="8" w:space="0" w:color="A6A6A6"/>
            </w:tcBorders>
            <w:shd w:val="clear" w:color="000000" w:fill="FFFFFF"/>
            <w:noWrap/>
            <w:vAlign w:val="center"/>
            <w:hideMark/>
          </w:tcPr>
          <w:p w14:paraId="599771D5"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3.185,0</w:t>
            </w:r>
          </w:p>
        </w:tc>
      </w:tr>
      <w:tr w:rsidR="006B63F1" w:rsidRPr="006B63F1" w14:paraId="5659D78F" w14:textId="77777777" w:rsidTr="00C337EB">
        <w:trPr>
          <w:trHeight w:val="306"/>
          <w:jc w:val="center"/>
        </w:trPr>
        <w:tc>
          <w:tcPr>
            <w:tcW w:w="1488" w:type="dxa"/>
            <w:vMerge/>
            <w:tcBorders>
              <w:top w:val="single" w:sz="8" w:space="0" w:color="A6A6A6"/>
              <w:left w:val="single" w:sz="8" w:space="0" w:color="A6A6A6"/>
              <w:bottom w:val="single" w:sz="8" w:space="0" w:color="A6A6A6"/>
              <w:right w:val="single" w:sz="8" w:space="0" w:color="A6A6A6"/>
            </w:tcBorders>
            <w:vAlign w:val="center"/>
            <w:hideMark/>
          </w:tcPr>
          <w:p w14:paraId="19552D31"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p>
        </w:tc>
        <w:tc>
          <w:tcPr>
            <w:tcW w:w="2008" w:type="dxa"/>
            <w:tcBorders>
              <w:top w:val="nil"/>
              <w:left w:val="nil"/>
              <w:bottom w:val="single" w:sz="8" w:space="0" w:color="A6A6A6"/>
              <w:right w:val="single" w:sz="8" w:space="0" w:color="A6A6A6"/>
            </w:tcBorders>
            <w:shd w:val="clear" w:color="auto" w:fill="auto"/>
            <w:noWrap/>
            <w:vAlign w:val="center"/>
            <w:hideMark/>
          </w:tcPr>
          <w:p w14:paraId="73B381DF"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Casino de Colchagua</w:t>
            </w:r>
          </w:p>
        </w:tc>
        <w:tc>
          <w:tcPr>
            <w:tcW w:w="1330" w:type="dxa"/>
            <w:tcBorders>
              <w:top w:val="nil"/>
              <w:left w:val="nil"/>
              <w:bottom w:val="single" w:sz="8" w:space="0" w:color="A6A6A6"/>
              <w:right w:val="single" w:sz="8" w:space="0" w:color="A6A6A6"/>
            </w:tcBorders>
            <w:shd w:val="clear" w:color="000000" w:fill="FFFFFF"/>
            <w:noWrap/>
            <w:vAlign w:val="center"/>
            <w:hideMark/>
          </w:tcPr>
          <w:p w14:paraId="488A3662"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51,1</w:t>
            </w:r>
          </w:p>
        </w:tc>
        <w:tc>
          <w:tcPr>
            <w:tcW w:w="1256" w:type="dxa"/>
            <w:tcBorders>
              <w:top w:val="nil"/>
              <w:left w:val="nil"/>
              <w:bottom w:val="single" w:sz="8" w:space="0" w:color="A6A6A6"/>
              <w:right w:val="single" w:sz="8" w:space="0" w:color="A6A6A6"/>
            </w:tcBorders>
            <w:shd w:val="clear" w:color="000000" w:fill="FFFFFF"/>
            <w:noWrap/>
            <w:vAlign w:val="center"/>
            <w:hideMark/>
          </w:tcPr>
          <w:p w14:paraId="79551681"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51,1</w:t>
            </w:r>
          </w:p>
        </w:tc>
        <w:tc>
          <w:tcPr>
            <w:tcW w:w="939" w:type="dxa"/>
            <w:tcBorders>
              <w:top w:val="nil"/>
              <w:left w:val="nil"/>
              <w:bottom w:val="single" w:sz="8" w:space="0" w:color="A6A6A6"/>
              <w:right w:val="single" w:sz="8" w:space="0" w:color="A6A6A6"/>
            </w:tcBorders>
            <w:shd w:val="clear" w:color="000000" w:fill="FFFFFF"/>
            <w:noWrap/>
            <w:vAlign w:val="center"/>
            <w:hideMark/>
          </w:tcPr>
          <w:p w14:paraId="504D48F3"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97,0</w:t>
            </w:r>
          </w:p>
        </w:tc>
        <w:tc>
          <w:tcPr>
            <w:tcW w:w="1270" w:type="dxa"/>
            <w:tcBorders>
              <w:top w:val="nil"/>
              <w:left w:val="nil"/>
              <w:bottom w:val="single" w:sz="8" w:space="0" w:color="A6A6A6"/>
              <w:right w:val="single" w:sz="8" w:space="0" w:color="A6A6A6"/>
            </w:tcBorders>
            <w:shd w:val="clear" w:color="000000" w:fill="FFFFFF"/>
            <w:noWrap/>
            <w:vAlign w:val="center"/>
            <w:hideMark/>
          </w:tcPr>
          <w:p w14:paraId="3FF4764F"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25,6</w:t>
            </w:r>
          </w:p>
        </w:tc>
        <w:tc>
          <w:tcPr>
            <w:tcW w:w="933" w:type="dxa"/>
            <w:tcBorders>
              <w:top w:val="nil"/>
              <w:left w:val="nil"/>
              <w:bottom w:val="single" w:sz="8" w:space="0" w:color="A6A6A6"/>
              <w:right w:val="single" w:sz="8" w:space="0" w:color="A6A6A6"/>
            </w:tcBorders>
            <w:shd w:val="clear" w:color="000000" w:fill="FFFFFF"/>
            <w:noWrap/>
            <w:vAlign w:val="center"/>
            <w:hideMark/>
          </w:tcPr>
          <w:p w14:paraId="206B7AFC"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224,8</w:t>
            </w:r>
          </w:p>
        </w:tc>
      </w:tr>
      <w:tr w:rsidR="006B63F1" w:rsidRPr="006B63F1" w14:paraId="119B65FB" w14:textId="77777777" w:rsidTr="00C337EB">
        <w:trPr>
          <w:trHeight w:val="306"/>
          <w:jc w:val="center"/>
        </w:trPr>
        <w:tc>
          <w:tcPr>
            <w:tcW w:w="1488" w:type="dxa"/>
            <w:tcBorders>
              <w:top w:val="nil"/>
              <w:left w:val="single" w:sz="8" w:space="0" w:color="A6A6A6"/>
              <w:bottom w:val="single" w:sz="8" w:space="0" w:color="A6A6A6"/>
              <w:right w:val="single" w:sz="8" w:space="0" w:color="A6A6A6"/>
            </w:tcBorders>
            <w:shd w:val="clear" w:color="000000" w:fill="DCE6F1"/>
            <w:noWrap/>
            <w:vAlign w:val="center"/>
            <w:hideMark/>
          </w:tcPr>
          <w:p w14:paraId="4FAF63C3"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Del Maule</w:t>
            </w:r>
          </w:p>
        </w:tc>
        <w:tc>
          <w:tcPr>
            <w:tcW w:w="2008" w:type="dxa"/>
            <w:tcBorders>
              <w:top w:val="nil"/>
              <w:left w:val="nil"/>
              <w:bottom w:val="single" w:sz="8" w:space="0" w:color="A6A6A6"/>
              <w:right w:val="single" w:sz="8" w:space="0" w:color="A6A6A6"/>
            </w:tcBorders>
            <w:shd w:val="clear" w:color="000000" w:fill="DCE6F1"/>
            <w:noWrap/>
            <w:vAlign w:val="center"/>
            <w:hideMark/>
          </w:tcPr>
          <w:p w14:paraId="16930F60"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Gran Casino de Talca</w:t>
            </w:r>
          </w:p>
        </w:tc>
        <w:tc>
          <w:tcPr>
            <w:tcW w:w="1330" w:type="dxa"/>
            <w:tcBorders>
              <w:top w:val="nil"/>
              <w:left w:val="nil"/>
              <w:bottom w:val="single" w:sz="8" w:space="0" w:color="A6A6A6"/>
              <w:right w:val="single" w:sz="8" w:space="0" w:color="A6A6A6"/>
            </w:tcBorders>
            <w:shd w:val="clear" w:color="000000" w:fill="D9E2F3"/>
            <w:noWrap/>
            <w:vAlign w:val="center"/>
            <w:hideMark/>
          </w:tcPr>
          <w:p w14:paraId="22C1A00E"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73,1</w:t>
            </w:r>
          </w:p>
        </w:tc>
        <w:tc>
          <w:tcPr>
            <w:tcW w:w="1256" w:type="dxa"/>
            <w:tcBorders>
              <w:top w:val="nil"/>
              <w:left w:val="nil"/>
              <w:bottom w:val="single" w:sz="8" w:space="0" w:color="A6A6A6"/>
              <w:right w:val="single" w:sz="8" w:space="0" w:color="A6A6A6"/>
            </w:tcBorders>
            <w:shd w:val="clear" w:color="000000" w:fill="D9E2F3"/>
            <w:noWrap/>
            <w:vAlign w:val="center"/>
            <w:hideMark/>
          </w:tcPr>
          <w:p w14:paraId="79260C2E"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73,1</w:t>
            </w:r>
          </w:p>
        </w:tc>
        <w:tc>
          <w:tcPr>
            <w:tcW w:w="939" w:type="dxa"/>
            <w:tcBorders>
              <w:top w:val="nil"/>
              <w:left w:val="nil"/>
              <w:bottom w:val="single" w:sz="8" w:space="0" w:color="A6A6A6"/>
              <w:right w:val="single" w:sz="8" w:space="0" w:color="A6A6A6"/>
            </w:tcBorders>
            <w:shd w:val="clear" w:color="000000" w:fill="D9E2F3"/>
            <w:noWrap/>
            <w:vAlign w:val="center"/>
            <w:hideMark/>
          </w:tcPr>
          <w:p w14:paraId="43AE2B69"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140,2</w:t>
            </w:r>
          </w:p>
        </w:tc>
        <w:tc>
          <w:tcPr>
            <w:tcW w:w="1270" w:type="dxa"/>
            <w:tcBorders>
              <w:top w:val="nil"/>
              <w:left w:val="nil"/>
              <w:bottom w:val="single" w:sz="8" w:space="0" w:color="A6A6A6"/>
              <w:right w:val="single" w:sz="8" w:space="0" w:color="A6A6A6"/>
            </w:tcBorders>
            <w:shd w:val="clear" w:color="000000" w:fill="D9E2F3"/>
            <w:noWrap/>
            <w:vAlign w:val="center"/>
            <w:hideMark/>
          </w:tcPr>
          <w:p w14:paraId="0BC427CD"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41,7</w:t>
            </w:r>
          </w:p>
        </w:tc>
        <w:tc>
          <w:tcPr>
            <w:tcW w:w="933" w:type="dxa"/>
            <w:tcBorders>
              <w:top w:val="nil"/>
              <w:left w:val="nil"/>
              <w:bottom w:val="single" w:sz="8" w:space="0" w:color="A6A6A6"/>
              <w:right w:val="single" w:sz="8" w:space="0" w:color="A6A6A6"/>
            </w:tcBorders>
            <w:shd w:val="clear" w:color="000000" w:fill="D9E2F3"/>
            <w:noWrap/>
            <w:vAlign w:val="center"/>
            <w:hideMark/>
          </w:tcPr>
          <w:p w14:paraId="7F378FFA"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328,0</w:t>
            </w:r>
          </w:p>
        </w:tc>
      </w:tr>
      <w:tr w:rsidR="006B63F1" w:rsidRPr="006B63F1" w14:paraId="02E08AF1" w14:textId="77777777" w:rsidTr="00C337EB">
        <w:trPr>
          <w:trHeight w:val="306"/>
          <w:jc w:val="center"/>
        </w:trPr>
        <w:tc>
          <w:tcPr>
            <w:tcW w:w="1488" w:type="dxa"/>
            <w:tcBorders>
              <w:top w:val="nil"/>
              <w:left w:val="single" w:sz="8" w:space="0" w:color="A6A6A6"/>
              <w:bottom w:val="single" w:sz="8" w:space="0" w:color="A6A6A6"/>
              <w:right w:val="single" w:sz="8" w:space="0" w:color="A6A6A6"/>
            </w:tcBorders>
            <w:shd w:val="clear" w:color="auto" w:fill="auto"/>
            <w:noWrap/>
            <w:vAlign w:val="center"/>
            <w:hideMark/>
          </w:tcPr>
          <w:p w14:paraId="11A400EA"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Del Ñuble</w:t>
            </w:r>
          </w:p>
        </w:tc>
        <w:tc>
          <w:tcPr>
            <w:tcW w:w="2008" w:type="dxa"/>
            <w:tcBorders>
              <w:top w:val="nil"/>
              <w:left w:val="nil"/>
              <w:bottom w:val="single" w:sz="8" w:space="0" w:color="A6A6A6"/>
              <w:right w:val="single" w:sz="8" w:space="0" w:color="A6A6A6"/>
            </w:tcBorders>
            <w:shd w:val="clear" w:color="auto" w:fill="auto"/>
            <w:noWrap/>
            <w:vAlign w:val="center"/>
            <w:hideMark/>
          </w:tcPr>
          <w:p w14:paraId="5BC3C35C"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Marina del Sol Chillán</w:t>
            </w:r>
          </w:p>
        </w:tc>
        <w:tc>
          <w:tcPr>
            <w:tcW w:w="1330" w:type="dxa"/>
            <w:tcBorders>
              <w:top w:val="nil"/>
              <w:left w:val="nil"/>
              <w:bottom w:val="single" w:sz="8" w:space="0" w:color="A6A6A6"/>
              <w:right w:val="single" w:sz="8" w:space="0" w:color="A6A6A6"/>
            </w:tcBorders>
            <w:shd w:val="clear" w:color="000000" w:fill="FFFFFF"/>
            <w:noWrap/>
            <w:vAlign w:val="center"/>
            <w:hideMark/>
          </w:tcPr>
          <w:p w14:paraId="002A7CAA"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71,6</w:t>
            </w:r>
          </w:p>
        </w:tc>
        <w:tc>
          <w:tcPr>
            <w:tcW w:w="1256" w:type="dxa"/>
            <w:tcBorders>
              <w:top w:val="nil"/>
              <w:left w:val="nil"/>
              <w:bottom w:val="single" w:sz="8" w:space="0" w:color="A6A6A6"/>
              <w:right w:val="single" w:sz="8" w:space="0" w:color="A6A6A6"/>
            </w:tcBorders>
            <w:shd w:val="clear" w:color="000000" w:fill="FFFFFF"/>
            <w:noWrap/>
            <w:vAlign w:val="center"/>
            <w:hideMark/>
          </w:tcPr>
          <w:p w14:paraId="78FD29DF"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71,6</w:t>
            </w:r>
          </w:p>
        </w:tc>
        <w:tc>
          <w:tcPr>
            <w:tcW w:w="939" w:type="dxa"/>
            <w:tcBorders>
              <w:top w:val="nil"/>
              <w:left w:val="nil"/>
              <w:bottom w:val="single" w:sz="8" w:space="0" w:color="A6A6A6"/>
              <w:right w:val="single" w:sz="8" w:space="0" w:color="A6A6A6"/>
            </w:tcBorders>
            <w:shd w:val="clear" w:color="000000" w:fill="FFFFFF"/>
            <w:noWrap/>
            <w:vAlign w:val="center"/>
            <w:hideMark/>
          </w:tcPr>
          <w:p w14:paraId="233C3EFC"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136,1</w:t>
            </w:r>
          </w:p>
        </w:tc>
        <w:tc>
          <w:tcPr>
            <w:tcW w:w="1270" w:type="dxa"/>
            <w:tcBorders>
              <w:top w:val="nil"/>
              <w:left w:val="nil"/>
              <w:bottom w:val="single" w:sz="8" w:space="0" w:color="A6A6A6"/>
              <w:right w:val="single" w:sz="8" w:space="0" w:color="A6A6A6"/>
            </w:tcBorders>
            <w:shd w:val="clear" w:color="000000" w:fill="FFFFFF"/>
            <w:noWrap/>
            <w:vAlign w:val="center"/>
            <w:hideMark/>
          </w:tcPr>
          <w:p w14:paraId="59490BDB"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46,0</w:t>
            </w:r>
          </w:p>
        </w:tc>
        <w:tc>
          <w:tcPr>
            <w:tcW w:w="933" w:type="dxa"/>
            <w:tcBorders>
              <w:top w:val="nil"/>
              <w:left w:val="nil"/>
              <w:bottom w:val="single" w:sz="8" w:space="0" w:color="A6A6A6"/>
              <w:right w:val="single" w:sz="8" w:space="0" w:color="A6A6A6"/>
            </w:tcBorders>
            <w:shd w:val="clear" w:color="000000" w:fill="FFFFFF"/>
            <w:noWrap/>
            <w:vAlign w:val="center"/>
            <w:hideMark/>
          </w:tcPr>
          <w:p w14:paraId="6258C73E"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325,3</w:t>
            </w:r>
          </w:p>
        </w:tc>
      </w:tr>
      <w:tr w:rsidR="006B63F1" w:rsidRPr="006B63F1" w14:paraId="6DA8D7CA" w14:textId="77777777" w:rsidTr="00C337EB">
        <w:trPr>
          <w:trHeight w:val="306"/>
          <w:jc w:val="center"/>
        </w:trPr>
        <w:tc>
          <w:tcPr>
            <w:tcW w:w="1488" w:type="dxa"/>
            <w:vMerge w:val="restart"/>
            <w:tcBorders>
              <w:top w:val="nil"/>
              <w:left w:val="single" w:sz="8" w:space="0" w:color="A6A6A6"/>
              <w:bottom w:val="single" w:sz="8" w:space="0" w:color="A6A6A6"/>
              <w:right w:val="single" w:sz="8" w:space="0" w:color="A6A6A6"/>
            </w:tcBorders>
            <w:shd w:val="clear" w:color="000000" w:fill="DCE6F1"/>
            <w:noWrap/>
            <w:vAlign w:val="center"/>
            <w:hideMark/>
          </w:tcPr>
          <w:p w14:paraId="7B3EE4DD"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Del Biobío</w:t>
            </w:r>
          </w:p>
        </w:tc>
        <w:tc>
          <w:tcPr>
            <w:tcW w:w="2008" w:type="dxa"/>
            <w:tcBorders>
              <w:top w:val="nil"/>
              <w:left w:val="nil"/>
              <w:bottom w:val="single" w:sz="8" w:space="0" w:color="A6A6A6"/>
              <w:right w:val="single" w:sz="8" w:space="0" w:color="A6A6A6"/>
            </w:tcBorders>
            <w:shd w:val="clear" w:color="000000" w:fill="DCE6F1"/>
            <w:noWrap/>
            <w:vAlign w:val="center"/>
            <w:hideMark/>
          </w:tcPr>
          <w:p w14:paraId="36DEDDA9"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Marina del Sol Talcahuano</w:t>
            </w:r>
          </w:p>
        </w:tc>
        <w:tc>
          <w:tcPr>
            <w:tcW w:w="1330" w:type="dxa"/>
            <w:tcBorders>
              <w:top w:val="nil"/>
              <w:left w:val="nil"/>
              <w:bottom w:val="single" w:sz="8" w:space="0" w:color="A6A6A6"/>
              <w:right w:val="single" w:sz="8" w:space="0" w:color="A6A6A6"/>
            </w:tcBorders>
            <w:shd w:val="clear" w:color="000000" w:fill="D9E2F3"/>
            <w:noWrap/>
            <w:vAlign w:val="center"/>
            <w:hideMark/>
          </w:tcPr>
          <w:p w14:paraId="1EEA720A"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319,1</w:t>
            </w:r>
          </w:p>
        </w:tc>
        <w:tc>
          <w:tcPr>
            <w:tcW w:w="1256" w:type="dxa"/>
            <w:tcBorders>
              <w:top w:val="nil"/>
              <w:left w:val="nil"/>
              <w:bottom w:val="single" w:sz="8" w:space="0" w:color="A6A6A6"/>
              <w:right w:val="single" w:sz="8" w:space="0" w:color="A6A6A6"/>
            </w:tcBorders>
            <w:shd w:val="clear" w:color="000000" w:fill="D9E2F3"/>
            <w:noWrap/>
            <w:vAlign w:val="center"/>
            <w:hideMark/>
          </w:tcPr>
          <w:p w14:paraId="2325B4B7"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319,1</w:t>
            </w:r>
          </w:p>
        </w:tc>
        <w:tc>
          <w:tcPr>
            <w:tcW w:w="939" w:type="dxa"/>
            <w:tcBorders>
              <w:top w:val="nil"/>
              <w:left w:val="nil"/>
              <w:bottom w:val="single" w:sz="8" w:space="0" w:color="A6A6A6"/>
              <w:right w:val="single" w:sz="8" w:space="0" w:color="A6A6A6"/>
            </w:tcBorders>
            <w:shd w:val="clear" w:color="000000" w:fill="D9E2F3"/>
            <w:noWrap/>
            <w:vAlign w:val="center"/>
            <w:hideMark/>
          </w:tcPr>
          <w:p w14:paraId="7892841A"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612,4</w:t>
            </w:r>
          </w:p>
        </w:tc>
        <w:tc>
          <w:tcPr>
            <w:tcW w:w="1270" w:type="dxa"/>
            <w:tcBorders>
              <w:top w:val="nil"/>
              <w:left w:val="nil"/>
              <w:bottom w:val="single" w:sz="8" w:space="0" w:color="A6A6A6"/>
              <w:right w:val="single" w:sz="8" w:space="0" w:color="A6A6A6"/>
            </w:tcBorders>
            <w:shd w:val="clear" w:color="000000" w:fill="D9E2F3"/>
            <w:noWrap/>
            <w:vAlign w:val="center"/>
            <w:hideMark/>
          </w:tcPr>
          <w:p w14:paraId="27E2DF6B"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172,0</w:t>
            </w:r>
          </w:p>
        </w:tc>
        <w:tc>
          <w:tcPr>
            <w:tcW w:w="933" w:type="dxa"/>
            <w:tcBorders>
              <w:top w:val="nil"/>
              <w:left w:val="nil"/>
              <w:bottom w:val="single" w:sz="8" w:space="0" w:color="A6A6A6"/>
              <w:right w:val="single" w:sz="8" w:space="0" w:color="A6A6A6"/>
            </w:tcBorders>
            <w:shd w:val="clear" w:color="000000" w:fill="D9E2F3"/>
            <w:noWrap/>
            <w:vAlign w:val="center"/>
            <w:hideMark/>
          </w:tcPr>
          <w:p w14:paraId="45A1DD05"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1.422,5</w:t>
            </w:r>
          </w:p>
        </w:tc>
      </w:tr>
      <w:tr w:rsidR="006B63F1" w:rsidRPr="006B63F1" w14:paraId="7274F2CA" w14:textId="77777777" w:rsidTr="00C337EB">
        <w:trPr>
          <w:trHeight w:val="306"/>
          <w:jc w:val="center"/>
        </w:trPr>
        <w:tc>
          <w:tcPr>
            <w:tcW w:w="1488" w:type="dxa"/>
            <w:vMerge/>
            <w:tcBorders>
              <w:top w:val="nil"/>
              <w:left w:val="single" w:sz="8" w:space="0" w:color="A6A6A6"/>
              <w:bottom w:val="single" w:sz="8" w:space="0" w:color="A6A6A6"/>
              <w:right w:val="single" w:sz="8" w:space="0" w:color="A6A6A6"/>
            </w:tcBorders>
            <w:vAlign w:val="center"/>
            <w:hideMark/>
          </w:tcPr>
          <w:p w14:paraId="016B4B76"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p>
        </w:tc>
        <w:tc>
          <w:tcPr>
            <w:tcW w:w="2008" w:type="dxa"/>
            <w:tcBorders>
              <w:top w:val="nil"/>
              <w:left w:val="nil"/>
              <w:bottom w:val="single" w:sz="8" w:space="0" w:color="A6A6A6"/>
              <w:right w:val="single" w:sz="8" w:space="0" w:color="A6A6A6"/>
            </w:tcBorders>
            <w:shd w:val="clear" w:color="000000" w:fill="DCE6F1"/>
            <w:noWrap/>
            <w:vAlign w:val="center"/>
            <w:hideMark/>
          </w:tcPr>
          <w:p w14:paraId="0C3A90B6"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Casino Gran Los Ángeles</w:t>
            </w:r>
          </w:p>
        </w:tc>
        <w:tc>
          <w:tcPr>
            <w:tcW w:w="1330" w:type="dxa"/>
            <w:tcBorders>
              <w:top w:val="nil"/>
              <w:left w:val="nil"/>
              <w:bottom w:val="single" w:sz="8" w:space="0" w:color="A6A6A6"/>
              <w:right w:val="single" w:sz="8" w:space="0" w:color="A6A6A6"/>
            </w:tcBorders>
            <w:shd w:val="clear" w:color="000000" w:fill="D9E2F3"/>
            <w:noWrap/>
            <w:vAlign w:val="center"/>
            <w:hideMark/>
          </w:tcPr>
          <w:p w14:paraId="3DCE5B5A"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35,7</w:t>
            </w:r>
          </w:p>
        </w:tc>
        <w:tc>
          <w:tcPr>
            <w:tcW w:w="1256" w:type="dxa"/>
            <w:tcBorders>
              <w:top w:val="nil"/>
              <w:left w:val="nil"/>
              <w:bottom w:val="single" w:sz="8" w:space="0" w:color="A6A6A6"/>
              <w:right w:val="single" w:sz="8" w:space="0" w:color="A6A6A6"/>
            </w:tcBorders>
            <w:shd w:val="clear" w:color="000000" w:fill="D9E2F3"/>
            <w:noWrap/>
            <w:vAlign w:val="center"/>
            <w:hideMark/>
          </w:tcPr>
          <w:p w14:paraId="30936ABE"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35,7</w:t>
            </w:r>
          </w:p>
        </w:tc>
        <w:tc>
          <w:tcPr>
            <w:tcW w:w="939" w:type="dxa"/>
            <w:tcBorders>
              <w:top w:val="nil"/>
              <w:left w:val="nil"/>
              <w:bottom w:val="single" w:sz="8" w:space="0" w:color="A6A6A6"/>
              <w:right w:val="single" w:sz="8" w:space="0" w:color="A6A6A6"/>
            </w:tcBorders>
            <w:shd w:val="clear" w:color="000000" w:fill="D9E2F3"/>
            <w:noWrap/>
            <w:vAlign w:val="center"/>
            <w:hideMark/>
          </w:tcPr>
          <w:p w14:paraId="2272D17E"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67,9</w:t>
            </w:r>
          </w:p>
        </w:tc>
        <w:tc>
          <w:tcPr>
            <w:tcW w:w="1270" w:type="dxa"/>
            <w:tcBorders>
              <w:top w:val="nil"/>
              <w:left w:val="nil"/>
              <w:bottom w:val="single" w:sz="8" w:space="0" w:color="A6A6A6"/>
              <w:right w:val="single" w:sz="8" w:space="0" w:color="A6A6A6"/>
            </w:tcBorders>
            <w:shd w:val="clear" w:color="000000" w:fill="D9E2F3"/>
            <w:noWrap/>
            <w:vAlign w:val="center"/>
            <w:hideMark/>
          </w:tcPr>
          <w:p w14:paraId="29DB99C7"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21,1</w:t>
            </w:r>
          </w:p>
        </w:tc>
        <w:tc>
          <w:tcPr>
            <w:tcW w:w="933" w:type="dxa"/>
            <w:tcBorders>
              <w:top w:val="nil"/>
              <w:left w:val="nil"/>
              <w:bottom w:val="single" w:sz="8" w:space="0" w:color="A6A6A6"/>
              <w:right w:val="single" w:sz="8" w:space="0" w:color="A6A6A6"/>
            </w:tcBorders>
            <w:shd w:val="clear" w:color="000000" w:fill="D9E2F3"/>
            <w:noWrap/>
            <w:vAlign w:val="center"/>
            <w:hideMark/>
          </w:tcPr>
          <w:p w14:paraId="68A73A50"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160,4</w:t>
            </w:r>
          </w:p>
        </w:tc>
      </w:tr>
      <w:tr w:rsidR="006B63F1" w:rsidRPr="006B63F1" w14:paraId="05760346" w14:textId="77777777" w:rsidTr="00C337EB">
        <w:trPr>
          <w:trHeight w:val="306"/>
          <w:jc w:val="center"/>
        </w:trPr>
        <w:tc>
          <w:tcPr>
            <w:tcW w:w="1488" w:type="dxa"/>
            <w:tcBorders>
              <w:top w:val="nil"/>
              <w:left w:val="single" w:sz="8" w:space="0" w:color="A6A6A6"/>
              <w:bottom w:val="single" w:sz="8" w:space="0" w:color="A6A6A6"/>
              <w:right w:val="single" w:sz="8" w:space="0" w:color="A6A6A6"/>
            </w:tcBorders>
            <w:shd w:val="clear" w:color="auto" w:fill="auto"/>
            <w:noWrap/>
            <w:vAlign w:val="center"/>
            <w:hideMark/>
          </w:tcPr>
          <w:p w14:paraId="0B932686"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La Araucanía</w:t>
            </w:r>
          </w:p>
        </w:tc>
        <w:tc>
          <w:tcPr>
            <w:tcW w:w="2008" w:type="dxa"/>
            <w:tcBorders>
              <w:top w:val="nil"/>
              <w:left w:val="nil"/>
              <w:bottom w:val="single" w:sz="8" w:space="0" w:color="A6A6A6"/>
              <w:right w:val="single" w:sz="8" w:space="0" w:color="A6A6A6"/>
            </w:tcBorders>
            <w:shd w:val="clear" w:color="auto" w:fill="auto"/>
            <w:noWrap/>
            <w:vAlign w:val="center"/>
            <w:hideMark/>
          </w:tcPr>
          <w:p w14:paraId="27398EF7"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Dreams Temuco</w:t>
            </w:r>
          </w:p>
        </w:tc>
        <w:tc>
          <w:tcPr>
            <w:tcW w:w="1330" w:type="dxa"/>
            <w:tcBorders>
              <w:top w:val="nil"/>
              <w:left w:val="nil"/>
              <w:bottom w:val="single" w:sz="8" w:space="0" w:color="A6A6A6"/>
              <w:right w:val="single" w:sz="8" w:space="0" w:color="A6A6A6"/>
            </w:tcBorders>
            <w:shd w:val="clear" w:color="000000" w:fill="FFFFFF"/>
            <w:noWrap/>
            <w:vAlign w:val="center"/>
            <w:hideMark/>
          </w:tcPr>
          <w:p w14:paraId="662E5A9E"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177,2</w:t>
            </w:r>
          </w:p>
        </w:tc>
        <w:tc>
          <w:tcPr>
            <w:tcW w:w="1256" w:type="dxa"/>
            <w:tcBorders>
              <w:top w:val="nil"/>
              <w:left w:val="nil"/>
              <w:bottom w:val="single" w:sz="8" w:space="0" w:color="A6A6A6"/>
              <w:right w:val="single" w:sz="8" w:space="0" w:color="A6A6A6"/>
            </w:tcBorders>
            <w:shd w:val="clear" w:color="000000" w:fill="FFFFFF"/>
            <w:noWrap/>
            <w:vAlign w:val="center"/>
            <w:hideMark/>
          </w:tcPr>
          <w:p w14:paraId="1B5744C7"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177,2</w:t>
            </w:r>
          </w:p>
        </w:tc>
        <w:tc>
          <w:tcPr>
            <w:tcW w:w="939" w:type="dxa"/>
            <w:tcBorders>
              <w:top w:val="nil"/>
              <w:left w:val="nil"/>
              <w:bottom w:val="single" w:sz="8" w:space="0" w:color="A6A6A6"/>
              <w:right w:val="single" w:sz="8" w:space="0" w:color="A6A6A6"/>
            </w:tcBorders>
            <w:shd w:val="clear" w:color="000000" w:fill="FFFFFF"/>
            <w:noWrap/>
            <w:vAlign w:val="center"/>
            <w:hideMark/>
          </w:tcPr>
          <w:p w14:paraId="7DF656EA"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336,7</w:t>
            </w:r>
          </w:p>
        </w:tc>
        <w:tc>
          <w:tcPr>
            <w:tcW w:w="1270" w:type="dxa"/>
            <w:tcBorders>
              <w:top w:val="nil"/>
              <w:left w:val="nil"/>
              <w:bottom w:val="single" w:sz="8" w:space="0" w:color="A6A6A6"/>
              <w:right w:val="single" w:sz="8" w:space="0" w:color="A6A6A6"/>
            </w:tcBorders>
            <w:shd w:val="clear" w:color="000000" w:fill="FFFFFF"/>
            <w:noWrap/>
            <w:vAlign w:val="center"/>
            <w:hideMark/>
          </w:tcPr>
          <w:p w14:paraId="6E7139EE"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82,0</w:t>
            </w:r>
          </w:p>
        </w:tc>
        <w:tc>
          <w:tcPr>
            <w:tcW w:w="933" w:type="dxa"/>
            <w:tcBorders>
              <w:top w:val="nil"/>
              <w:left w:val="nil"/>
              <w:bottom w:val="single" w:sz="8" w:space="0" w:color="A6A6A6"/>
              <w:right w:val="single" w:sz="8" w:space="0" w:color="A6A6A6"/>
            </w:tcBorders>
            <w:shd w:val="clear" w:color="000000" w:fill="FFFFFF"/>
            <w:noWrap/>
            <w:vAlign w:val="center"/>
            <w:hideMark/>
          </w:tcPr>
          <w:p w14:paraId="08C84119"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773,2</w:t>
            </w:r>
          </w:p>
        </w:tc>
      </w:tr>
      <w:tr w:rsidR="006B63F1" w:rsidRPr="006B63F1" w14:paraId="752BD24B" w14:textId="77777777" w:rsidTr="00C337EB">
        <w:trPr>
          <w:trHeight w:val="306"/>
          <w:jc w:val="center"/>
        </w:trPr>
        <w:tc>
          <w:tcPr>
            <w:tcW w:w="1488" w:type="dxa"/>
            <w:tcBorders>
              <w:top w:val="nil"/>
              <w:left w:val="single" w:sz="8" w:space="0" w:color="A6A6A6"/>
              <w:bottom w:val="single" w:sz="8" w:space="0" w:color="A6A6A6"/>
              <w:right w:val="single" w:sz="8" w:space="0" w:color="A6A6A6"/>
            </w:tcBorders>
            <w:shd w:val="clear" w:color="000000" w:fill="DCE6F1"/>
            <w:noWrap/>
            <w:vAlign w:val="center"/>
            <w:hideMark/>
          </w:tcPr>
          <w:p w14:paraId="1B6847D5"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 xml:space="preserve">Los </w:t>
            </w:r>
            <w:proofErr w:type="spellStart"/>
            <w:r w:rsidRPr="006B63F1">
              <w:rPr>
                <w:rFonts w:ascii="Calibri" w:eastAsia="Times New Roman" w:hAnsi="Calibri" w:cs="Calibri"/>
                <w:color w:val="244062"/>
                <w:sz w:val="18"/>
                <w:szCs w:val="18"/>
                <w:lang w:eastAsia="es-CL"/>
              </w:rPr>
              <w:t>Rios</w:t>
            </w:r>
            <w:proofErr w:type="spellEnd"/>
          </w:p>
        </w:tc>
        <w:tc>
          <w:tcPr>
            <w:tcW w:w="2008" w:type="dxa"/>
            <w:tcBorders>
              <w:top w:val="nil"/>
              <w:left w:val="nil"/>
              <w:bottom w:val="single" w:sz="8" w:space="0" w:color="A6A6A6"/>
              <w:right w:val="single" w:sz="8" w:space="0" w:color="A6A6A6"/>
            </w:tcBorders>
            <w:shd w:val="clear" w:color="000000" w:fill="DCE6F1"/>
            <w:noWrap/>
            <w:vAlign w:val="center"/>
            <w:hideMark/>
          </w:tcPr>
          <w:p w14:paraId="0A988116"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Dreams Valdivia</w:t>
            </w:r>
          </w:p>
        </w:tc>
        <w:tc>
          <w:tcPr>
            <w:tcW w:w="1330" w:type="dxa"/>
            <w:tcBorders>
              <w:top w:val="nil"/>
              <w:left w:val="nil"/>
              <w:bottom w:val="single" w:sz="8" w:space="0" w:color="A6A6A6"/>
              <w:right w:val="single" w:sz="8" w:space="0" w:color="A6A6A6"/>
            </w:tcBorders>
            <w:shd w:val="clear" w:color="000000" w:fill="D9E2F3"/>
            <w:noWrap/>
            <w:vAlign w:val="center"/>
            <w:hideMark/>
          </w:tcPr>
          <w:p w14:paraId="179CE024"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121,7</w:t>
            </w:r>
          </w:p>
        </w:tc>
        <w:tc>
          <w:tcPr>
            <w:tcW w:w="1256" w:type="dxa"/>
            <w:tcBorders>
              <w:top w:val="nil"/>
              <w:left w:val="nil"/>
              <w:bottom w:val="single" w:sz="8" w:space="0" w:color="A6A6A6"/>
              <w:right w:val="single" w:sz="8" w:space="0" w:color="A6A6A6"/>
            </w:tcBorders>
            <w:shd w:val="clear" w:color="000000" w:fill="D9E2F3"/>
            <w:noWrap/>
            <w:vAlign w:val="center"/>
            <w:hideMark/>
          </w:tcPr>
          <w:p w14:paraId="784F92ED"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121,7</w:t>
            </w:r>
          </w:p>
        </w:tc>
        <w:tc>
          <w:tcPr>
            <w:tcW w:w="939" w:type="dxa"/>
            <w:tcBorders>
              <w:top w:val="nil"/>
              <w:left w:val="nil"/>
              <w:bottom w:val="single" w:sz="8" w:space="0" w:color="A6A6A6"/>
              <w:right w:val="single" w:sz="8" w:space="0" w:color="A6A6A6"/>
            </w:tcBorders>
            <w:shd w:val="clear" w:color="000000" w:fill="D9E2F3"/>
            <w:noWrap/>
            <w:vAlign w:val="center"/>
            <w:hideMark/>
          </w:tcPr>
          <w:p w14:paraId="1FC483BD"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231,3</w:t>
            </w:r>
          </w:p>
        </w:tc>
        <w:tc>
          <w:tcPr>
            <w:tcW w:w="1270" w:type="dxa"/>
            <w:tcBorders>
              <w:top w:val="nil"/>
              <w:left w:val="nil"/>
              <w:bottom w:val="single" w:sz="8" w:space="0" w:color="A6A6A6"/>
              <w:right w:val="single" w:sz="8" w:space="0" w:color="A6A6A6"/>
            </w:tcBorders>
            <w:shd w:val="clear" w:color="000000" w:fill="D9E2F3"/>
            <w:noWrap/>
            <w:vAlign w:val="center"/>
            <w:hideMark/>
          </w:tcPr>
          <w:p w14:paraId="50FEA407"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77,4</w:t>
            </w:r>
          </w:p>
        </w:tc>
        <w:tc>
          <w:tcPr>
            <w:tcW w:w="933" w:type="dxa"/>
            <w:tcBorders>
              <w:top w:val="nil"/>
              <w:left w:val="nil"/>
              <w:bottom w:val="single" w:sz="8" w:space="0" w:color="A6A6A6"/>
              <w:right w:val="single" w:sz="8" w:space="0" w:color="A6A6A6"/>
            </w:tcBorders>
            <w:shd w:val="clear" w:color="000000" w:fill="D9E2F3"/>
            <w:noWrap/>
            <w:vAlign w:val="center"/>
            <w:hideMark/>
          </w:tcPr>
          <w:p w14:paraId="53E78D7D"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552,2</w:t>
            </w:r>
          </w:p>
        </w:tc>
      </w:tr>
      <w:tr w:rsidR="006B63F1" w:rsidRPr="006B63F1" w14:paraId="2C75F3C2" w14:textId="77777777" w:rsidTr="00C337EB">
        <w:trPr>
          <w:trHeight w:val="306"/>
          <w:jc w:val="center"/>
        </w:trPr>
        <w:tc>
          <w:tcPr>
            <w:tcW w:w="1488" w:type="dxa"/>
            <w:vMerge w:val="restart"/>
            <w:tcBorders>
              <w:top w:val="nil"/>
              <w:left w:val="single" w:sz="8" w:space="0" w:color="A6A6A6"/>
              <w:bottom w:val="single" w:sz="8" w:space="0" w:color="A6A6A6"/>
              <w:right w:val="single" w:sz="8" w:space="0" w:color="A6A6A6"/>
            </w:tcBorders>
            <w:shd w:val="clear" w:color="auto" w:fill="auto"/>
            <w:noWrap/>
            <w:vAlign w:val="center"/>
            <w:hideMark/>
          </w:tcPr>
          <w:p w14:paraId="2D2F77F1"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Los Lagos</w:t>
            </w:r>
          </w:p>
        </w:tc>
        <w:tc>
          <w:tcPr>
            <w:tcW w:w="2008" w:type="dxa"/>
            <w:tcBorders>
              <w:top w:val="nil"/>
              <w:left w:val="nil"/>
              <w:bottom w:val="single" w:sz="8" w:space="0" w:color="A6A6A6"/>
              <w:right w:val="single" w:sz="8" w:space="0" w:color="A6A6A6"/>
            </w:tcBorders>
            <w:shd w:val="clear" w:color="000000" w:fill="FFFFFF"/>
            <w:noWrap/>
            <w:vAlign w:val="center"/>
            <w:hideMark/>
          </w:tcPr>
          <w:p w14:paraId="11191339"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Marina del Sol Osorno</w:t>
            </w:r>
          </w:p>
        </w:tc>
        <w:tc>
          <w:tcPr>
            <w:tcW w:w="1330" w:type="dxa"/>
            <w:tcBorders>
              <w:top w:val="nil"/>
              <w:left w:val="nil"/>
              <w:bottom w:val="single" w:sz="8" w:space="0" w:color="A6A6A6"/>
              <w:right w:val="single" w:sz="8" w:space="0" w:color="A6A6A6"/>
            </w:tcBorders>
            <w:shd w:val="clear" w:color="000000" w:fill="FFFFFF"/>
            <w:noWrap/>
            <w:vAlign w:val="center"/>
            <w:hideMark/>
          </w:tcPr>
          <w:p w14:paraId="0A032DCE"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78,3</w:t>
            </w:r>
          </w:p>
        </w:tc>
        <w:tc>
          <w:tcPr>
            <w:tcW w:w="1256" w:type="dxa"/>
            <w:tcBorders>
              <w:top w:val="nil"/>
              <w:left w:val="nil"/>
              <w:bottom w:val="single" w:sz="8" w:space="0" w:color="A6A6A6"/>
              <w:right w:val="single" w:sz="8" w:space="0" w:color="A6A6A6"/>
            </w:tcBorders>
            <w:shd w:val="clear" w:color="000000" w:fill="FFFFFF"/>
            <w:noWrap/>
            <w:vAlign w:val="center"/>
            <w:hideMark/>
          </w:tcPr>
          <w:p w14:paraId="3700DEE0"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78,3</w:t>
            </w:r>
          </w:p>
        </w:tc>
        <w:tc>
          <w:tcPr>
            <w:tcW w:w="939" w:type="dxa"/>
            <w:tcBorders>
              <w:top w:val="nil"/>
              <w:left w:val="nil"/>
              <w:bottom w:val="single" w:sz="8" w:space="0" w:color="A6A6A6"/>
              <w:right w:val="single" w:sz="8" w:space="0" w:color="A6A6A6"/>
            </w:tcBorders>
            <w:shd w:val="clear" w:color="000000" w:fill="FFFFFF"/>
            <w:noWrap/>
            <w:vAlign w:val="center"/>
            <w:hideMark/>
          </w:tcPr>
          <w:p w14:paraId="37730334"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148,8</w:t>
            </w:r>
          </w:p>
        </w:tc>
        <w:tc>
          <w:tcPr>
            <w:tcW w:w="1270" w:type="dxa"/>
            <w:tcBorders>
              <w:top w:val="nil"/>
              <w:left w:val="nil"/>
              <w:bottom w:val="single" w:sz="8" w:space="0" w:color="A6A6A6"/>
              <w:right w:val="single" w:sz="8" w:space="0" w:color="A6A6A6"/>
            </w:tcBorders>
            <w:shd w:val="clear" w:color="000000" w:fill="FFFFFF"/>
            <w:noWrap/>
            <w:vAlign w:val="center"/>
            <w:hideMark/>
          </w:tcPr>
          <w:p w14:paraId="524EB4D6"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41,9</w:t>
            </w:r>
          </w:p>
        </w:tc>
        <w:tc>
          <w:tcPr>
            <w:tcW w:w="933" w:type="dxa"/>
            <w:tcBorders>
              <w:top w:val="nil"/>
              <w:left w:val="nil"/>
              <w:bottom w:val="single" w:sz="8" w:space="0" w:color="A6A6A6"/>
              <w:right w:val="single" w:sz="8" w:space="0" w:color="A6A6A6"/>
            </w:tcBorders>
            <w:shd w:val="clear" w:color="000000" w:fill="FFFFFF"/>
            <w:noWrap/>
            <w:vAlign w:val="center"/>
            <w:hideMark/>
          </w:tcPr>
          <w:p w14:paraId="307C5281"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347,4</w:t>
            </w:r>
          </w:p>
        </w:tc>
      </w:tr>
      <w:tr w:rsidR="006B63F1" w:rsidRPr="006B63F1" w14:paraId="678937CD" w14:textId="77777777" w:rsidTr="00C337EB">
        <w:trPr>
          <w:trHeight w:val="306"/>
          <w:jc w:val="center"/>
        </w:trPr>
        <w:tc>
          <w:tcPr>
            <w:tcW w:w="1488" w:type="dxa"/>
            <w:vMerge/>
            <w:tcBorders>
              <w:top w:val="nil"/>
              <w:left w:val="single" w:sz="8" w:space="0" w:color="A6A6A6"/>
              <w:bottom w:val="single" w:sz="8" w:space="0" w:color="A6A6A6"/>
              <w:right w:val="single" w:sz="8" w:space="0" w:color="A6A6A6"/>
            </w:tcBorders>
            <w:vAlign w:val="center"/>
            <w:hideMark/>
          </w:tcPr>
          <w:p w14:paraId="44152B99"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p>
        </w:tc>
        <w:tc>
          <w:tcPr>
            <w:tcW w:w="2008" w:type="dxa"/>
            <w:tcBorders>
              <w:top w:val="nil"/>
              <w:left w:val="nil"/>
              <w:bottom w:val="single" w:sz="8" w:space="0" w:color="A6A6A6"/>
              <w:right w:val="single" w:sz="8" w:space="0" w:color="A6A6A6"/>
            </w:tcBorders>
            <w:shd w:val="clear" w:color="000000" w:fill="FFFFFF"/>
            <w:noWrap/>
            <w:vAlign w:val="center"/>
            <w:hideMark/>
          </w:tcPr>
          <w:p w14:paraId="7B36696A"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Enjoy Chiloé</w:t>
            </w:r>
          </w:p>
        </w:tc>
        <w:tc>
          <w:tcPr>
            <w:tcW w:w="1330" w:type="dxa"/>
            <w:tcBorders>
              <w:top w:val="nil"/>
              <w:left w:val="nil"/>
              <w:bottom w:val="single" w:sz="8" w:space="0" w:color="A6A6A6"/>
              <w:right w:val="single" w:sz="8" w:space="0" w:color="A6A6A6"/>
            </w:tcBorders>
            <w:shd w:val="clear" w:color="000000" w:fill="FFFFFF"/>
            <w:noWrap/>
            <w:vAlign w:val="center"/>
            <w:hideMark/>
          </w:tcPr>
          <w:p w14:paraId="717709BB"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27,5</w:t>
            </w:r>
          </w:p>
        </w:tc>
        <w:tc>
          <w:tcPr>
            <w:tcW w:w="1256" w:type="dxa"/>
            <w:tcBorders>
              <w:top w:val="nil"/>
              <w:left w:val="nil"/>
              <w:bottom w:val="single" w:sz="8" w:space="0" w:color="A6A6A6"/>
              <w:right w:val="single" w:sz="8" w:space="0" w:color="A6A6A6"/>
            </w:tcBorders>
            <w:shd w:val="clear" w:color="000000" w:fill="FFFFFF"/>
            <w:noWrap/>
            <w:vAlign w:val="center"/>
            <w:hideMark/>
          </w:tcPr>
          <w:p w14:paraId="7EBD3F72"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27,5</w:t>
            </w:r>
          </w:p>
        </w:tc>
        <w:tc>
          <w:tcPr>
            <w:tcW w:w="939" w:type="dxa"/>
            <w:tcBorders>
              <w:top w:val="nil"/>
              <w:left w:val="nil"/>
              <w:bottom w:val="single" w:sz="8" w:space="0" w:color="A6A6A6"/>
              <w:right w:val="single" w:sz="8" w:space="0" w:color="A6A6A6"/>
            </w:tcBorders>
            <w:shd w:val="clear" w:color="000000" w:fill="FFFFFF"/>
            <w:noWrap/>
            <w:vAlign w:val="center"/>
            <w:hideMark/>
          </w:tcPr>
          <w:p w14:paraId="3D37E3A3"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52,2</w:t>
            </w:r>
          </w:p>
        </w:tc>
        <w:tc>
          <w:tcPr>
            <w:tcW w:w="1270" w:type="dxa"/>
            <w:tcBorders>
              <w:top w:val="nil"/>
              <w:left w:val="nil"/>
              <w:bottom w:val="single" w:sz="8" w:space="0" w:color="A6A6A6"/>
              <w:right w:val="single" w:sz="8" w:space="0" w:color="A6A6A6"/>
            </w:tcBorders>
            <w:shd w:val="clear" w:color="000000" w:fill="FFFFFF"/>
            <w:noWrap/>
            <w:vAlign w:val="center"/>
            <w:hideMark/>
          </w:tcPr>
          <w:p w14:paraId="2424BB5C"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22,5</w:t>
            </w:r>
          </w:p>
        </w:tc>
        <w:tc>
          <w:tcPr>
            <w:tcW w:w="933" w:type="dxa"/>
            <w:tcBorders>
              <w:top w:val="nil"/>
              <w:left w:val="nil"/>
              <w:bottom w:val="single" w:sz="8" w:space="0" w:color="A6A6A6"/>
              <w:right w:val="single" w:sz="8" w:space="0" w:color="A6A6A6"/>
            </w:tcBorders>
            <w:shd w:val="clear" w:color="000000" w:fill="FFFFFF"/>
            <w:noWrap/>
            <w:vAlign w:val="center"/>
            <w:hideMark/>
          </w:tcPr>
          <w:p w14:paraId="3034756A"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129,6</w:t>
            </w:r>
          </w:p>
        </w:tc>
      </w:tr>
      <w:tr w:rsidR="006B63F1" w:rsidRPr="006B63F1" w14:paraId="6734045B" w14:textId="77777777" w:rsidTr="00C337EB">
        <w:trPr>
          <w:trHeight w:val="306"/>
          <w:jc w:val="center"/>
        </w:trPr>
        <w:tc>
          <w:tcPr>
            <w:tcW w:w="1488" w:type="dxa"/>
            <w:tcBorders>
              <w:top w:val="nil"/>
              <w:left w:val="single" w:sz="8" w:space="0" w:color="A6A6A6"/>
              <w:bottom w:val="single" w:sz="8" w:space="0" w:color="A6A6A6"/>
              <w:right w:val="single" w:sz="8" w:space="0" w:color="A6A6A6"/>
            </w:tcBorders>
            <w:shd w:val="clear" w:color="000000" w:fill="DCE6F1"/>
            <w:noWrap/>
            <w:vAlign w:val="center"/>
            <w:hideMark/>
          </w:tcPr>
          <w:p w14:paraId="162E9A94"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De Aysén</w:t>
            </w:r>
          </w:p>
        </w:tc>
        <w:tc>
          <w:tcPr>
            <w:tcW w:w="2008" w:type="dxa"/>
            <w:tcBorders>
              <w:top w:val="nil"/>
              <w:left w:val="nil"/>
              <w:bottom w:val="single" w:sz="8" w:space="0" w:color="A6A6A6"/>
              <w:right w:val="single" w:sz="8" w:space="0" w:color="A6A6A6"/>
            </w:tcBorders>
            <w:shd w:val="clear" w:color="000000" w:fill="DCE6F1"/>
            <w:noWrap/>
            <w:vAlign w:val="center"/>
            <w:hideMark/>
          </w:tcPr>
          <w:p w14:paraId="14ECD0D9"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Dreams Coyhaique</w:t>
            </w:r>
          </w:p>
        </w:tc>
        <w:tc>
          <w:tcPr>
            <w:tcW w:w="1330" w:type="dxa"/>
            <w:tcBorders>
              <w:top w:val="nil"/>
              <w:left w:val="nil"/>
              <w:bottom w:val="single" w:sz="8" w:space="0" w:color="A6A6A6"/>
              <w:right w:val="single" w:sz="8" w:space="0" w:color="A6A6A6"/>
            </w:tcBorders>
            <w:shd w:val="clear" w:color="000000" w:fill="D9E2F3"/>
            <w:noWrap/>
            <w:vAlign w:val="center"/>
            <w:hideMark/>
          </w:tcPr>
          <w:p w14:paraId="5C14C755"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37,9</w:t>
            </w:r>
          </w:p>
        </w:tc>
        <w:tc>
          <w:tcPr>
            <w:tcW w:w="1256" w:type="dxa"/>
            <w:tcBorders>
              <w:top w:val="nil"/>
              <w:left w:val="nil"/>
              <w:bottom w:val="single" w:sz="8" w:space="0" w:color="A6A6A6"/>
              <w:right w:val="single" w:sz="8" w:space="0" w:color="A6A6A6"/>
            </w:tcBorders>
            <w:shd w:val="clear" w:color="000000" w:fill="D9E2F3"/>
            <w:noWrap/>
            <w:vAlign w:val="center"/>
            <w:hideMark/>
          </w:tcPr>
          <w:p w14:paraId="242FF20E"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37,9</w:t>
            </w:r>
          </w:p>
        </w:tc>
        <w:tc>
          <w:tcPr>
            <w:tcW w:w="939" w:type="dxa"/>
            <w:tcBorders>
              <w:top w:val="nil"/>
              <w:left w:val="nil"/>
              <w:bottom w:val="single" w:sz="8" w:space="0" w:color="A6A6A6"/>
              <w:right w:val="single" w:sz="8" w:space="0" w:color="A6A6A6"/>
            </w:tcBorders>
            <w:shd w:val="clear" w:color="000000" w:fill="D9E2F3"/>
            <w:noWrap/>
            <w:vAlign w:val="center"/>
            <w:hideMark/>
          </w:tcPr>
          <w:p w14:paraId="5E65C552"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71,9</w:t>
            </w:r>
          </w:p>
        </w:tc>
        <w:tc>
          <w:tcPr>
            <w:tcW w:w="1270" w:type="dxa"/>
            <w:tcBorders>
              <w:top w:val="nil"/>
              <w:left w:val="nil"/>
              <w:bottom w:val="single" w:sz="8" w:space="0" w:color="A6A6A6"/>
              <w:right w:val="single" w:sz="8" w:space="0" w:color="A6A6A6"/>
            </w:tcBorders>
            <w:shd w:val="clear" w:color="000000" w:fill="D9E2F3"/>
            <w:noWrap/>
            <w:vAlign w:val="center"/>
            <w:hideMark/>
          </w:tcPr>
          <w:p w14:paraId="014FCA83"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26,7</w:t>
            </w:r>
          </w:p>
        </w:tc>
        <w:tc>
          <w:tcPr>
            <w:tcW w:w="933" w:type="dxa"/>
            <w:tcBorders>
              <w:top w:val="nil"/>
              <w:left w:val="nil"/>
              <w:bottom w:val="single" w:sz="8" w:space="0" w:color="A6A6A6"/>
              <w:right w:val="single" w:sz="8" w:space="0" w:color="A6A6A6"/>
            </w:tcBorders>
            <w:shd w:val="clear" w:color="000000" w:fill="D9E2F3"/>
            <w:noWrap/>
            <w:vAlign w:val="center"/>
            <w:hideMark/>
          </w:tcPr>
          <w:p w14:paraId="6D18B065"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174,3</w:t>
            </w:r>
          </w:p>
        </w:tc>
      </w:tr>
      <w:tr w:rsidR="006B63F1" w:rsidRPr="006B63F1" w14:paraId="0E706CD3" w14:textId="77777777" w:rsidTr="00C337EB">
        <w:trPr>
          <w:trHeight w:val="306"/>
          <w:jc w:val="center"/>
        </w:trPr>
        <w:tc>
          <w:tcPr>
            <w:tcW w:w="1488" w:type="dxa"/>
            <w:tcBorders>
              <w:top w:val="nil"/>
              <w:left w:val="single" w:sz="8" w:space="0" w:color="A6A6A6"/>
              <w:bottom w:val="single" w:sz="8" w:space="0" w:color="A6A6A6"/>
              <w:right w:val="single" w:sz="8" w:space="0" w:color="A6A6A6"/>
            </w:tcBorders>
            <w:shd w:val="clear" w:color="auto" w:fill="auto"/>
            <w:noWrap/>
            <w:vAlign w:val="center"/>
            <w:hideMark/>
          </w:tcPr>
          <w:p w14:paraId="51981191"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Magallanes</w:t>
            </w:r>
          </w:p>
        </w:tc>
        <w:tc>
          <w:tcPr>
            <w:tcW w:w="2008" w:type="dxa"/>
            <w:tcBorders>
              <w:top w:val="nil"/>
              <w:left w:val="nil"/>
              <w:bottom w:val="single" w:sz="8" w:space="0" w:color="A6A6A6"/>
              <w:right w:val="single" w:sz="8" w:space="0" w:color="A6A6A6"/>
            </w:tcBorders>
            <w:shd w:val="clear" w:color="auto" w:fill="auto"/>
            <w:noWrap/>
            <w:vAlign w:val="center"/>
            <w:hideMark/>
          </w:tcPr>
          <w:p w14:paraId="51E6C0D7" w14:textId="77777777" w:rsidR="006B63F1" w:rsidRPr="006B63F1" w:rsidRDefault="006B63F1" w:rsidP="006B63F1">
            <w:pPr>
              <w:spacing w:after="0" w:line="240" w:lineRule="auto"/>
              <w:jc w:val="left"/>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Dreams Punta Arenas</w:t>
            </w:r>
          </w:p>
        </w:tc>
        <w:tc>
          <w:tcPr>
            <w:tcW w:w="1330" w:type="dxa"/>
            <w:tcBorders>
              <w:top w:val="nil"/>
              <w:left w:val="nil"/>
              <w:bottom w:val="single" w:sz="8" w:space="0" w:color="A6A6A6"/>
              <w:right w:val="single" w:sz="8" w:space="0" w:color="A6A6A6"/>
            </w:tcBorders>
            <w:shd w:val="clear" w:color="000000" w:fill="FFFFFF"/>
            <w:noWrap/>
            <w:vAlign w:val="center"/>
            <w:hideMark/>
          </w:tcPr>
          <w:p w14:paraId="1C80D7CB"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152,3</w:t>
            </w:r>
          </w:p>
        </w:tc>
        <w:tc>
          <w:tcPr>
            <w:tcW w:w="1256" w:type="dxa"/>
            <w:tcBorders>
              <w:top w:val="nil"/>
              <w:left w:val="nil"/>
              <w:bottom w:val="single" w:sz="8" w:space="0" w:color="A6A6A6"/>
              <w:right w:val="single" w:sz="8" w:space="0" w:color="A6A6A6"/>
            </w:tcBorders>
            <w:shd w:val="clear" w:color="000000" w:fill="FFFFFF"/>
            <w:noWrap/>
            <w:vAlign w:val="center"/>
            <w:hideMark/>
          </w:tcPr>
          <w:p w14:paraId="15E33880"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152,3</w:t>
            </w:r>
          </w:p>
        </w:tc>
        <w:tc>
          <w:tcPr>
            <w:tcW w:w="939" w:type="dxa"/>
            <w:tcBorders>
              <w:top w:val="nil"/>
              <w:left w:val="nil"/>
              <w:bottom w:val="single" w:sz="8" w:space="0" w:color="A6A6A6"/>
              <w:right w:val="single" w:sz="8" w:space="0" w:color="A6A6A6"/>
            </w:tcBorders>
            <w:shd w:val="clear" w:color="000000" w:fill="FFFFFF"/>
            <w:noWrap/>
            <w:vAlign w:val="center"/>
            <w:hideMark/>
          </w:tcPr>
          <w:p w14:paraId="48FB515A"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289,4</w:t>
            </w:r>
          </w:p>
        </w:tc>
        <w:tc>
          <w:tcPr>
            <w:tcW w:w="1270" w:type="dxa"/>
            <w:tcBorders>
              <w:top w:val="nil"/>
              <w:left w:val="nil"/>
              <w:bottom w:val="single" w:sz="8" w:space="0" w:color="A6A6A6"/>
              <w:right w:val="single" w:sz="8" w:space="0" w:color="A6A6A6"/>
            </w:tcBorders>
            <w:shd w:val="clear" w:color="000000" w:fill="FFFFFF"/>
            <w:noWrap/>
            <w:vAlign w:val="center"/>
            <w:hideMark/>
          </w:tcPr>
          <w:p w14:paraId="6C6CD524"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83,8</w:t>
            </w:r>
          </w:p>
        </w:tc>
        <w:tc>
          <w:tcPr>
            <w:tcW w:w="933" w:type="dxa"/>
            <w:tcBorders>
              <w:top w:val="nil"/>
              <w:left w:val="nil"/>
              <w:bottom w:val="single" w:sz="8" w:space="0" w:color="A6A6A6"/>
              <w:right w:val="single" w:sz="8" w:space="0" w:color="A6A6A6"/>
            </w:tcBorders>
            <w:shd w:val="clear" w:color="000000" w:fill="FFFFFF"/>
            <w:noWrap/>
            <w:vAlign w:val="center"/>
            <w:hideMark/>
          </w:tcPr>
          <w:p w14:paraId="2639B20D" w14:textId="77777777" w:rsidR="006B63F1" w:rsidRPr="006B63F1" w:rsidRDefault="006B63F1" w:rsidP="006B63F1">
            <w:pPr>
              <w:spacing w:after="0" w:line="240" w:lineRule="auto"/>
              <w:jc w:val="center"/>
              <w:rPr>
                <w:rFonts w:ascii="Calibri" w:eastAsia="Times New Roman" w:hAnsi="Calibri" w:cs="Calibri"/>
                <w:color w:val="244062"/>
                <w:sz w:val="18"/>
                <w:szCs w:val="18"/>
                <w:lang w:eastAsia="es-CL"/>
              </w:rPr>
            </w:pPr>
            <w:r w:rsidRPr="006B63F1">
              <w:rPr>
                <w:rFonts w:ascii="Calibri" w:eastAsia="Times New Roman" w:hAnsi="Calibri" w:cs="Calibri"/>
                <w:color w:val="244062"/>
                <w:sz w:val="18"/>
                <w:szCs w:val="18"/>
                <w:lang w:eastAsia="es-CL"/>
              </w:rPr>
              <w:t>677,9</w:t>
            </w:r>
          </w:p>
        </w:tc>
      </w:tr>
      <w:tr w:rsidR="006B63F1" w:rsidRPr="006B63F1" w14:paraId="7E63279E" w14:textId="77777777" w:rsidTr="00C337EB">
        <w:trPr>
          <w:trHeight w:val="306"/>
          <w:jc w:val="center"/>
        </w:trPr>
        <w:tc>
          <w:tcPr>
            <w:tcW w:w="3496" w:type="dxa"/>
            <w:gridSpan w:val="2"/>
            <w:tcBorders>
              <w:top w:val="single" w:sz="8" w:space="0" w:color="A6A6A6"/>
              <w:left w:val="single" w:sz="8" w:space="0" w:color="A6A6A6"/>
              <w:bottom w:val="single" w:sz="8" w:space="0" w:color="A6A6A6"/>
              <w:right w:val="single" w:sz="8" w:space="0" w:color="A6A6A6"/>
            </w:tcBorders>
            <w:shd w:val="clear" w:color="000000" w:fill="1F497D"/>
            <w:noWrap/>
            <w:vAlign w:val="center"/>
            <w:hideMark/>
          </w:tcPr>
          <w:p w14:paraId="0A0B94CD"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 xml:space="preserve">Total </w:t>
            </w:r>
          </w:p>
        </w:tc>
        <w:tc>
          <w:tcPr>
            <w:tcW w:w="1330" w:type="dxa"/>
            <w:tcBorders>
              <w:top w:val="nil"/>
              <w:left w:val="nil"/>
              <w:bottom w:val="single" w:sz="8" w:space="0" w:color="A6A6A6"/>
              <w:right w:val="single" w:sz="8" w:space="0" w:color="A6A6A6"/>
            </w:tcBorders>
            <w:shd w:val="clear" w:color="000000" w:fill="1F497D"/>
            <w:vAlign w:val="center"/>
            <w:hideMark/>
          </w:tcPr>
          <w:p w14:paraId="79582E26"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3.273,7</w:t>
            </w:r>
          </w:p>
        </w:tc>
        <w:tc>
          <w:tcPr>
            <w:tcW w:w="1256" w:type="dxa"/>
            <w:tcBorders>
              <w:top w:val="nil"/>
              <w:left w:val="nil"/>
              <w:bottom w:val="single" w:sz="8" w:space="0" w:color="A6A6A6"/>
              <w:right w:val="single" w:sz="8" w:space="0" w:color="A6A6A6"/>
            </w:tcBorders>
            <w:shd w:val="clear" w:color="000000" w:fill="1F497D"/>
            <w:vAlign w:val="center"/>
            <w:hideMark/>
          </w:tcPr>
          <w:p w14:paraId="46EF520E"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3.273,7</w:t>
            </w:r>
          </w:p>
        </w:tc>
        <w:tc>
          <w:tcPr>
            <w:tcW w:w="939" w:type="dxa"/>
            <w:tcBorders>
              <w:top w:val="nil"/>
              <w:left w:val="nil"/>
              <w:bottom w:val="single" w:sz="8" w:space="0" w:color="A6A6A6"/>
              <w:right w:val="single" w:sz="8" w:space="0" w:color="A6A6A6"/>
            </w:tcBorders>
            <w:shd w:val="clear" w:color="000000" w:fill="1F497D"/>
            <w:vAlign w:val="center"/>
            <w:hideMark/>
          </w:tcPr>
          <w:p w14:paraId="662BAC70"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6.229,9</w:t>
            </w:r>
          </w:p>
        </w:tc>
        <w:tc>
          <w:tcPr>
            <w:tcW w:w="1270" w:type="dxa"/>
            <w:tcBorders>
              <w:top w:val="nil"/>
              <w:left w:val="nil"/>
              <w:bottom w:val="single" w:sz="8" w:space="0" w:color="A6A6A6"/>
              <w:right w:val="single" w:sz="8" w:space="0" w:color="A6A6A6"/>
            </w:tcBorders>
            <w:shd w:val="clear" w:color="000000" w:fill="1F497D"/>
            <w:vAlign w:val="center"/>
            <w:hideMark/>
          </w:tcPr>
          <w:p w14:paraId="34833E39"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1.634,0</w:t>
            </w:r>
          </w:p>
        </w:tc>
        <w:tc>
          <w:tcPr>
            <w:tcW w:w="933" w:type="dxa"/>
            <w:tcBorders>
              <w:top w:val="nil"/>
              <w:left w:val="nil"/>
              <w:bottom w:val="single" w:sz="8" w:space="0" w:color="A6A6A6"/>
              <w:right w:val="single" w:sz="8" w:space="0" w:color="A6A6A6"/>
            </w:tcBorders>
            <w:shd w:val="clear" w:color="000000" w:fill="1F497D"/>
            <w:vAlign w:val="center"/>
            <w:hideMark/>
          </w:tcPr>
          <w:p w14:paraId="29F6DC03" w14:textId="77777777" w:rsidR="006B63F1" w:rsidRPr="006B63F1" w:rsidRDefault="006B63F1" w:rsidP="006B63F1">
            <w:pPr>
              <w:spacing w:after="0" w:line="240" w:lineRule="auto"/>
              <w:jc w:val="center"/>
              <w:rPr>
                <w:rFonts w:ascii="Calibri" w:eastAsia="Times New Roman" w:hAnsi="Calibri" w:cs="Calibri"/>
                <w:b/>
                <w:bCs/>
                <w:color w:val="FFFFFF"/>
                <w:sz w:val="18"/>
                <w:szCs w:val="18"/>
                <w:lang w:eastAsia="es-CL"/>
              </w:rPr>
            </w:pPr>
            <w:r w:rsidRPr="006B63F1">
              <w:rPr>
                <w:rFonts w:ascii="Calibri" w:eastAsia="Times New Roman" w:hAnsi="Calibri" w:cs="Calibri"/>
                <w:b/>
                <w:bCs/>
                <w:color w:val="FFFFFF"/>
                <w:sz w:val="18"/>
                <w:szCs w:val="18"/>
                <w:lang w:eastAsia="es-CL"/>
              </w:rPr>
              <w:t>14.411,4</w:t>
            </w:r>
          </w:p>
        </w:tc>
      </w:tr>
    </w:tbl>
    <w:p w14:paraId="4B71C239" w14:textId="77777777" w:rsidR="00CD5340" w:rsidRDefault="00CD5340" w:rsidP="00B57DCD">
      <w:pPr>
        <w:tabs>
          <w:tab w:val="left" w:pos="0"/>
        </w:tabs>
        <w:spacing w:after="0" w:line="240" w:lineRule="auto"/>
        <w:rPr>
          <w:rFonts w:cstheme="minorHAnsi"/>
          <w:b/>
          <w:bCs/>
        </w:rPr>
      </w:pPr>
    </w:p>
    <w:p w14:paraId="7374E207" w14:textId="64CB56DF" w:rsidR="00EF4E0C" w:rsidRDefault="00F01F4F" w:rsidP="00115AD9">
      <w:pPr>
        <w:tabs>
          <w:tab w:val="left" w:pos="0"/>
        </w:tabs>
        <w:spacing w:after="0" w:line="240" w:lineRule="auto"/>
        <w:rPr>
          <w:rFonts w:ascii="Calibri" w:hAnsi="Calibri" w:cs="Calibri"/>
          <w:b/>
          <w:sz w:val="21"/>
          <w:szCs w:val="21"/>
        </w:rPr>
      </w:pPr>
      <w:r>
        <w:t xml:space="preserve">Adicionalmente, durante el mes de enero, el casino </w:t>
      </w:r>
      <w:proofErr w:type="spellStart"/>
      <w:r>
        <w:t>Enjoy</w:t>
      </w:r>
      <w:proofErr w:type="spellEnd"/>
      <w:r>
        <w:t xml:space="preserve"> Viña del Mar, que inició sus operaciones en julio de 2021, realizó el pago de la oferta económica anual por un monto de 831.123 UF, los que son recaudados por la Tesorería General de la República y puestos a disposición del municipio en el mismo plazo que los recursos del impuesto específico al juego.</w:t>
      </w:r>
    </w:p>
    <w:sectPr w:rsidR="00EF4E0C" w:rsidSect="00DC75C9">
      <w:headerReference w:type="even" r:id="rId8"/>
      <w:headerReference w:type="default" r:id="rId9"/>
      <w:footerReference w:type="even" r:id="rId10"/>
      <w:footerReference w:type="default" r:id="rId11"/>
      <w:headerReference w:type="first" r:id="rId12"/>
      <w:footerReference w:type="first" r:id="rId1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0EA4" w14:textId="77777777" w:rsidR="00E00E38" w:rsidRDefault="00E00E38" w:rsidP="00FD382C">
      <w:r>
        <w:separator/>
      </w:r>
    </w:p>
  </w:endnote>
  <w:endnote w:type="continuationSeparator" w:id="0">
    <w:p w14:paraId="3563FE7A" w14:textId="77777777" w:rsidR="00E00E38" w:rsidRDefault="00E00E38"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1C13" w14:textId="77777777" w:rsidR="00A96C54" w:rsidRDefault="00A96C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8B88F" w14:textId="77777777" w:rsidR="001914DF" w:rsidRDefault="001914DF">
    <w:pPr>
      <w:pStyle w:val="Piedepgina"/>
    </w:pPr>
  </w:p>
  <w:p w14:paraId="2E5D0DE2" w14:textId="77777777" w:rsidR="001914DF" w:rsidRDefault="001914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AE3A" w14:textId="77777777" w:rsidR="00A96C54" w:rsidRDefault="00A96C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0B1C" w14:textId="77777777" w:rsidR="00E00E38" w:rsidRDefault="00E00E38" w:rsidP="00FD382C">
      <w:r>
        <w:separator/>
      </w:r>
    </w:p>
  </w:footnote>
  <w:footnote w:type="continuationSeparator" w:id="0">
    <w:p w14:paraId="408B6A0B" w14:textId="77777777" w:rsidR="00E00E38" w:rsidRDefault="00E00E38" w:rsidP="00FD3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56E6" w14:textId="77777777" w:rsidR="00A96C54" w:rsidRDefault="00A96C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90266" w14:textId="77777777" w:rsidR="001914DF" w:rsidRDefault="001914DF"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1914DF" w:rsidRPr="00FD382C" w:rsidRDefault="001914DF" w:rsidP="009858E3">
    <w:pPr>
      <w:pStyle w:val="Encabezado"/>
      <w:pBdr>
        <w:bottom w:val="single" w:sz="4" w:space="1" w:color="auto"/>
      </w:pBdr>
      <w:jc w:val="right"/>
      <w:rPr>
        <w:b/>
      </w:rPr>
    </w:pPr>
    <w:r w:rsidRPr="00FD382C">
      <w:rPr>
        <w:b/>
      </w:rPr>
      <w:t>COMUNICADO DE PRENSA</w:t>
    </w:r>
  </w:p>
  <w:p w14:paraId="6D6598B1" w14:textId="13E40570" w:rsidR="001914DF" w:rsidRDefault="001914DF" w:rsidP="009858E3">
    <w:pPr>
      <w:pStyle w:val="Encabezado"/>
      <w:pBdr>
        <w:bottom w:val="single" w:sz="4" w:space="1" w:color="auto"/>
      </w:pBdr>
      <w:rPr>
        <w:b/>
      </w:rPr>
    </w:pPr>
    <w:r w:rsidRPr="00FD382C">
      <w:rPr>
        <w:b/>
      </w:rPr>
      <w:tab/>
    </w:r>
    <w:r w:rsidRPr="00FD382C">
      <w:rPr>
        <w:b/>
      </w:rPr>
      <w:tab/>
    </w:r>
    <w:r w:rsidR="00A96C54">
      <w:rPr>
        <w:b/>
      </w:rPr>
      <w:t xml:space="preserve">Jueves 31 </w:t>
    </w:r>
    <w:r>
      <w:rPr>
        <w:b/>
      </w:rPr>
      <w:t xml:space="preserve">de </w:t>
    </w:r>
    <w:r w:rsidR="00BC3A5E">
      <w:rPr>
        <w:b/>
      </w:rPr>
      <w:t>marzo</w:t>
    </w:r>
    <w:r w:rsidR="008659CE">
      <w:rPr>
        <w:b/>
      </w:rPr>
      <w:t xml:space="preserve"> </w:t>
    </w:r>
    <w:r>
      <w:rPr>
        <w:b/>
      </w:rPr>
      <w:t>de 202</w:t>
    </w:r>
    <w:r w:rsidR="00B0301A">
      <w:rPr>
        <w:b/>
      </w:rPr>
      <w:t>2</w:t>
    </w:r>
  </w:p>
  <w:p w14:paraId="6D9F9DFB" w14:textId="77777777" w:rsidR="001914DF" w:rsidRPr="00FD382C" w:rsidRDefault="001914DF" w:rsidP="009858E3">
    <w:pPr>
      <w:pStyle w:val="Encabezad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D2C3" w14:textId="77777777" w:rsidR="00A96C54" w:rsidRDefault="00A96C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9E2792A"/>
    <w:multiLevelType w:val="hybridMultilevel"/>
    <w:tmpl w:val="0B82C8EA"/>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6"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02D5E"/>
    <w:rsid w:val="0000694C"/>
    <w:rsid w:val="00010609"/>
    <w:rsid w:val="00010D78"/>
    <w:rsid w:val="000249BB"/>
    <w:rsid w:val="0003225F"/>
    <w:rsid w:val="0004531A"/>
    <w:rsid w:val="0005196B"/>
    <w:rsid w:val="00053038"/>
    <w:rsid w:val="0005531F"/>
    <w:rsid w:val="00060DE8"/>
    <w:rsid w:val="000627B3"/>
    <w:rsid w:val="00066507"/>
    <w:rsid w:val="000666F7"/>
    <w:rsid w:val="00067327"/>
    <w:rsid w:val="00070A8B"/>
    <w:rsid w:val="00070FBD"/>
    <w:rsid w:val="00072032"/>
    <w:rsid w:val="00082A4E"/>
    <w:rsid w:val="00083908"/>
    <w:rsid w:val="00084B20"/>
    <w:rsid w:val="00097898"/>
    <w:rsid w:val="000A4502"/>
    <w:rsid w:val="000A7117"/>
    <w:rsid w:val="000B159F"/>
    <w:rsid w:val="000B16EA"/>
    <w:rsid w:val="000B22E7"/>
    <w:rsid w:val="000B5535"/>
    <w:rsid w:val="000B71FE"/>
    <w:rsid w:val="000C1CF5"/>
    <w:rsid w:val="000C25C4"/>
    <w:rsid w:val="000C3DDF"/>
    <w:rsid w:val="000C7455"/>
    <w:rsid w:val="000D1DA8"/>
    <w:rsid w:val="000D4A52"/>
    <w:rsid w:val="000D553D"/>
    <w:rsid w:val="000D6BF6"/>
    <w:rsid w:val="000D7911"/>
    <w:rsid w:val="000D7975"/>
    <w:rsid w:val="000E1640"/>
    <w:rsid w:val="000E2EC5"/>
    <w:rsid w:val="000E4826"/>
    <w:rsid w:val="000F1FCB"/>
    <w:rsid w:val="000F3AD6"/>
    <w:rsid w:val="000F3DC9"/>
    <w:rsid w:val="000F60B1"/>
    <w:rsid w:val="00106FDB"/>
    <w:rsid w:val="00107281"/>
    <w:rsid w:val="00112F13"/>
    <w:rsid w:val="001152D3"/>
    <w:rsid w:val="00115AD9"/>
    <w:rsid w:val="00130C0E"/>
    <w:rsid w:val="00134171"/>
    <w:rsid w:val="00146B10"/>
    <w:rsid w:val="00152CF7"/>
    <w:rsid w:val="00156507"/>
    <w:rsid w:val="0016144B"/>
    <w:rsid w:val="00161F8D"/>
    <w:rsid w:val="00171452"/>
    <w:rsid w:val="00171709"/>
    <w:rsid w:val="001723D4"/>
    <w:rsid w:val="00172CAF"/>
    <w:rsid w:val="0017349B"/>
    <w:rsid w:val="00181717"/>
    <w:rsid w:val="00181AB5"/>
    <w:rsid w:val="00184005"/>
    <w:rsid w:val="0018689C"/>
    <w:rsid w:val="00186B7F"/>
    <w:rsid w:val="001914DF"/>
    <w:rsid w:val="00196290"/>
    <w:rsid w:val="001A0CCF"/>
    <w:rsid w:val="001A472E"/>
    <w:rsid w:val="001A595F"/>
    <w:rsid w:val="001C0AC0"/>
    <w:rsid w:val="001C606D"/>
    <w:rsid w:val="001C6139"/>
    <w:rsid w:val="001D33F7"/>
    <w:rsid w:val="001D7E9E"/>
    <w:rsid w:val="001E1087"/>
    <w:rsid w:val="001E2D5F"/>
    <w:rsid w:val="001E366F"/>
    <w:rsid w:val="001E5525"/>
    <w:rsid w:val="001E65B3"/>
    <w:rsid w:val="001E78D6"/>
    <w:rsid w:val="00200053"/>
    <w:rsid w:val="0020351D"/>
    <w:rsid w:val="002075E8"/>
    <w:rsid w:val="00211790"/>
    <w:rsid w:val="00231FE9"/>
    <w:rsid w:val="00234145"/>
    <w:rsid w:val="002406D6"/>
    <w:rsid w:val="00242E1D"/>
    <w:rsid w:val="00247A50"/>
    <w:rsid w:val="00252772"/>
    <w:rsid w:val="00252AF5"/>
    <w:rsid w:val="002542B1"/>
    <w:rsid w:val="00255940"/>
    <w:rsid w:val="00265A30"/>
    <w:rsid w:val="00271B88"/>
    <w:rsid w:val="00274F17"/>
    <w:rsid w:val="0027564E"/>
    <w:rsid w:val="0027633E"/>
    <w:rsid w:val="0028027D"/>
    <w:rsid w:val="002814E3"/>
    <w:rsid w:val="00286C33"/>
    <w:rsid w:val="00290D7F"/>
    <w:rsid w:val="00292769"/>
    <w:rsid w:val="002936C4"/>
    <w:rsid w:val="002B2B3F"/>
    <w:rsid w:val="002B3DB3"/>
    <w:rsid w:val="002B5C3A"/>
    <w:rsid w:val="002C1871"/>
    <w:rsid w:val="002C1CD9"/>
    <w:rsid w:val="002C3586"/>
    <w:rsid w:val="002C3DCB"/>
    <w:rsid w:val="002C5E7D"/>
    <w:rsid w:val="002D141C"/>
    <w:rsid w:val="002D5B47"/>
    <w:rsid w:val="002D698D"/>
    <w:rsid w:val="002E1437"/>
    <w:rsid w:val="002E1A57"/>
    <w:rsid w:val="002E1BFC"/>
    <w:rsid w:val="002E396F"/>
    <w:rsid w:val="002E3F9C"/>
    <w:rsid w:val="002E651C"/>
    <w:rsid w:val="002E7643"/>
    <w:rsid w:val="00302ACB"/>
    <w:rsid w:val="00303081"/>
    <w:rsid w:val="00303230"/>
    <w:rsid w:val="0030406A"/>
    <w:rsid w:val="0031661E"/>
    <w:rsid w:val="00330916"/>
    <w:rsid w:val="00330D14"/>
    <w:rsid w:val="00332200"/>
    <w:rsid w:val="00332EC7"/>
    <w:rsid w:val="003361BC"/>
    <w:rsid w:val="003404EF"/>
    <w:rsid w:val="00341575"/>
    <w:rsid w:val="0034512E"/>
    <w:rsid w:val="003457CE"/>
    <w:rsid w:val="0035639B"/>
    <w:rsid w:val="00356EEF"/>
    <w:rsid w:val="00357728"/>
    <w:rsid w:val="00364B35"/>
    <w:rsid w:val="0036723F"/>
    <w:rsid w:val="00367E30"/>
    <w:rsid w:val="00370E47"/>
    <w:rsid w:val="00372044"/>
    <w:rsid w:val="00372D81"/>
    <w:rsid w:val="00373A16"/>
    <w:rsid w:val="00373CA8"/>
    <w:rsid w:val="00374B15"/>
    <w:rsid w:val="00385B98"/>
    <w:rsid w:val="00387E7B"/>
    <w:rsid w:val="00396B60"/>
    <w:rsid w:val="003A0DBE"/>
    <w:rsid w:val="003A4081"/>
    <w:rsid w:val="003A4D71"/>
    <w:rsid w:val="003A7E46"/>
    <w:rsid w:val="003B0C64"/>
    <w:rsid w:val="003B0FF3"/>
    <w:rsid w:val="003B22B3"/>
    <w:rsid w:val="003B2794"/>
    <w:rsid w:val="003B6933"/>
    <w:rsid w:val="003C18CD"/>
    <w:rsid w:val="003C4894"/>
    <w:rsid w:val="003C690E"/>
    <w:rsid w:val="003D02FA"/>
    <w:rsid w:val="003D15B6"/>
    <w:rsid w:val="003D3437"/>
    <w:rsid w:val="003D3765"/>
    <w:rsid w:val="003D6DD3"/>
    <w:rsid w:val="003E14B0"/>
    <w:rsid w:val="003E7430"/>
    <w:rsid w:val="003F05FA"/>
    <w:rsid w:val="003F334D"/>
    <w:rsid w:val="003F35F6"/>
    <w:rsid w:val="003F4F95"/>
    <w:rsid w:val="003F6D39"/>
    <w:rsid w:val="00400831"/>
    <w:rsid w:val="004044A8"/>
    <w:rsid w:val="00404CEA"/>
    <w:rsid w:val="004077AE"/>
    <w:rsid w:val="0041118A"/>
    <w:rsid w:val="00411580"/>
    <w:rsid w:val="00414497"/>
    <w:rsid w:val="00426C10"/>
    <w:rsid w:val="00427615"/>
    <w:rsid w:val="00434B07"/>
    <w:rsid w:val="004360E3"/>
    <w:rsid w:val="004432D4"/>
    <w:rsid w:val="004468EA"/>
    <w:rsid w:val="004530F2"/>
    <w:rsid w:val="00457BCD"/>
    <w:rsid w:val="004628C5"/>
    <w:rsid w:val="00462DA6"/>
    <w:rsid w:val="0046773A"/>
    <w:rsid w:val="00474076"/>
    <w:rsid w:val="004768DF"/>
    <w:rsid w:val="00480047"/>
    <w:rsid w:val="004830B6"/>
    <w:rsid w:val="004843DA"/>
    <w:rsid w:val="00484918"/>
    <w:rsid w:val="00484BF8"/>
    <w:rsid w:val="00491666"/>
    <w:rsid w:val="004942E1"/>
    <w:rsid w:val="00496A03"/>
    <w:rsid w:val="004A620A"/>
    <w:rsid w:val="004B3B37"/>
    <w:rsid w:val="004C5EE7"/>
    <w:rsid w:val="004C761E"/>
    <w:rsid w:val="004D351E"/>
    <w:rsid w:val="004D3E92"/>
    <w:rsid w:val="004D3F62"/>
    <w:rsid w:val="004D4205"/>
    <w:rsid w:val="004D618C"/>
    <w:rsid w:val="004E6E42"/>
    <w:rsid w:val="004F4336"/>
    <w:rsid w:val="004F66A2"/>
    <w:rsid w:val="004F674A"/>
    <w:rsid w:val="005004A0"/>
    <w:rsid w:val="005009A7"/>
    <w:rsid w:val="00501B39"/>
    <w:rsid w:val="00502A0B"/>
    <w:rsid w:val="00513F0E"/>
    <w:rsid w:val="0052553D"/>
    <w:rsid w:val="005270A6"/>
    <w:rsid w:val="005304CD"/>
    <w:rsid w:val="005305FC"/>
    <w:rsid w:val="00533301"/>
    <w:rsid w:val="00536AD9"/>
    <w:rsid w:val="0054215E"/>
    <w:rsid w:val="00543268"/>
    <w:rsid w:val="005469D3"/>
    <w:rsid w:val="00552EA6"/>
    <w:rsid w:val="00553922"/>
    <w:rsid w:val="00556C03"/>
    <w:rsid w:val="005609FB"/>
    <w:rsid w:val="00563030"/>
    <w:rsid w:val="00564571"/>
    <w:rsid w:val="00565C48"/>
    <w:rsid w:val="00570AD6"/>
    <w:rsid w:val="005744B8"/>
    <w:rsid w:val="00574797"/>
    <w:rsid w:val="005811CF"/>
    <w:rsid w:val="0058324B"/>
    <w:rsid w:val="00584E2D"/>
    <w:rsid w:val="00587B0F"/>
    <w:rsid w:val="005A08E6"/>
    <w:rsid w:val="005B01F2"/>
    <w:rsid w:val="005B1CCB"/>
    <w:rsid w:val="005B279E"/>
    <w:rsid w:val="005B3F73"/>
    <w:rsid w:val="005C3AFE"/>
    <w:rsid w:val="005C3CAF"/>
    <w:rsid w:val="005C443C"/>
    <w:rsid w:val="005C4CB2"/>
    <w:rsid w:val="005D4916"/>
    <w:rsid w:val="005F0263"/>
    <w:rsid w:val="005F17F7"/>
    <w:rsid w:val="005F2731"/>
    <w:rsid w:val="006022DC"/>
    <w:rsid w:val="00603448"/>
    <w:rsid w:val="00611B01"/>
    <w:rsid w:val="006124CA"/>
    <w:rsid w:val="00616099"/>
    <w:rsid w:val="00620E4A"/>
    <w:rsid w:val="00625D82"/>
    <w:rsid w:val="006320E4"/>
    <w:rsid w:val="006343C2"/>
    <w:rsid w:val="00634709"/>
    <w:rsid w:val="00635BF0"/>
    <w:rsid w:val="006379E8"/>
    <w:rsid w:val="00642CAD"/>
    <w:rsid w:val="00643409"/>
    <w:rsid w:val="00650542"/>
    <w:rsid w:val="0065128C"/>
    <w:rsid w:val="0065648C"/>
    <w:rsid w:val="0066107D"/>
    <w:rsid w:val="00670528"/>
    <w:rsid w:val="00670C50"/>
    <w:rsid w:val="006717A5"/>
    <w:rsid w:val="006741BF"/>
    <w:rsid w:val="006756C9"/>
    <w:rsid w:val="006769E2"/>
    <w:rsid w:val="00682312"/>
    <w:rsid w:val="006866F5"/>
    <w:rsid w:val="00692B82"/>
    <w:rsid w:val="00692EB5"/>
    <w:rsid w:val="00693EF8"/>
    <w:rsid w:val="00696BDD"/>
    <w:rsid w:val="006A4494"/>
    <w:rsid w:val="006A7C2D"/>
    <w:rsid w:val="006A7C49"/>
    <w:rsid w:val="006B0280"/>
    <w:rsid w:val="006B63F1"/>
    <w:rsid w:val="006C2E93"/>
    <w:rsid w:val="006C4C1B"/>
    <w:rsid w:val="006D0D1F"/>
    <w:rsid w:val="006D340C"/>
    <w:rsid w:val="006E0442"/>
    <w:rsid w:val="006E14F9"/>
    <w:rsid w:val="006E2F75"/>
    <w:rsid w:val="006E3960"/>
    <w:rsid w:val="006E4A5E"/>
    <w:rsid w:val="006E4FFE"/>
    <w:rsid w:val="006E6197"/>
    <w:rsid w:val="006F36F7"/>
    <w:rsid w:val="006F449E"/>
    <w:rsid w:val="006F6C40"/>
    <w:rsid w:val="006F7CA6"/>
    <w:rsid w:val="00702836"/>
    <w:rsid w:val="00720BD2"/>
    <w:rsid w:val="00723555"/>
    <w:rsid w:val="00727247"/>
    <w:rsid w:val="0072731F"/>
    <w:rsid w:val="00731D61"/>
    <w:rsid w:val="00731F65"/>
    <w:rsid w:val="0073400A"/>
    <w:rsid w:val="007348DB"/>
    <w:rsid w:val="007368D5"/>
    <w:rsid w:val="0073758F"/>
    <w:rsid w:val="0074512F"/>
    <w:rsid w:val="00750625"/>
    <w:rsid w:val="007537E1"/>
    <w:rsid w:val="00756B18"/>
    <w:rsid w:val="00765889"/>
    <w:rsid w:val="007735DC"/>
    <w:rsid w:val="00773FDD"/>
    <w:rsid w:val="00774921"/>
    <w:rsid w:val="0077523F"/>
    <w:rsid w:val="00787820"/>
    <w:rsid w:val="00790E9F"/>
    <w:rsid w:val="007A2C4B"/>
    <w:rsid w:val="007A3DC5"/>
    <w:rsid w:val="007B3621"/>
    <w:rsid w:val="007B5B90"/>
    <w:rsid w:val="007C4E85"/>
    <w:rsid w:val="007C6AB3"/>
    <w:rsid w:val="007D18AC"/>
    <w:rsid w:val="007D1CD3"/>
    <w:rsid w:val="007D2B56"/>
    <w:rsid w:val="007D6C07"/>
    <w:rsid w:val="007F3AA1"/>
    <w:rsid w:val="007F6746"/>
    <w:rsid w:val="007F70D0"/>
    <w:rsid w:val="007F75D6"/>
    <w:rsid w:val="00801D21"/>
    <w:rsid w:val="00803DBB"/>
    <w:rsid w:val="00804E4B"/>
    <w:rsid w:val="008062BF"/>
    <w:rsid w:val="008161A3"/>
    <w:rsid w:val="0081667E"/>
    <w:rsid w:val="00821C31"/>
    <w:rsid w:val="00826557"/>
    <w:rsid w:val="00831D0C"/>
    <w:rsid w:val="00832C32"/>
    <w:rsid w:val="00834D9E"/>
    <w:rsid w:val="00841E68"/>
    <w:rsid w:val="00842039"/>
    <w:rsid w:val="00842993"/>
    <w:rsid w:val="00864D11"/>
    <w:rsid w:val="008659CE"/>
    <w:rsid w:val="00871017"/>
    <w:rsid w:val="00871A54"/>
    <w:rsid w:val="00877A61"/>
    <w:rsid w:val="0088217E"/>
    <w:rsid w:val="00884744"/>
    <w:rsid w:val="00885B46"/>
    <w:rsid w:val="0089072C"/>
    <w:rsid w:val="00893FC1"/>
    <w:rsid w:val="00895DCC"/>
    <w:rsid w:val="008A4B8A"/>
    <w:rsid w:val="008B14B4"/>
    <w:rsid w:val="008B6C22"/>
    <w:rsid w:val="008B72D9"/>
    <w:rsid w:val="008C47DE"/>
    <w:rsid w:val="008C51CA"/>
    <w:rsid w:val="008C54E0"/>
    <w:rsid w:val="008C63FE"/>
    <w:rsid w:val="008E2767"/>
    <w:rsid w:val="008E3F28"/>
    <w:rsid w:val="008E4248"/>
    <w:rsid w:val="00901177"/>
    <w:rsid w:val="0090460C"/>
    <w:rsid w:val="00905734"/>
    <w:rsid w:val="0090700B"/>
    <w:rsid w:val="009070A6"/>
    <w:rsid w:val="009151B9"/>
    <w:rsid w:val="009152F2"/>
    <w:rsid w:val="009169F2"/>
    <w:rsid w:val="009265AF"/>
    <w:rsid w:val="009303C5"/>
    <w:rsid w:val="00932D63"/>
    <w:rsid w:val="00936EAE"/>
    <w:rsid w:val="00943C82"/>
    <w:rsid w:val="0094407B"/>
    <w:rsid w:val="009441B9"/>
    <w:rsid w:val="00945D38"/>
    <w:rsid w:val="00946AAC"/>
    <w:rsid w:val="00950E82"/>
    <w:rsid w:val="0095264F"/>
    <w:rsid w:val="0095441A"/>
    <w:rsid w:val="0096014A"/>
    <w:rsid w:val="009623D2"/>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B7B79"/>
    <w:rsid w:val="009C1D22"/>
    <w:rsid w:val="009C3A3E"/>
    <w:rsid w:val="009C4049"/>
    <w:rsid w:val="009C6BC2"/>
    <w:rsid w:val="009C7CE2"/>
    <w:rsid w:val="009D32C3"/>
    <w:rsid w:val="009E0798"/>
    <w:rsid w:val="009E1466"/>
    <w:rsid w:val="009E36D2"/>
    <w:rsid w:val="009E3CDD"/>
    <w:rsid w:val="009E5593"/>
    <w:rsid w:val="00A03BA6"/>
    <w:rsid w:val="00A04699"/>
    <w:rsid w:val="00A0576A"/>
    <w:rsid w:val="00A12283"/>
    <w:rsid w:val="00A1369B"/>
    <w:rsid w:val="00A139E6"/>
    <w:rsid w:val="00A148ED"/>
    <w:rsid w:val="00A14A88"/>
    <w:rsid w:val="00A17581"/>
    <w:rsid w:val="00A22215"/>
    <w:rsid w:val="00A23BD9"/>
    <w:rsid w:val="00A2663C"/>
    <w:rsid w:val="00A27E18"/>
    <w:rsid w:val="00A32C3B"/>
    <w:rsid w:val="00A32D29"/>
    <w:rsid w:val="00A37DA2"/>
    <w:rsid w:val="00A41280"/>
    <w:rsid w:val="00A417B6"/>
    <w:rsid w:val="00A51CDD"/>
    <w:rsid w:val="00A5263C"/>
    <w:rsid w:val="00A541A3"/>
    <w:rsid w:val="00A55386"/>
    <w:rsid w:val="00A63E30"/>
    <w:rsid w:val="00A667EF"/>
    <w:rsid w:val="00A71A63"/>
    <w:rsid w:val="00A729EA"/>
    <w:rsid w:val="00A73100"/>
    <w:rsid w:val="00A74B36"/>
    <w:rsid w:val="00A80753"/>
    <w:rsid w:val="00A8087D"/>
    <w:rsid w:val="00A80DE9"/>
    <w:rsid w:val="00A81680"/>
    <w:rsid w:val="00A82760"/>
    <w:rsid w:val="00A83902"/>
    <w:rsid w:val="00A83B60"/>
    <w:rsid w:val="00A83CB9"/>
    <w:rsid w:val="00A84B76"/>
    <w:rsid w:val="00A8514F"/>
    <w:rsid w:val="00A86A67"/>
    <w:rsid w:val="00A86A9B"/>
    <w:rsid w:val="00A902A1"/>
    <w:rsid w:val="00A90545"/>
    <w:rsid w:val="00A913BC"/>
    <w:rsid w:val="00A94323"/>
    <w:rsid w:val="00A96C54"/>
    <w:rsid w:val="00A97A88"/>
    <w:rsid w:val="00AA4471"/>
    <w:rsid w:val="00AB2377"/>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01A"/>
    <w:rsid w:val="00B0351E"/>
    <w:rsid w:val="00B07563"/>
    <w:rsid w:val="00B10381"/>
    <w:rsid w:val="00B14621"/>
    <w:rsid w:val="00B214DF"/>
    <w:rsid w:val="00B22B12"/>
    <w:rsid w:val="00B3402A"/>
    <w:rsid w:val="00B344C1"/>
    <w:rsid w:val="00B36B82"/>
    <w:rsid w:val="00B37C0F"/>
    <w:rsid w:val="00B37D4B"/>
    <w:rsid w:val="00B41AFC"/>
    <w:rsid w:val="00B440B7"/>
    <w:rsid w:val="00B45B9F"/>
    <w:rsid w:val="00B57C17"/>
    <w:rsid w:val="00B57DCD"/>
    <w:rsid w:val="00B57FF1"/>
    <w:rsid w:val="00B67DE2"/>
    <w:rsid w:val="00B67E4D"/>
    <w:rsid w:val="00B73927"/>
    <w:rsid w:val="00B8275E"/>
    <w:rsid w:val="00B82BFF"/>
    <w:rsid w:val="00B8365F"/>
    <w:rsid w:val="00B84B30"/>
    <w:rsid w:val="00B86E4A"/>
    <w:rsid w:val="00B93B36"/>
    <w:rsid w:val="00BA3504"/>
    <w:rsid w:val="00BA4CC3"/>
    <w:rsid w:val="00BA7A93"/>
    <w:rsid w:val="00BB6F98"/>
    <w:rsid w:val="00BC029B"/>
    <w:rsid w:val="00BC3A5E"/>
    <w:rsid w:val="00BC4BB8"/>
    <w:rsid w:val="00BD07F3"/>
    <w:rsid w:val="00BD5041"/>
    <w:rsid w:val="00BD6F02"/>
    <w:rsid w:val="00BE1CAF"/>
    <w:rsid w:val="00BE1CDC"/>
    <w:rsid w:val="00BE3DAE"/>
    <w:rsid w:val="00BE4A05"/>
    <w:rsid w:val="00BE4A8E"/>
    <w:rsid w:val="00BF1779"/>
    <w:rsid w:val="00BF71A9"/>
    <w:rsid w:val="00C005EA"/>
    <w:rsid w:val="00C008E8"/>
    <w:rsid w:val="00C01232"/>
    <w:rsid w:val="00C019AE"/>
    <w:rsid w:val="00C01C2F"/>
    <w:rsid w:val="00C02FF9"/>
    <w:rsid w:val="00C04E04"/>
    <w:rsid w:val="00C17937"/>
    <w:rsid w:val="00C2062A"/>
    <w:rsid w:val="00C253AC"/>
    <w:rsid w:val="00C27DE5"/>
    <w:rsid w:val="00C337EB"/>
    <w:rsid w:val="00C44D28"/>
    <w:rsid w:val="00C5279C"/>
    <w:rsid w:val="00C547FE"/>
    <w:rsid w:val="00C60FC7"/>
    <w:rsid w:val="00C62C46"/>
    <w:rsid w:val="00C64155"/>
    <w:rsid w:val="00C708EE"/>
    <w:rsid w:val="00C73FD0"/>
    <w:rsid w:val="00C742BA"/>
    <w:rsid w:val="00C8471D"/>
    <w:rsid w:val="00C85088"/>
    <w:rsid w:val="00C85945"/>
    <w:rsid w:val="00C87255"/>
    <w:rsid w:val="00C905F9"/>
    <w:rsid w:val="00C90A65"/>
    <w:rsid w:val="00C973D6"/>
    <w:rsid w:val="00CA0964"/>
    <w:rsid w:val="00CA4C34"/>
    <w:rsid w:val="00CA4FF0"/>
    <w:rsid w:val="00CA6C7B"/>
    <w:rsid w:val="00CB2C5D"/>
    <w:rsid w:val="00CB5765"/>
    <w:rsid w:val="00CC6392"/>
    <w:rsid w:val="00CD5340"/>
    <w:rsid w:val="00CE05DF"/>
    <w:rsid w:val="00CF05B4"/>
    <w:rsid w:val="00CF2067"/>
    <w:rsid w:val="00CF3270"/>
    <w:rsid w:val="00CF5C17"/>
    <w:rsid w:val="00CF66DC"/>
    <w:rsid w:val="00CF73CD"/>
    <w:rsid w:val="00D02BB0"/>
    <w:rsid w:val="00D0788B"/>
    <w:rsid w:val="00D17B24"/>
    <w:rsid w:val="00D20310"/>
    <w:rsid w:val="00D2135A"/>
    <w:rsid w:val="00D214FD"/>
    <w:rsid w:val="00D24AE5"/>
    <w:rsid w:val="00D2557C"/>
    <w:rsid w:val="00D25673"/>
    <w:rsid w:val="00D31EE7"/>
    <w:rsid w:val="00D347ED"/>
    <w:rsid w:val="00D36F50"/>
    <w:rsid w:val="00D42C6C"/>
    <w:rsid w:val="00D54C54"/>
    <w:rsid w:val="00D6432E"/>
    <w:rsid w:val="00D67977"/>
    <w:rsid w:val="00D702DD"/>
    <w:rsid w:val="00D72742"/>
    <w:rsid w:val="00D9007C"/>
    <w:rsid w:val="00D93080"/>
    <w:rsid w:val="00D97301"/>
    <w:rsid w:val="00DA04BC"/>
    <w:rsid w:val="00DA20B1"/>
    <w:rsid w:val="00DA21E5"/>
    <w:rsid w:val="00DA6495"/>
    <w:rsid w:val="00DB1263"/>
    <w:rsid w:val="00DB2A3C"/>
    <w:rsid w:val="00DB3239"/>
    <w:rsid w:val="00DB5082"/>
    <w:rsid w:val="00DC75C9"/>
    <w:rsid w:val="00DD0B06"/>
    <w:rsid w:val="00DD3AA0"/>
    <w:rsid w:val="00DD47CC"/>
    <w:rsid w:val="00DE1747"/>
    <w:rsid w:val="00DE1BA4"/>
    <w:rsid w:val="00DE53E5"/>
    <w:rsid w:val="00DF0994"/>
    <w:rsid w:val="00E00E38"/>
    <w:rsid w:val="00E0320F"/>
    <w:rsid w:val="00E03E1D"/>
    <w:rsid w:val="00E15981"/>
    <w:rsid w:val="00E15A41"/>
    <w:rsid w:val="00E2119D"/>
    <w:rsid w:val="00E2370C"/>
    <w:rsid w:val="00E305E8"/>
    <w:rsid w:val="00E36BEB"/>
    <w:rsid w:val="00E40D37"/>
    <w:rsid w:val="00E43884"/>
    <w:rsid w:val="00E470DA"/>
    <w:rsid w:val="00E47A22"/>
    <w:rsid w:val="00E57CA1"/>
    <w:rsid w:val="00E64DD6"/>
    <w:rsid w:val="00E660DE"/>
    <w:rsid w:val="00E6618E"/>
    <w:rsid w:val="00E701DB"/>
    <w:rsid w:val="00E71238"/>
    <w:rsid w:val="00E737FC"/>
    <w:rsid w:val="00E76DF5"/>
    <w:rsid w:val="00E76E1B"/>
    <w:rsid w:val="00E8098C"/>
    <w:rsid w:val="00E80D82"/>
    <w:rsid w:val="00E80F2B"/>
    <w:rsid w:val="00E810C5"/>
    <w:rsid w:val="00E810F9"/>
    <w:rsid w:val="00E850D1"/>
    <w:rsid w:val="00E86146"/>
    <w:rsid w:val="00E9741E"/>
    <w:rsid w:val="00EA4151"/>
    <w:rsid w:val="00EA48A8"/>
    <w:rsid w:val="00EA493F"/>
    <w:rsid w:val="00EA5C85"/>
    <w:rsid w:val="00EA60AE"/>
    <w:rsid w:val="00EA60D3"/>
    <w:rsid w:val="00EA72CD"/>
    <w:rsid w:val="00EA78D0"/>
    <w:rsid w:val="00EB0B62"/>
    <w:rsid w:val="00EB33ED"/>
    <w:rsid w:val="00EB4FB2"/>
    <w:rsid w:val="00EC0FC2"/>
    <w:rsid w:val="00EC15C7"/>
    <w:rsid w:val="00EC3C2C"/>
    <w:rsid w:val="00EC56BB"/>
    <w:rsid w:val="00EC7144"/>
    <w:rsid w:val="00ED4DB5"/>
    <w:rsid w:val="00ED60A3"/>
    <w:rsid w:val="00EE1D4A"/>
    <w:rsid w:val="00EE3264"/>
    <w:rsid w:val="00EE51F5"/>
    <w:rsid w:val="00EE656D"/>
    <w:rsid w:val="00EF24A0"/>
    <w:rsid w:val="00EF38DA"/>
    <w:rsid w:val="00EF4E0C"/>
    <w:rsid w:val="00F01F4F"/>
    <w:rsid w:val="00F033B3"/>
    <w:rsid w:val="00F038FF"/>
    <w:rsid w:val="00F04B2C"/>
    <w:rsid w:val="00F12EB5"/>
    <w:rsid w:val="00F161F8"/>
    <w:rsid w:val="00F21254"/>
    <w:rsid w:val="00F243A1"/>
    <w:rsid w:val="00F3199D"/>
    <w:rsid w:val="00F3483A"/>
    <w:rsid w:val="00F35AD0"/>
    <w:rsid w:val="00F35E80"/>
    <w:rsid w:val="00F41C39"/>
    <w:rsid w:val="00F46909"/>
    <w:rsid w:val="00F7324B"/>
    <w:rsid w:val="00F733DC"/>
    <w:rsid w:val="00F73810"/>
    <w:rsid w:val="00F762A7"/>
    <w:rsid w:val="00F764AE"/>
    <w:rsid w:val="00F83B6C"/>
    <w:rsid w:val="00F849F9"/>
    <w:rsid w:val="00F86774"/>
    <w:rsid w:val="00F86B6E"/>
    <w:rsid w:val="00F86F05"/>
    <w:rsid w:val="00F9112E"/>
    <w:rsid w:val="00F9221C"/>
    <w:rsid w:val="00F9341A"/>
    <w:rsid w:val="00F96FD7"/>
    <w:rsid w:val="00FA3F21"/>
    <w:rsid w:val="00FB2921"/>
    <w:rsid w:val="00FB3D8B"/>
    <w:rsid w:val="00FB5931"/>
    <w:rsid w:val="00FC76DD"/>
    <w:rsid w:val="00FD0394"/>
    <w:rsid w:val="00FD382C"/>
    <w:rsid w:val="00FE3662"/>
    <w:rsid w:val="00FE65AC"/>
    <w:rsid w:val="00FE74AA"/>
    <w:rsid w:val="00FF1CAB"/>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 w:type="character" w:styleId="Mencinsinresolver">
    <w:name w:val="Unresolved Mention"/>
    <w:basedOn w:val="Fuentedeprrafopredeter"/>
    <w:uiPriority w:val="99"/>
    <w:semiHidden/>
    <w:unhideWhenUsed/>
    <w:rsid w:val="00A83902"/>
    <w:rPr>
      <w:color w:val="605E5C"/>
      <w:shd w:val="clear" w:color="auto" w:fill="E1DFDD"/>
    </w:rPr>
  </w:style>
  <w:style w:type="character" w:styleId="Hipervnculovisitado">
    <w:name w:val="FollowedHyperlink"/>
    <w:basedOn w:val="Fuentedeprrafopredeter"/>
    <w:uiPriority w:val="99"/>
    <w:semiHidden/>
    <w:unhideWhenUsed/>
    <w:rsid w:val="00A839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6024867">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4038937">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78082197">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07953851">
      <w:bodyDiv w:val="1"/>
      <w:marLeft w:val="0"/>
      <w:marRight w:val="0"/>
      <w:marTop w:val="0"/>
      <w:marBottom w:val="0"/>
      <w:divBdr>
        <w:top w:val="none" w:sz="0" w:space="0" w:color="auto"/>
        <w:left w:val="none" w:sz="0" w:space="0" w:color="auto"/>
        <w:bottom w:val="none" w:sz="0" w:space="0" w:color="auto"/>
        <w:right w:val="none" w:sz="0" w:space="0" w:color="auto"/>
      </w:divBdr>
    </w:div>
    <w:div w:id="210506114">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230316409">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46318216">
      <w:bodyDiv w:val="1"/>
      <w:marLeft w:val="0"/>
      <w:marRight w:val="0"/>
      <w:marTop w:val="0"/>
      <w:marBottom w:val="0"/>
      <w:divBdr>
        <w:top w:val="none" w:sz="0" w:space="0" w:color="auto"/>
        <w:left w:val="none" w:sz="0" w:space="0" w:color="auto"/>
        <w:bottom w:val="none" w:sz="0" w:space="0" w:color="auto"/>
        <w:right w:val="none" w:sz="0" w:space="0" w:color="auto"/>
      </w:divBdr>
    </w:div>
    <w:div w:id="448091634">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75530556">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63684915">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50211657">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1781297">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20979328">
      <w:bodyDiv w:val="1"/>
      <w:marLeft w:val="0"/>
      <w:marRight w:val="0"/>
      <w:marTop w:val="0"/>
      <w:marBottom w:val="0"/>
      <w:divBdr>
        <w:top w:val="none" w:sz="0" w:space="0" w:color="auto"/>
        <w:left w:val="none" w:sz="0" w:space="0" w:color="auto"/>
        <w:bottom w:val="none" w:sz="0" w:space="0" w:color="auto"/>
        <w:right w:val="none" w:sz="0" w:space="0" w:color="auto"/>
      </w:divBdr>
    </w:div>
    <w:div w:id="721516352">
      <w:bodyDiv w:val="1"/>
      <w:marLeft w:val="0"/>
      <w:marRight w:val="0"/>
      <w:marTop w:val="0"/>
      <w:marBottom w:val="0"/>
      <w:divBdr>
        <w:top w:val="none" w:sz="0" w:space="0" w:color="auto"/>
        <w:left w:val="none" w:sz="0" w:space="0" w:color="auto"/>
        <w:bottom w:val="none" w:sz="0" w:space="0" w:color="auto"/>
        <w:right w:val="none" w:sz="0" w:space="0" w:color="auto"/>
      </w:divBdr>
    </w:div>
    <w:div w:id="727152339">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793905947">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39664262">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88494958">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1783470">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68842089">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25928079">
      <w:bodyDiv w:val="1"/>
      <w:marLeft w:val="0"/>
      <w:marRight w:val="0"/>
      <w:marTop w:val="0"/>
      <w:marBottom w:val="0"/>
      <w:divBdr>
        <w:top w:val="none" w:sz="0" w:space="0" w:color="auto"/>
        <w:left w:val="none" w:sz="0" w:space="0" w:color="auto"/>
        <w:bottom w:val="none" w:sz="0" w:space="0" w:color="auto"/>
        <w:right w:val="none" w:sz="0" w:space="0" w:color="auto"/>
      </w:divBdr>
    </w:div>
    <w:div w:id="113144237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158427459">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0140213">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17995553">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369376342">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0995328">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0108046">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47127986">
      <w:bodyDiv w:val="1"/>
      <w:marLeft w:val="0"/>
      <w:marRight w:val="0"/>
      <w:marTop w:val="0"/>
      <w:marBottom w:val="0"/>
      <w:divBdr>
        <w:top w:val="none" w:sz="0" w:space="0" w:color="auto"/>
        <w:left w:val="none" w:sz="0" w:space="0" w:color="auto"/>
        <w:bottom w:val="none" w:sz="0" w:space="0" w:color="auto"/>
        <w:right w:val="none" w:sz="0" w:space="0" w:color="auto"/>
      </w:divBdr>
    </w:div>
    <w:div w:id="1647852016">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679505227">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37917564">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1021474">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41375211">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084712741">
      <w:bodyDiv w:val="1"/>
      <w:marLeft w:val="0"/>
      <w:marRight w:val="0"/>
      <w:marTop w:val="0"/>
      <w:marBottom w:val="0"/>
      <w:divBdr>
        <w:top w:val="none" w:sz="0" w:space="0" w:color="auto"/>
        <w:left w:val="none" w:sz="0" w:space="0" w:color="auto"/>
        <w:bottom w:val="none" w:sz="0" w:space="0" w:color="auto"/>
        <w:right w:val="none" w:sz="0" w:space="0" w:color="auto"/>
      </w:divBdr>
    </w:div>
    <w:div w:id="2102095128">
      <w:bodyDiv w:val="1"/>
      <w:marLeft w:val="0"/>
      <w:marRight w:val="0"/>
      <w:marTop w:val="0"/>
      <w:marBottom w:val="0"/>
      <w:divBdr>
        <w:top w:val="none" w:sz="0" w:space="0" w:color="auto"/>
        <w:left w:val="none" w:sz="0" w:space="0" w:color="auto"/>
        <w:bottom w:val="none" w:sz="0" w:space="0" w:color="auto"/>
        <w:right w:val="none" w:sz="0" w:space="0" w:color="auto"/>
      </w:divBdr>
    </w:div>
    <w:div w:id="2108580121">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82A2E-8A8A-41C6-A3E6-2ACF82A4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3791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cp:lastModifiedBy>
  <cp:revision>2</cp:revision>
  <cp:lastPrinted>2019-08-27T13:47:00Z</cp:lastPrinted>
  <dcterms:created xsi:type="dcterms:W3CDTF">2022-03-31T19:29:00Z</dcterms:created>
  <dcterms:modified xsi:type="dcterms:W3CDTF">2022-03-31T19:29:00Z</dcterms:modified>
</cp:coreProperties>
</file>