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5884" w14:textId="1E0ABECA" w:rsidR="00F96FD7" w:rsidRPr="009C3A3E" w:rsidRDefault="00B67DE2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EA469B">
        <w:rPr>
          <w:sz w:val="28"/>
          <w:szCs w:val="28"/>
        </w:rPr>
        <w:t>alcanzó a $180.000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9970A6">
        <w:rPr>
          <w:sz w:val="28"/>
          <w:szCs w:val="28"/>
        </w:rPr>
        <w:t>en 2022</w:t>
      </w:r>
    </w:p>
    <w:p w14:paraId="671B6DB7" w14:textId="600E996D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EA469B">
        <w:rPr>
          <w:i/>
          <w:sz w:val="22"/>
        </w:rPr>
        <w:t>78.067</w:t>
      </w:r>
      <w:r w:rsidR="001914DF" w:rsidRPr="009C3A3E">
        <w:rPr>
          <w:i/>
          <w:sz w:val="22"/>
        </w:rPr>
        <w:t xml:space="preserve"> millones pagados por los casinos 19.995 que se d</w:t>
      </w:r>
      <w:r w:rsidR="00CF73CD" w:rsidRPr="009C3A3E">
        <w:rPr>
          <w:i/>
          <w:sz w:val="22"/>
        </w:rPr>
        <w:t>estina</w:t>
      </w:r>
      <w:r w:rsidR="00DC1E42">
        <w:rPr>
          <w:i/>
          <w:sz w:val="22"/>
        </w:rPr>
        <w:t>ron</w:t>
      </w:r>
      <w:r w:rsidR="00CF73CD" w:rsidRPr="009C3A3E">
        <w:rPr>
          <w:i/>
          <w:sz w:val="22"/>
        </w:rPr>
        <w:t xml:space="preserve"> a las</w:t>
      </w:r>
      <w:r w:rsidR="001914DF" w:rsidRPr="009C3A3E">
        <w:rPr>
          <w:i/>
          <w:sz w:val="22"/>
        </w:rPr>
        <w:t xml:space="preserve"> comunas y gobierno</w:t>
      </w:r>
      <w:r w:rsidR="00DC1E42">
        <w:rPr>
          <w:i/>
          <w:sz w:val="22"/>
        </w:rPr>
        <w:t>s</w:t>
      </w:r>
      <w:r w:rsidR="001914DF" w:rsidRPr="009C3A3E">
        <w:rPr>
          <w:i/>
          <w:sz w:val="22"/>
        </w:rPr>
        <w:t xml:space="preserve"> regionales en que se ubican</w:t>
      </w:r>
      <w:r w:rsidR="00186B7F" w:rsidRPr="009C3A3E">
        <w:rPr>
          <w:i/>
          <w:sz w:val="22"/>
        </w:rPr>
        <w:t>, $</w:t>
      </w:r>
      <w:r w:rsidR="00EA469B">
        <w:rPr>
          <w:i/>
          <w:sz w:val="22"/>
        </w:rPr>
        <w:t>77</w:t>
      </w:r>
      <w:r w:rsidR="000E1640">
        <w:rPr>
          <w:i/>
          <w:sz w:val="22"/>
        </w:rPr>
        <w:t>.</w:t>
      </w:r>
      <w:r w:rsidR="00EA469B">
        <w:rPr>
          <w:i/>
          <w:sz w:val="22"/>
        </w:rPr>
        <w:t>957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EA469B">
        <w:rPr>
          <w:i/>
          <w:sz w:val="22"/>
        </w:rPr>
        <w:t>23.951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7C5D1B25" w14:textId="59799E1F" w:rsidR="00496A03" w:rsidRPr="009C3A3E" w:rsidRDefault="00554F65" w:rsidP="00496A03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>El año 2022, con una operación prácticamente normal,</w:t>
      </w:r>
      <w:r w:rsidR="009970A6">
        <w:rPr>
          <w:i/>
          <w:sz w:val="22"/>
        </w:rPr>
        <w:t xml:space="preserve"> se registraron </w:t>
      </w:r>
      <w:r>
        <w:rPr>
          <w:i/>
          <w:sz w:val="22"/>
        </w:rPr>
        <w:t>ingresos un 5,3%</w:t>
      </w:r>
      <w:r w:rsidR="009970A6">
        <w:rPr>
          <w:i/>
          <w:sz w:val="22"/>
        </w:rPr>
        <w:t xml:space="preserve"> inferior a los percibidos en 2</w:t>
      </w:r>
      <w:r>
        <w:rPr>
          <w:i/>
          <w:sz w:val="22"/>
        </w:rPr>
        <w:t xml:space="preserve">019, previo a la pandemia de Covid-19.  </w:t>
      </w:r>
    </w:p>
    <w:p w14:paraId="74DC0E74" w14:textId="77777777" w:rsidR="009970A6" w:rsidRDefault="009970A6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554E6C99" w14:textId="29B3E16E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5FC403CA" w14:textId="77777777" w:rsidR="00496A03" w:rsidRDefault="00496A03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D65A82" w14:textId="73887F13" w:rsidR="000B16EA" w:rsidRDefault="003A4081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Los </w:t>
      </w:r>
      <w:r w:rsidR="00F96FD7">
        <w:rPr>
          <w:rFonts w:cstheme="minorHAnsi"/>
        </w:rPr>
        <w:t>2</w:t>
      </w:r>
      <w:r w:rsidR="00554F65">
        <w:rPr>
          <w:rFonts w:cstheme="minorHAnsi"/>
        </w:rPr>
        <w:t>2</w:t>
      </w:r>
      <w:r>
        <w:rPr>
          <w:rFonts w:cstheme="minorHAnsi"/>
        </w:rPr>
        <w:t xml:space="preserve"> casinos 19.995 </w:t>
      </w:r>
      <w:r w:rsidR="00731D61">
        <w:rPr>
          <w:rFonts w:cstheme="minorHAnsi"/>
        </w:rPr>
        <w:t>a</w:t>
      </w:r>
      <w:r w:rsidR="00B14621" w:rsidRPr="009C3A3E">
        <w:rPr>
          <w:rFonts w:cstheme="minorHAnsi"/>
        </w:rPr>
        <w:t xml:space="preserve">portaron un </w:t>
      </w:r>
      <w:r w:rsidR="006F7CA6" w:rsidRPr="009C3A3E">
        <w:rPr>
          <w:rFonts w:cstheme="minorHAnsi"/>
        </w:rPr>
        <w:t xml:space="preserve">total </w:t>
      </w:r>
      <w:r w:rsidR="00B14621" w:rsidRPr="009C3A3E">
        <w:rPr>
          <w:rFonts w:cstheme="minorHAnsi"/>
        </w:rPr>
        <w:t>de $</w:t>
      </w:r>
      <w:r w:rsidR="00554F65">
        <w:rPr>
          <w:rFonts w:cstheme="minorHAnsi"/>
        </w:rPr>
        <w:t>179.975</w:t>
      </w:r>
      <w:r w:rsidR="00B14621" w:rsidRPr="009C3A3E">
        <w:rPr>
          <w:rFonts w:cstheme="minorHAnsi"/>
        </w:rPr>
        <w:t xml:space="preserve"> millones en impuestos</w:t>
      </w:r>
      <w:r w:rsidR="00554F65">
        <w:rPr>
          <w:rFonts w:cstheme="minorHAnsi"/>
        </w:rPr>
        <w:t xml:space="preserve"> el año 2022</w:t>
      </w:r>
      <w:r>
        <w:rPr>
          <w:rFonts w:cstheme="minorHAnsi"/>
        </w:rPr>
        <w:t>,</w:t>
      </w:r>
      <w:r w:rsidR="00B67DE2">
        <w:rPr>
          <w:rFonts w:cstheme="minorHAnsi"/>
        </w:rPr>
        <w:t xml:space="preserve"> con $1</w:t>
      </w:r>
      <w:r w:rsidR="00554F65">
        <w:rPr>
          <w:rFonts w:cstheme="minorHAnsi"/>
        </w:rPr>
        <w:t>5</w:t>
      </w:r>
      <w:r w:rsidR="00B67DE2">
        <w:rPr>
          <w:rFonts w:cstheme="minorHAnsi"/>
        </w:rPr>
        <w:t>.</w:t>
      </w:r>
      <w:r w:rsidR="00554F65">
        <w:rPr>
          <w:rFonts w:cstheme="minorHAnsi"/>
        </w:rPr>
        <w:t>440</w:t>
      </w:r>
      <w:r w:rsidR="00B67DE2">
        <w:rPr>
          <w:rFonts w:cstheme="minorHAnsi"/>
        </w:rPr>
        <w:t xml:space="preserve"> millones en el mes de diciembre,</w:t>
      </w:r>
      <w:r w:rsidR="00BB6F98">
        <w:rPr>
          <w:rFonts w:cstheme="minorHAnsi"/>
        </w:rPr>
        <w:t xml:space="preserve"> superando el aporte realizado </w:t>
      </w:r>
      <w:r w:rsidR="00554F65">
        <w:rPr>
          <w:rFonts w:cstheme="minorHAnsi"/>
        </w:rPr>
        <w:t>el año</w:t>
      </w:r>
      <w:r w:rsidR="00BB6F98">
        <w:rPr>
          <w:rFonts w:cstheme="minorHAnsi"/>
        </w:rPr>
        <w:t xml:space="preserve"> 202</w:t>
      </w:r>
      <w:r w:rsidR="00554F65">
        <w:rPr>
          <w:rFonts w:cstheme="minorHAnsi"/>
        </w:rPr>
        <w:t>1</w:t>
      </w:r>
      <w:r w:rsidR="00BB6F98">
        <w:rPr>
          <w:rFonts w:cstheme="minorHAnsi"/>
        </w:rPr>
        <w:t xml:space="preserve"> </w:t>
      </w:r>
      <w:r w:rsidR="00554F65">
        <w:rPr>
          <w:rFonts w:cstheme="minorHAnsi"/>
        </w:rPr>
        <w:t xml:space="preserve">en que la operación, especialmente entre enero y agosto estuvo más afectada por la situación de pandemia. </w:t>
      </w:r>
    </w:p>
    <w:p w14:paraId="7B3B9794" w14:textId="77777777" w:rsidR="000B16EA" w:rsidRDefault="000B16EA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15076C25" w:rsidR="00B14621" w:rsidRPr="009C3A3E" w:rsidRDefault="00F96FD7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</w:t>
      </w:r>
      <w:r w:rsidR="003A4081">
        <w:rPr>
          <w:rFonts w:cstheme="minorHAnsi"/>
        </w:rPr>
        <w:t xml:space="preserve"> </w:t>
      </w:r>
      <w:r>
        <w:rPr>
          <w:rFonts w:cstheme="minorHAnsi"/>
        </w:rPr>
        <w:t xml:space="preserve">a nivel de industria </w:t>
      </w:r>
      <w:r w:rsidR="003A4081">
        <w:rPr>
          <w:rFonts w:cstheme="minorHAnsi"/>
        </w:rPr>
        <w:t>se dividen en</w:t>
      </w:r>
      <w:r w:rsidR="00B14621" w:rsidRPr="009C3A3E">
        <w:rPr>
          <w:rFonts w:cstheme="minorHAnsi"/>
        </w:rPr>
        <w:t xml:space="preserve"> $</w:t>
      </w:r>
      <w:r w:rsidR="00554F65">
        <w:rPr>
          <w:rFonts w:cstheme="minorHAnsi"/>
        </w:rPr>
        <w:t>78.067</w:t>
      </w:r>
      <w:r w:rsidR="00B14621" w:rsidRPr="009C3A3E">
        <w:rPr>
          <w:rFonts w:cstheme="minorHAnsi"/>
        </w:rPr>
        <w:t xml:space="preserve"> millones </w:t>
      </w:r>
      <w:r w:rsidR="003A4081">
        <w:rPr>
          <w:rFonts w:cstheme="minorHAnsi"/>
        </w:rPr>
        <w:t xml:space="preserve">que </w:t>
      </w:r>
      <w:r w:rsidR="00B14621" w:rsidRPr="009C3A3E">
        <w:rPr>
          <w:rFonts w:cstheme="minorHAnsi"/>
        </w:rPr>
        <w:t xml:space="preserve">corresponden al impuesto específico al juego destinados a los </w:t>
      </w:r>
      <w:r w:rsidR="00CD5340">
        <w:rPr>
          <w:rFonts w:cstheme="minorHAnsi"/>
        </w:rPr>
        <w:t>g</w:t>
      </w:r>
      <w:r w:rsidR="00B14621" w:rsidRPr="009C3A3E">
        <w:rPr>
          <w:rFonts w:cstheme="minorHAnsi"/>
        </w:rPr>
        <w:t xml:space="preserve">obiernos </w:t>
      </w:r>
      <w:r w:rsidR="00CD5340">
        <w:rPr>
          <w:rFonts w:cstheme="minorHAnsi"/>
        </w:rPr>
        <w:t>r</w:t>
      </w:r>
      <w:r w:rsidR="00B14621" w:rsidRPr="009C3A3E">
        <w:rPr>
          <w:rFonts w:cstheme="minorHAnsi"/>
        </w:rPr>
        <w:t xml:space="preserve">egionales y </w:t>
      </w:r>
      <w:r w:rsidR="00CD5340">
        <w:rPr>
          <w:rFonts w:cstheme="minorHAnsi"/>
        </w:rPr>
        <w:t>m</w:t>
      </w:r>
      <w:r w:rsidR="00B14621" w:rsidRPr="009C3A3E">
        <w:rPr>
          <w:rFonts w:cstheme="minorHAnsi"/>
        </w:rPr>
        <w:t>unicipalidades para el financiamiento de obras de desarrollo, además de $</w:t>
      </w:r>
      <w:r w:rsidR="00554F65">
        <w:rPr>
          <w:rFonts w:cstheme="minorHAnsi"/>
        </w:rPr>
        <w:t>77.957</w:t>
      </w:r>
      <w:r w:rsidR="00B14621"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="00B14621" w:rsidRPr="009C3A3E">
        <w:rPr>
          <w:rFonts w:cstheme="minorHAnsi"/>
        </w:rPr>
        <w:t xml:space="preserve"> y $</w:t>
      </w:r>
      <w:r w:rsidR="00554F65">
        <w:rPr>
          <w:rFonts w:cstheme="minorHAnsi"/>
        </w:rPr>
        <w:t>23.951</w:t>
      </w:r>
      <w:r w:rsidR="000B16EA">
        <w:rPr>
          <w:rFonts w:cstheme="minorHAnsi"/>
        </w:rPr>
        <w:t xml:space="preserve"> </w:t>
      </w:r>
      <w:r w:rsidR="00B14621"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24152A02" w14:textId="3BB83CEE" w:rsidR="00B14621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8A2C9E8" w14:textId="2BA7C113" w:rsidR="00F96FD7" w:rsidRDefault="009970A6" w:rsidP="009970A6">
      <w:pPr>
        <w:tabs>
          <w:tab w:val="left" w:pos="0"/>
        </w:tabs>
        <w:spacing w:after="0" w:line="240" w:lineRule="auto"/>
        <w:rPr>
          <w:rFonts w:ascii="Calibri" w:hAnsi="Calibri" w:cs="Calibri"/>
        </w:rPr>
      </w:pPr>
      <w:r>
        <w:rPr>
          <w:rFonts w:cstheme="minorHAnsi"/>
        </w:rPr>
        <w:t>En cuanto a los impuestos generados en diciembre 2022, estos fueron</w:t>
      </w:r>
      <w:r w:rsidR="00DC1E42">
        <w:rPr>
          <w:rFonts w:cstheme="minorHAnsi"/>
        </w:rPr>
        <w:t xml:space="preserve"> un</w:t>
      </w:r>
      <w:r>
        <w:rPr>
          <w:rFonts w:cstheme="minorHAnsi"/>
        </w:rPr>
        <w:t xml:space="preserve"> 5,3% meno</w:t>
      </w:r>
      <w:r w:rsidR="00DC1E42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DC1E42">
        <w:rPr>
          <w:rFonts w:cstheme="minorHAnsi"/>
        </w:rPr>
        <w:t>que</w:t>
      </w:r>
      <w:r>
        <w:rPr>
          <w:rFonts w:cstheme="minorHAnsi"/>
        </w:rPr>
        <w:t xml:space="preserve"> los percibidos en diciembre 2021, en términos reales. </w:t>
      </w:r>
      <w:r w:rsidR="00F96FD7"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 w:rsidR="00F96FD7">
        <w:rPr>
          <w:rFonts w:cstheme="minorHAnsi"/>
        </w:rPr>
        <w:t>estos</w:t>
      </w:r>
      <w:r w:rsidR="00F96FD7" w:rsidRPr="009C3A3E">
        <w:rPr>
          <w:rFonts w:cstheme="minorHAnsi"/>
        </w:rPr>
        <w:t xml:space="preserve"> por parte de las sociedades operadoras. Por lo tanto, estos recursos serán recibidos en </w:t>
      </w:r>
      <w:r w:rsidR="00B67DE2">
        <w:rPr>
          <w:rFonts w:cstheme="minorHAnsi"/>
        </w:rPr>
        <w:t>marzo</w:t>
      </w:r>
      <w:r w:rsidR="00F96FD7" w:rsidRPr="009C3A3E">
        <w:rPr>
          <w:rFonts w:cstheme="minorHAnsi"/>
        </w:rPr>
        <w:t xml:space="preserve"> de 202</w:t>
      </w:r>
      <w:r w:rsidR="00554F65">
        <w:rPr>
          <w:rFonts w:cstheme="minorHAnsi"/>
        </w:rPr>
        <w:t>3</w:t>
      </w:r>
      <w:r w:rsidR="00F96FD7" w:rsidRPr="009C3A3E">
        <w:rPr>
          <w:rFonts w:cstheme="minorHAnsi"/>
        </w:rPr>
        <w:t>.</w:t>
      </w:r>
    </w:p>
    <w:p w14:paraId="091934FA" w14:textId="77777777" w:rsidR="00B67DE2" w:rsidRDefault="00B67DE2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2B20D393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La distribución de los impuestos recaudados </w:t>
      </w:r>
      <w:r w:rsidR="00271D71">
        <w:rPr>
          <w:rFonts w:cstheme="minorHAnsi"/>
        </w:rPr>
        <w:t xml:space="preserve">para el mes de diciembre y total año 2022 </w:t>
      </w:r>
      <w:r w:rsidRPr="009C3A3E">
        <w:rPr>
          <w:rFonts w:cstheme="minorHAnsi"/>
        </w:rPr>
        <w:t xml:space="preserve">se </w:t>
      </w:r>
      <w:r w:rsidR="00271D71">
        <w:rPr>
          <w:rFonts w:cstheme="minorHAnsi"/>
        </w:rPr>
        <w:t xml:space="preserve">muestra en las tablas </w:t>
      </w:r>
      <w:r w:rsidR="00DC1E42">
        <w:rPr>
          <w:rFonts w:cstheme="minorHAnsi"/>
        </w:rPr>
        <w:t>N°1 y N°2 respectivamente.</w:t>
      </w:r>
    </w:p>
    <w:p w14:paraId="55ADE08A" w14:textId="503F6873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7F823687" w14:textId="77777777" w:rsidR="00271D71" w:rsidRPr="009C3A3E" w:rsidRDefault="00271D71" w:rsidP="00271D71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4172D187" w14:textId="77777777" w:rsidR="00271D71" w:rsidRPr="009C3A3E" w:rsidRDefault="00271D71" w:rsidP="00271D71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6CDD04E0" w14:textId="2842B406" w:rsidR="00271D71" w:rsidRDefault="00271D71" w:rsidP="00271D71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 casinos de juego registraron ingresos brutos del juego (win) por $</w:t>
      </w:r>
      <w:r>
        <w:t>538.060</w:t>
      </w:r>
      <w:r w:rsidRPr="009C3A3E">
        <w:t xml:space="preserve"> millones</w:t>
      </w:r>
      <w:r>
        <w:t xml:space="preserve"> el </w:t>
      </w:r>
      <w:r w:rsidR="00DC1E42">
        <w:t xml:space="preserve">año </w:t>
      </w:r>
      <w:r>
        <w:t>2022, de ellos $44.709 fueron en diciembre</w:t>
      </w:r>
      <w:r w:rsidRPr="009C3A3E">
        <w:t xml:space="preserve">. Así, </w:t>
      </w:r>
      <w:r w:rsidRPr="004C5EE7">
        <w:rPr>
          <w:rFonts w:ascii="Calibri" w:hAnsi="Calibri" w:cs="Calibri"/>
          <w:lang w:eastAsia="es-CL"/>
        </w:rPr>
        <w:t>los ingresos</w:t>
      </w:r>
      <w:r>
        <w:rPr>
          <w:rFonts w:ascii="Calibri" w:hAnsi="Calibri" w:cs="Calibri"/>
          <w:lang w:eastAsia="es-CL"/>
        </w:rPr>
        <w:t xml:space="preserve"> del mes</w:t>
      </w:r>
      <w:r w:rsidRPr="004C5EE7">
        <w:rPr>
          <w:rFonts w:ascii="Calibri" w:hAnsi="Calibri" w:cs="Calibri"/>
          <w:lang w:eastAsia="es-CL"/>
        </w:rPr>
        <w:t xml:space="preserve">, en términos reales, </w:t>
      </w:r>
      <w:r>
        <w:rPr>
          <w:rFonts w:ascii="Calibri" w:hAnsi="Calibri" w:cs="Calibri"/>
          <w:lang w:eastAsia="es-CL"/>
        </w:rPr>
        <w:t>fueron un 15,2</w:t>
      </w:r>
      <w:r w:rsidRPr="004C5EE7">
        <w:rPr>
          <w:rFonts w:ascii="Calibri" w:hAnsi="Calibri" w:cs="Calibri"/>
          <w:lang w:eastAsia="es-CL"/>
        </w:rPr>
        <w:t xml:space="preserve">% </w:t>
      </w:r>
      <w:r>
        <w:rPr>
          <w:rFonts w:ascii="Calibri" w:hAnsi="Calibri" w:cs="Calibri"/>
          <w:lang w:eastAsia="es-CL"/>
        </w:rPr>
        <w:t xml:space="preserve">inferiores </w:t>
      </w:r>
      <w:r w:rsidR="00DC1E42">
        <w:rPr>
          <w:rFonts w:ascii="Calibri" w:hAnsi="Calibri" w:cs="Calibri"/>
          <w:lang w:eastAsia="es-CL"/>
        </w:rPr>
        <w:t>a</w:t>
      </w:r>
      <w:r>
        <w:rPr>
          <w:rFonts w:ascii="Calibri" w:hAnsi="Calibri" w:cs="Calibri"/>
          <w:lang w:eastAsia="es-CL"/>
        </w:rPr>
        <w:t xml:space="preserve"> </w:t>
      </w:r>
      <w:r w:rsidRPr="004C5EE7">
        <w:rPr>
          <w:rFonts w:ascii="Calibri" w:hAnsi="Calibri" w:cs="Calibri"/>
          <w:lang w:eastAsia="es-CL"/>
        </w:rPr>
        <w:t>lo</w:t>
      </w:r>
      <w:r>
        <w:rPr>
          <w:rFonts w:ascii="Calibri" w:hAnsi="Calibri" w:cs="Calibri"/>
          <w:lang w:eastAsia="es-CL"/>
        </w:rPr>
        <w:t>s</w:t>
      </w:r>
      <w:r w:rsidRPr="004C5EE7">
        <w:rPr>
          <w:rFonts w:ascii="Calibri" w:hAnsi="Calibri" w:cs="Calibri"/>
          <w:lang w:eastAsia="es-CL"/>
        </w:rPr>
        <w:t xml:space="preserve"> obtenido</w:t>
      </w:r>
      <w:r w:rsidR="00DC1E42">
        <w:rPr>
          <w:rFonts w:ascii="Calibri" w:hAnsi="Calibri" w:cs="Calibri"/>
          <w:lang w:eastAsia="es-CL"/>
        </w:rPr>
        <w:t>s</w:t>
      </w:r>
      <w:r w:rsidRPr="004C5EE7">
        <w:rPr>
          <w:rFonts w:ascii="Calibri" w:hAnsi="Calibri" w:cs="Calibri"/>
          <w:lang w:eastAsia="es-CL"/>
        </w:rPr>
        <w:t xml:space="preserve"> en </w:t>
      </w:r>
      <w:r>
        <w:rPr>
          <w:rFonts w:ascii="Calibri" w:hAnsi="Calibri" w:cs="Calibri"/>
          <w:lang w:eastAsia="es-CL"/>
        </w:rPr>
        <w:t>diciembre</w:t>
      </w:r>
      <w:r w:rsidRPr="004C5EE7">
        <w:rPr>
          <w:rFonts w:ascii="Calibri" w:hAnsi="Calibri" w:cs="Calibri"/>
          <w:lang w:eastAsia="es-CL"/>
        </w:rPr>
        <w:t xml:space="preserve"> de 20</w:t>
      </w:r>
      <w:r>
        <w:rPr>
          <w:rFonts w:ascii="Calibri" w:hAnsi="Calibri" w:cs="Calibri"/>
          <w:lang w:eastAsia="es-CL"/>
        </w:rPr>
        <w:t>21. Con todo, en términos reales, el año 2022 mostró una variación positiva de los ingresos de un 62,1% respecto del año anterior y un resultado un 5,3% bajo la situación observada el año 2019, previo a la pandemia de covid-19.</w:t>
      </w:r>
      <w:r w:rsidR="00DC1E42">
        <w:rPr>
          <w:rFonts w:ascii="Calibri" w:hAnsi="Calibri" w:cs="Calibri"/>
          <w:lang w:eastAsia="es-CL"/>
        </w:rPr>
        <w:t xml:space="preserve"> </w:t>
      </w:r>
    </w:p>
    <w:p w14:paraId="76110799" w14:textId="77777777" w:rsidR="00271D71" w:rsidRDefault="00271D71" w:rsidP="00271D71">
      <w:pPr>
        <w:tabs>
          <w:tab w:val="left" w:pos="0"/>
        </w:tabs>
        <w:spacing w:after="0" w:line="240" w:lineRule="auto"/>
      </w:pPr>
    </w:p>
    <w:p w14:paraId="065D6D19" w14:textId="79B7D78D" w:rsidR="00271D71" w:rsidRDefault="00271D71" w:rsidP="00271D7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Cabe tener presente que durante el año 2022 los casinos han operado con continuidad, solamente implementando algunas medidas de resguardo sanitario, lo que permitió una recuperación de la industria a niveles de ingreso similares a los observados previo a la pandemia.  </w:t>
      </w:r>
    </w:p>
    <w:p w14:paraId="492F1CF1" w14:textId="77777777" w:rsidR="00271D71" w:rsidRPr="004C5EE7" w:rsidRDefault="00271D71" w:rsidP="00271D71">
      <w:pPr>
        <w:tabs>
          <w:tab w:val="left" w:pos="0"/>
        </w:tabs>
        <w:spacing w:after="0" w:line="240" w:lineRule="auto"/>
      </w:pPr>
    </w:p>
    <w:p w14:paraId="2F76209E" w14:textId="77777777" w:rsidR="00271D71" w:rsidRDefault="00271D71" w:rsidP="00271D71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>
        <w:t>6,37 millones de</w:t>
      </w:r>
      <w:r w:rsidRPr="004C5EE7">
        <w:t xml:space="preserve"> personas que ingresaron a los </w:t>
      </w:r>
      <w:r>
        <w:t>26</w:t>
      </w:r>
      <w:r w:rsidRPr="004C5EE7">
        <w:t xml:space="preserve"> casinos </w:t>
      </w:r>
      <w:r>
        <w:t>en operación</w:t>
      </w:r>
      <w:r>
        <w:rPr>
          <w:rStyle w:val="Refdenotaalpie"/>
        </w:rPr>
        <w:footnoteReference w:id="1"/>
      </w:r>
      <w:r>
        <w:t xml:space="preserve">, lo que equivale a un 82,8% de las visitas del año 2019. En tanto, en el mes de </w:t>
      </w:r>
      <w:r>
        <w:lastRenderedPageBreak/>
        <w:t xml:space="preserve">diciembre las visitas fueron de 575.685, lo que equivale a un 94% de las visitas de diciembre 2019. </w:t>
      </w:r>
    </w:p>
    <w:p w14:paraId="61CE29C9" w14:textId="77777777" w:rsidR="00271D71" w:rsidRDefault="00271D71" w:rsidP="00271D71">
      <w:pPr>
        <w:tabs>
          <w:tab w:val="left" w:pos="0"/>
        </w:tabs>
        <w:spacing w:after="0" w:line="240" w:lineRule="auto"/>
      </w:pPr>
    </w:p>
    <w:p w14:paraId="3D25DC6F" w14:textId="77777777" w:rsidR="00271D71" w:rsidRDefault="00271D71" w:rsidP="00271D71">
      <w:pPr>
        <w:tabs>
          <w:tab w:val="left" w:pos="0"/>
        </w:tabs>
        <w:spacing w:after="0" w:line="240" w:lineRule="auto"/>
      </w:pPr>
      <w:r>
        <w:t xml:space="preserve">Además, </w:t>
      </w:r>
      <w:r w:rsidRPr="004C5EE7">
        <w:t xml:space="preserve">durante </w:t>
      </w:r>
      <w:r>
        <w:t>diciembre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>
        <w:t>75.410</w:t>
      </w:r>
      <w:r w:rsidRPr="009C3A3E">
        <w:t xml:space="preserve"> por visita, </w:t>
      </w:r>
      <w:r>
        <w:t xml:space="preserve">cerrando el año con un gasto promedio de $82.789, </w:t>
      </w:r>
      <w:r w:rsidRPr="009C3A3E">
        <w:t>lo que implica un</w:t>
      </w:r>
      <w:r>
        <w:t>a disminución de un 30% en términos reales del gasto promedio por visita del año 2021, aunque un aumento de un 6,2% respecto de la situación previa a la pandemia observada el año 2019.</w:t>
      </w:r>
    </w:p>
    <w:p w14:paraId="7086750C" w14:textId="17799C9A" w:rsidR="00271D71" w:rsidRDefault="00271D71" w:rsidP="00271D71">
      <w:pPr>
        <w:tabs>
          <w:tab w:val="left" w:pos="0"/>
        </w:tabs>
        <w:spacing w:after="0" w:line="240" w:lineRule="auto"/>
      </w:pPr>
    </w:p>
    <w:p w14:paraId="2F796E41" w14:textId="608770D4" w:rsidR="00271D71" w:rsidRDefault="00271D71" w:rsidP="00271D71">
      <w:pPr>
        <w:tabs>
          <w:tab w:val="left" w:pos="0"/>
        </w:tabs>
        <w:spacing w:after="0" w:line="240" w:lineRule="auto"/>
      </w:pP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20"/>
        <w:gridCol w:w="1266"/>
        <w:gridCol w:w="1211"/>
        <w:gridCol w:w="1199"/>
        <w:gridCol w:w="1134"/>
        <w:gridCol w:w="1134"/>
      </w:tblGrid>
      <w:tr w:rsidR="00CD4712" w:rsidRPr="00CD4712" w14:paraId="22877ED0" w14:textId="77777777" w:rsidTr="00D0204A">
        <w:trPr>
          <w:trHeight w:val="315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252BF5F5" w14:textId="3CD6F686" w:rsidR="00CD4712" w:rsidRPr="00CD4712" w:rsidRDefault="00DC1E4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 xml:space="preserve">TABLA N°1: </w:t>
            </w:r>
            <w:r w:rsidR="00CD4712"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IMPUESTOS diciembre 2022 ($ Millones)</w:t>
            </w:r>
          </w:p>
        </w:tc>
      </w:tr>
      <w:tr w:rsidR="00CD4712" w:rsidRPr="00CD4712" w14:paraId="3B940CE6" w14:textId="77777777" w:rsidTr="00D0204A">
        <w:trPr>
          <w:trHeight w:val="975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318BDF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73D773E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C144150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01A9851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75237D1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833FEFA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13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DC9A38B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CD4712" w:rsidRPr="00CD4712" w14:paraId="5F1E31C3" w14:textId="77777777" w:rsidTr="00D0204A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9BFA1B5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7AB618B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C9BB3B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106,3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20A6F1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106,3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B14398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7AE21A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40EF04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515,9</w:t>
            </w:r>
          </w:p>
        </w:tc>
      </w:tr>
      <w:tr w:rsidR="00CD4712" w:rsidRPr="00CD4712" w14:paraId="3D0C2CDC" w14:textId="77777777" w:rsidTr="00D0204A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467E05B" w14:textId="3DE22283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 Antofagasta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016C6B8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4D25B8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97,2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50D5BD3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97,2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88801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A62B40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0D601B4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436,8</w:t>
            </w:r>
          </w:p>
        </w:tc>
      </w:tr>
      <w:tr w:rsidR="00CD4712" w:rsidRPr="00CD4712" w14:paraId="432E1D1C" w14:textId="77777777" w:rsidTr="00D0204A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721BEEE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A65D1F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D4F2BA0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219,1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149904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219,1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302CF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93AA6CB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A1DC57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1.007,9</w:t>
            </w:r>
          </w:p>
        </w:tc>
      </w:tr>
      <w:tr w:rsidR="00CD4712" w:rsidRPr="00CD4712" w14:paraId="0E514F7E" w14:textId="77777777" w:rsidTr="00D0204A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1F86B3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37F5E76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857C21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104,9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9BEA5EE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104,9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F07BA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C531A6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50EA80A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525,6</w:t>
            </w:r>
          </w:p>
        </w:tc>
      </w:tr>
      <w:tr w:rsidR="00CD4712" w:rsidRPr="00CD4712" w14:paraId="4C7399EA" w14:textId="77777777" w:rsidTr="00D0204A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634FAA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CF4241E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1A7A4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D2A8E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36,7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A7547A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D60B7FE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27F65D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176,8</w:t>
            </w:r>
          </w:p>
        </w:tc>
      </w:tr>
      <w:tr w:rsidR="00CD4712" w:rsidRPr="00CD4712" w14:paraId="73F0E896" w14:textId="77777777" w:rsidTr="00D0204A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9E47C8E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8AFF32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86CF00F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207,6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4279E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207,6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F4BF99F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B42D04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2FCDA3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997,0</w:t>
            </w:r>
          </w:p>
        </w:tc>
      </w:tr>
      <w:tr w:rsidR="00CD4712" w:rsidRPr="00CD4712" w14:paraId="1F706ACF" w14:textId="77777777" w:rsidTr="00D0204A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17C4CA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6E574CA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BE4985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62,9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E172883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62,9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7A287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6E64D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C1EAA19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305,0</w:t>
            </w:r>
          </w:p>
        </w:tc>
      </w:tr>
      <w:tr w:rsidR="00CD4712" w:rsidRPr="00CD4712" w14:paraId="4EF81A14" w14:textId="77777777" w:rsidTr="00D0204A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6BE45FD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C8FDCFE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61DCD31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392,5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55D798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392,5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83CD9BB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79A9F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37AF439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1.774,2</w:t>
            </w:r>
          </w:p>
        </w:tc>
      </w:tr>
      <w:tr w:rsidR="00CD4712" w:rsidRPr="00CD4712" w14:paraId="4A2A67FA" w14:textId="77777777" w:rsidTr="00D0204A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F0D5659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DB64914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51E7FA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290,4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E14C98A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290,4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84AE17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17850B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857C4E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1.286,0</w:t>
            </w:r>
          </w:p>
        </w:tc>
      </w:tr>
      <w:tr w:rsidR="00CD4712" w:rsidRPr="00CD4712" w14:paraId="7F2C5D93" w14:textId="77777777" w:rsidTr="00D0204A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7E3BE48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707AF8A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CE623B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592,2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F5E500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592,2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B5EF497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1.397,8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D9F230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82CF128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2.910,8</w:t>
            </w:r>
          </w:p>
        </w:tc>
      </w:tr>
      <w:tr w:rsidR="00CD4712" w:rsidRPr="00CD4712" w14:paraId="2DF1D282" w14:textId="77777777" w:rsidTr="00D0204A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40ECCA2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6CD42FD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B8F991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49,4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EF19FAA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49,4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870417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B4BD33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4CB150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215,8</w:t>
            </w:r>
          </w:p>
        </w:tc>
      </w:tr>
      <w:tr w:rsidR="00CD4712" w:rsidRPr="00CD4712" w14:paraId="73EF5A05" w14:textId="77777777" w:rsidTr="00D0204A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125848B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75A8EA2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1E90E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67,8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7AAB728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67,8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B4131F4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F262ED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E0AA3B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318,0</w:t>
            </w:r>
          </w:p>
        </w:tc>
      </w:tr>
      <w:tr w:rsidR="00CD4712" w:rsidRPr="00CD4712" w14:paraId="33926584" w14:textId="77777777" w:rsidTr="00D0204A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05D61AF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7957C1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F28778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77,2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E7D7B6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77,2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F3518A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8C0D8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F09BB7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372,3</w:t>
            </w:r>
          </w:p>
        </w:tc>
      </w:tr>
      <w:tr w:rsidR="00CD4712" w:rsidRPr="00CD4712" w14:paraId="2B352A22" w14:textId="77777777" w:rsidTr="00D0204A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24D4EF9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ADB6E04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1854D7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307,0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7B773A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307,0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299AB9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595AB5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AF9C63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1.446,5</w:t>
            </w:r>
          </w:p>
        </w:tc>
      </w:tr>
      <w:tr w:rsidR="00CD4712" w:rsidRPr="00CD4712" w14:paraId="1BF7B643" w14:textId="77777777" w:rsidTr="00D0204A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19E1625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8C46156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0D6D631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40,7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E3E740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40,7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E2B46B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4574E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CA1F317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203,3</w:t>
            </w:r>
          </w:p>
        </w:tc>
      </w:tr>
      <w:tr w:rsidR="00CD4712" w:rsidRPr="00CD4712" w14:paraId="022374C1" w14:textId="77777777" w:rsidTr="00D0204A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917FA64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7ED7DD4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D01345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157,0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242A17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157,0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39F9D3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831DD16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FB48C4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738,9</w:t>
            </w:r>
          </w:p>
        </w:tc>
      </w:tr>
      <w:tr w:rsidR="00CD4712" w:rsidRPr="00CD4712" w14:paraId="0C116574" w14:textId="77777777" w:rsidTr="00D0204A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542B2A8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CCA6C3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263525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80,4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CD1B006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80,4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5A9904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AD0931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46755E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376,7</w:t>
            </w:r>
          </w:p>
        </w:tc>
      </w:tr>
      <w:tr w:rsidR="00CD4712" w:rsidRPr="00CD4712" w14:paraId="7F6B0EAB" w14:textId="77777777" w:rsidTr="00D0204A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26DBF80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Los Rios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758595C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68D951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865C96C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102,6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ED1BA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4A092A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4E7F01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491,0</w:t>
            </w:r>
          </w:p>
        </w:tc>
      </w:tr>
      <w:tr w:rsidR="00CD4712" w:rsidRPr="00CD4712" w14:paraId="6F1223B9" w14:textId="77777777" w:rsidTr="00D0204A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1EB6FF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5F3EA9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2F3B40E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4F750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80,8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54A1FDB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B4EDE0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31671A1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376,3</w:t>
            </w:r>
          </w:p>
        </w:tc>
      </w:tr>
      <w:tr w:rsidR="00CD4712" w:rsidRPr="00CD4712" w14:paraId="46B345BA" w14:textId="77777777" w:rsidTr="00D0204A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5F1622D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8501677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37A9CF5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E45904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27,1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037CB96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8A313B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8F6219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133,2</w:t>
            </w:r>
          </w:p>
        </w:tc>
      </w:tr>
      <w:tr w:rsidR="00CD4712" w:rsidRPr="00CD4712" w14:paraId="473EDDC9" w14:textId="77777777" w:rsidTr="00D0204A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686D918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E435678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85910E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E99F64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37,7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94B1BE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F73ADF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E51AB8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179,1</w:t>
            </w:r>
          </w:p>
        </w:tc>
      </w:tr>
      <w:tr w:rsidR="00CD4712" w:rsidRPr="00CD4712" w14:paraId="4341031D" w14:textId="77777777" w:rsidTr="00D0204A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CF32CC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DCA097" w14:textId="77777777" w:rsidR="00CD4712" w:rsidRPr="00CD4712" w:rsidRDefault="00CD4712" w:rsidP="009970A6">
            <w:pPr>
              <w:spacing w:after="0" w:line="240" w:lineRule="auto"/>
              <w:jc w:val="left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098A95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C166C24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115,0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33F7E36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5D9D55B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DAC193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color w:val="244062"/>
                <w:sz w:val="18"/>
                <w:szCs w:val="18"/>
                <w:lang w:eastAsia="es-CL"/>
              </w:rPr>
              <w:t>653,1</w:t>
            </w:r>
          </w:p>
        </w:tc>
      </w:tr>
      <w:tr w:rsidR="00CD4712" w:rsidRPr="00CD4712" w14:paraId="08B5127F" w14:textId="77777777" w:rsidTr="00D0204A">
        <w:trPr>
          <w:trHeight w:val="315"/>
          <w:jc w:val="center"/>
        </w:trPr>
        <w:tc>
          <w:tcPr>
            <w:tcW w:w="412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02139CA" w14:textId="2752E132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5B2D473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3.252,5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88CFFFE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3.252,5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445804D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6.591,6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957D952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2.343,7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A390657" w14:textId="77777777" w:rsidR="00CD4712" w:rsidRPr="00CD4712" w:rsidRDefault="00CD4712" w:rsidP="0027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D47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L"/>
              </w:rPr>
              <w:t>15.440,2</w:t>
            </w:r>
          </w:p>
        </w:tc>
      </w:tr>
    </w:tbl>
    <w:p w14:paraId="4B71C239" w14:textId="1CD545CB" w:rsidR="00CD5340" w:rsidRDefault="00CD5340" w:rsidP="00271D71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CE3431B" w14:textId="75922BC9" w:rsidR="009970A6" w:rsidRDefault="009970A6" w:rsidP="00271D71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</w:p>
    <w:p w14:paraId="03A6BB14" w14:textId="2E63A7E3" w:rsidR="009970A6" w:rsidRDefault="009970A6" w:rsidP="00271D71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</w:p>
    <w:p w14:paraId="402C7D17" w14:textId="05C7BC17" w:rsidR="009970A6" w:rsidRDefault="009970A6" w:rsidP="00271D71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</w:p>
    <w:p w14:paraId="5A8784F0" w14:textId="1C03C913" w:rsidR="009970A6" w:rsidRDefault="009970A6" w:rsidP="00271D71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</w:p>
    <w:p w14:paraId="5845A83B" w14:textId="0353C078" w:rsidR="009970A6" w:rsidRDefault="009970A6" w:rsidP="00271D71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F0B77B0" w14:textId="35FB6857" w:rsidR="009970A6" w:rsidRDefault="009970A6" w:rsidP="00271D71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</w:p>
    <w:p w14:paraId="08DEB471" w14:textId="77777777" w:rsidR="009970A6" w:rsidRDefault="009970A6" w:rsidP="00271D71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1276"/>
        <w:gridCol w:w="1134"/>
        <w:gridCol w:w="1275"/>
        <w:gridCol w:w="1134"/>
      </w:tblGrid>
      <w:tr w:rsidR="00D0204A" w:rsidRPr="00271062" w14:paraId="643AE8B8" w14:textId="77777777" w:rsidTr="00D0204A">
        <w:trPr>
          <w:trHeight w:val="316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F9A0EE9" w14:textId="5B45AE99" w:rsidR="00D0204A" w:rsidRPr="00271062" w:rsidRDefault="00DC1E42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 xml:space="preserve">TABLA N°2: </w:t>
            </w:r>
            <w:r w:rsidR="00D0204A"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Año 2022 ($ Millones)</w:t>
            </w:r>
          </w:p>
        </w:tc>
      </w:tr>
      <w:tr w:rsidR="00D0204A" w:rsidRPr="00271062" w14:paraId="2D755A26" w14:textId="77777777" w:rsidTr="00D0204A">
        <w:trPr>
          <w:trHeight w:val="978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2FEC02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21E3B7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CDBE68D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B286A0B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878F207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2E9BBB3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13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BD2B4F9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D0204A" w:rsidRPr="00271062" w14:paraId="2836AEF4" w14:textId="77777777" w:rsidTr="00D0204A">
        <w:trPr>
          <w:trHeight w:val="316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A10254C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8737EA5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CE55F5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3C485ED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5529A8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2.062,5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002208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269534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5.341,6</w:t>
            </w:r>
          </w:p>
        </w:tc>
      </w:tr>
      <w:tr w:rsidR="00D0204A" w:rsidRPr="00271062" w14:paraId="6405047D" w14:textId="77777777" w:rsidTr="00D0204A">
        <w:trPr>
          <w:trHeight w:val="316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E28FEB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Antofagasta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B81CF1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3AF29D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7A3931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F0E392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F57188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B55C21F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4.527,2</w:t>
            </w:r>
          </w:p>
        </w:tc>
      </w:tr>
      <w:tr w:rsidR="00D0204A" w:rsidRPr="00271062" w14:paraId="3E8BE60D" w14:textId="77777777" w:rsidTr="00D0204A">
        <w:trPr>
          <w:trHeight w:val="316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8A1876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D933AB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AA007E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2.438,8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85D0303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4963D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889343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864EDA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11.101,6</w:t>
            </w:r>
          </w:p>
        </w:tc>
      </w:tr>
      <w:tr w:rsidR="00D0204A" w:rsidRPr="00271062" w14:paraId="00FFDD95" w14:textId="77777777" w:rsidTr="00D0204A">
        <w:trPr>
          <w:trHeight w:val="316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0546EF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7EF9DF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B44989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9E6B4B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586C39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E0A12D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81434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5.854,4</w:t>
            </w:r>
          </w:p>
        </w:tc>
      </w:tr>
      <w:tr w:rsidR="00D0204A" w:rsidRPr="00271062" w14:paraId="7519C600" w14:textId="77777777" w:rsidTr="00D0204A">
        <w:trPr>
          <w:trHeight w:val="316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2E45339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59B775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8DFCB5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C8969A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A80935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761DA7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5C82F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1.985,8</w:t>
            </w:r>
          </w:p>
        </w:tc>
      </w:tr>
      <w:tr w:rsidR="00D0204A" w:rsidRPr="00271062" w14:paraId="7069E435" w14:textId="77777777" w:rsidTr="00D0204A">
        <w:trPr>
          <w:trHeight w:val="316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8CDE0A3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D2FCA20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D69D94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C28191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F177D0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4.734,3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A8E1BC2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CBE054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11.422,1</w:t>
            </w:r>
          </w:p>
        </w:tc>
      </w:tr>
      <w:tr w:rsidR="00D0204A" w:rsidRPr="00271062" w14:paraId="1045363D" w14:textId="77777777" w:rsidTr="00D0204A">
        <w:trPr>
          <w:trHeight w:val="316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64C276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984F06D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C084AF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3160AB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2563FA9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D5116F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60A9D6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4.042,0</w:t>
            </w:r>
          </w:p>
        </w:tc>
      </w:tr>
      <w:tr w:rsidR="00D0204A" w:rsidRPr="00271062" w14:paraId="71552477" w14:textId="77777777" w:rsidTr="00D0204A">
        <w:trPr>
          <w:trHeight w:val="316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A3E7017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85F0975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FAA4F2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96B0C8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208AC77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9.076,5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CD39D4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93069BD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21.292,8</w:t>
            </w:r>
          </w:p>
        </w:tc>
      </w:tr>
      <w:tr w:rsidR="00D0204A" w:rsidRPr="00271062" w14:paraId="4FF44995" w14:textId="77777777" w:rsidTr="00D0204A">
        <w:trPr>
          <w:trHeight w:val="316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A64DAE5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2E7229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2DE691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9732552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6BA5EF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6.337,3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C9B848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AFA907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14.537,5</w:t>
            </w:r>
          </w:p>
        </w:tc>
      </w:tr>
      <w:tr w:rsidR="00D0204A" w:rsidRPr="00271062" w14:paraId="20A551E9" w14:textId="77777777" w:rsidTr="00D0204A">
        <w:trPr>
          <w:trHeight w:val="316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B7C360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CF2971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B75BFA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7.928,9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4616D9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7.928,9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E770FB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17.657,4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FE6011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5C5644B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37.043,5</w:t>
            </w:r>
          </w:p>
        </w:tc>
      </w:tr>
      <w:tr w:rsidR="00D0204A" w:rsidRPr="00271062" w14:paraId="6C9B8423" w14:textId="77777777" w:rsidTr="00D0204A">
        <w:trPr>
          <w:trHeight w:val="316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144281F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C3E3E3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0A3EE7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1BF52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B99ABF4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66A7B8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A3CE149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2.746,3</w:t>
            </w:r>
          </w:p>
        </w:tc>
      </w:tr>
      <w:tr w:rsidR="00D0204A" w:rsidRPr="00271062" w14:paraId="6DD04536" w14:textId="77777777" w:rsidTr="00D0204A">
        <w:trPr>
          <w:trHeight w:val="316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529171F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468C306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20E90F3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3DB96F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3B4FA8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06BB64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F3C77E5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3.845,0</w:t>
            </w:r>
          </w:p>
        </w:tc>
      </w:tr>
      <w:tr w:rsidR="00D0204A" w:rsidRPr="00271062" w14:paraId="16088402" w14:textId="77777777" w:rsidTr="00D0204A">
        <w:trPr>
          <w:trHeight w:val="316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FC0B38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47650C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FC40F2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E54579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B1D165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BABB61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B327BF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4.158,8</w:t>
            </w:r>
          </w:p>
        </w:tc>
      </w:tr>
      <w:tr w:rsidR="00D0204A" w:rsidRPr="00271062" w14:paraId="536CAE93" w14:textId="77777777" w:rsidTr="00D0204A">
        <w:trPr>
          <w:trHeight w:val="316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FBD0E5A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2DC736D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E45098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8BF789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A3F4A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7.110,5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EE4347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97B7A3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16.578,4</w:t>
            </w:r>
          </w:p>
        </w:tc>
      </w:tr>
      <w:tr w:rsidR="00D0204A" w:rsidRPr="00271062" w14:paraId="1E163BAB" w14:textId="77777777" w:rsidTr="00D0204A">
        <w:trPr>
          <w:trHeight w:val="316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B721D64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3DE2C97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D617D9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1BD070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61836B9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F82F78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420DBF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2.454,5</w:t>
            </w:r>
          </w:p>
        </w:tc>
      </w:tr>
      <w:tr w:rsidR="00D0204A" w:rsidRPr="00271062" w14:paraId="7659AEB2" w14:textId="77777777" w:rsidTr="00D0204A">
        <w:trPr>
          <w:trHeight w:val="316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5FBDC72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44ECA3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370049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12A68B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8BFAEB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3.820,1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925AED7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B11AB1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9.068,0</w:t>
            </w:r>
          </w:p>
        </w:tc>
      </w:tr>
      <w:tr w:rsidR="00D0204A" w:rsidRPr="00271062" w14:paraId="07CA76DA" w14:textId="77777777" w:rsidTr="00D0204A">
        <w:trPr>
          <w:trHeight w:val="316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98FDDEB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F4178EE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C92645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8CDD672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A8A1CB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F539C13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9748A3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2.763,6</w:t>
            </w:r>
          </w:p>
        </w:tc>
      </w:tr>
      <w:tr w:rsidR="00D0204A" w:rsidRPr="00271062" w14:paraId="1E100A1D" w14:textId="77777777" w:rsidTr="00D0204A">
        <w:trPr>
          <w:trHeight w:val="316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D3E304E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Rios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5D0197E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B6EEC0A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61F95F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EA8A521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2.425,5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6D3A0E1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FCFB2ED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5.932,9</w:t>
            </w:r>
          </w:p>
        </w:tc>
      </w:tr>
      <w:tr w:rsidR="00D0204A" w:rsidRPr="00271062" w14:paraId="71C8561C" w14:textId="77777777" w:rsidTr="00D0204A">
        <w:trPr>
          <w:trHeight w:val="316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60B01B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050F724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25F92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D4BF5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0BD227C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1.810,1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2E09329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7A7AD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4.305,2</w:t>
            </w:r>
          </w:p>
        </w:tc>
      </w:tr>
      <w:tr w:rsidR="00D0204A" w:rsidRPr="00271062" w14:paraId="50E58283" w14:textId="77777777" w:rsidTr="00D0204A">
        <w:trPr>
          <w:trHeight w:val="316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D9C6A9B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4B28EA7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178E69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BF21A4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7A8612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760CD3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D6BB8B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1.664,0</w:t>
            </w:r>
          </w:p>
        </w:tc>
      </w:tr>
      <w:tr w:rsidR="00D0204A" w:rsidRPr="00271062" w14:paraId="1A8BBB82" w14:textId="77777777" w:rsidTr="00D0204A">
        <w:trPr>
          <w:trHeight w:val="316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FCCB7B8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BB0BAA7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F563FA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2090FFD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B73028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BF40C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A25E33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2.048,8</w:t>
            </w:r>
          </w:p>
        </w:tc>
      </w:tr>
      <w:tr w:rsidR="00D0204A" w:rsidRPr="00271062" w14:paraId="15BC8EFF" w14:textId="77777777" w:rsidTr="00D0204A">
        <w:trPr>
          <w:trHeight w:val="316"/>
          <w:jc w:val="center"/>
        </w:trPr>
        <w:tc>
          <w:tcPr>
            <w:tcW w:w="17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DA538F9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687A4FD" w14:textId="77777777" w:rsidR="00D0204A" w:rsidRPr="00271062" w:rsidRDefault="00D0204A" w:rsidP="00A301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CD1538D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57F39AA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CD408BF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3.296,9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D6066FF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5C15CA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7.261,2</w:t>
            </w:r>
          </w:p>
        </w:tc>
      </w:tr>
      <w:tr w:rsidR="00D0204A" w:rsidRPr="00271062" w14:paraId="7C02BE99" w14:textId="77777777" w:rsidTr="00D0204A">
        <w:trPr>
          <w:trHeight w:val="316"/>
          <w:jc w:val="center"/>
        </w:trPr>
        <w:tc>
          <w:tcPr>
            <w:tcW w:w="411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7DC69158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C2CC7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39.033,5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D2AAF7F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39.033,5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99B72CD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77.957,2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B90103E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23.951,4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0CBF856" w14:textId="77777777" w:rsidR="00D0204A" w:rsidRPr="00271062" w:rsidRDefault="00D0204A" w:rsidP="00A4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7106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179.975,5</w:t>
            </w:r>
          </w:p>
        </w:tc>
      </w:tr>
    </w:tbl>
    <w:p w14:paraId="563B8A29" w14:textId="196B3784" w:rsidR="00EA5C85" w:rsidRDefault="00EA5C85" w:rsidP="00EA5C85">
      <w:pPr>
        <w:tabs>
          <w:tab w:val="left" w:pos="0"/>
        </w:tabs>
        <w:spacing w:after="0" w:line="240" w:lineRule="auto"/>
      </w:pPr>
    </w:p>
    <w:sectPr w:rsidR="00EA5C85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8D6D" w14:textId="77777777" w:rsidR="000213AC" w:rsidRDefault="000213AC" w:rsidP="00FD382C">
      <w:r>
        <w:separator/>
      </w:r>
    </w:p>
  </w:endnote>
  <w:endnote w:type="continuationSeparator" w:id="0">
    <w:p w14:paraId="0E9A7C49" w14:textId="77777777" w:rsidR="000213AC" w:rsidRDefault="000213AC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5C64" w14:textId="77777777" w:rsidR="000213AC" w:rsidRDefault="000213AC" w:rsidP="00FD382C">
      <w:r>
        <w:separator/>
      </w:r>
    </w:p>
  </w:footnote>
  <w:footnote w:type="continuationSeparator" w:id="0">
    <w:p w14:paraId="32E7DDF1" w14:textId="77777777" w:rsidR="000213AC" w:rsidRDefault="000213AC" w:rsidP="00FD382C">
      <w:r>
        <w:continuationSeparator/>
      </w:r>
    </w:p>
  </w:footnote>
  <w:footnote w:id="1">
    <w:p w14:paraId="71454EAF" w14:textId="77777777" w:rsidR="00271D71" w:rsidRPr="000B2B6C" w:rsidRDefault="00271D71" w:rsidP="00271D71">
      <w:pPr>
        <w:pStyle w:val="Textonotapie"/>
        <w:rPr>
          <w:sz w:val="18"/>
          <w:szCs w:val="18"/>
        </w:rPr>
      </w:pPr>
      <w:r w:rsidRPr="000B2B6C">
        <w:rPr>
          <w:rStyle w:val="Refdenotaalpie"/>
          <w:sz w:val="18"/>
          <w:szCs w:val="18"/>
        </w:rPr>
        <w:footnoteRef/>
      </w:r>
      <w:r w:rsidRPr="000B2B6C">
        <w:rPr>
          <w:sz w:val="18"/>
          <w:szCs w:val="18"/>
        </w:rPr>
        <w:t xml:space="preserve"> Son 25 casinos desde julio de 2022 por el cierre del antiguo casino municipal de Arica.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721F00A8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A301A6">
      <w:rPr>
        <w:b/>
      </w:rPr>
      <w:t>Viernes 17</w:t>
    </w:r>
    <w:r w:rsidR="009970A6">
      <w:rPr>
        <w:b/>
      </w:rPr>
      <w:t xml:space="preserve"> </w:t>
    </w:r>
    <w:r>
      <w:rPr>
        <w:b/>
      </w:rPr>
      <w:t xml:space="preserve">de </w:t>
    </w:r>
    <w:r w:rsidR="000E1640">
      <w:rPr>
        <w:b/>
      </w:rPr>
      <w:t>febrero</w:t>
    </w:r>
    <w:r w:rsidR="008659CE">
      <w:rPr>
        <w:b/>
      </w:rPr>
      <w:t xml:space="preserve"> </w:t>
    </w:r>
    <w:r>
      <w:rPr>
        <w:b/>
      </w:rPr>
      <w:t>de 202</w:t>
    </w:r>
    <w:r w:rsidR="009970A6">
      <w:rPr>
        <w:b/>
      </w:rPr>
      <w:t>3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35520661">
    <w:abstractNumId w:val="3"/>
  </w:num>
  <w:num w:numId="2" w16cid:durableId="960652207">
    <w:abstractNumId w:val="5"/>
  </w:num>
  <w:num w:numId="3" w16cid:durableId="987249900">
    <w:abstractNumId w:val="0"/>
  </w:num>
  <w:num w:numId="4" w16cid:durableId="280578368">
    <w:abstractNumId w:val="6"/>
  </w:num>
  <w:num w:numId="5" w16cid:durableId="660279485">
    <w:abstractNumId w:val="2"/>
  </w:num>
  <w:num w:numId="6" w16cid:durableId="1807510445">
    <w:abstractNumId w:val="4"/>
  </w:num>
  <w:num w:numId="7" w16cid:durableId="31136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13AC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6EA"/>
    <w:rsid w:val="000B22E7"/>
    <w:rsid w:val="000B2B6C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2AF5"/>
    <w:rsid w:val="00253DA5"/>
    <w:rsid w:val="002542B1"/>
    <w:rsid w:val="00255940"/>
    <w:rsid w:val="00265A30"/>
    <w:rsid w:val="00271062"/>
    <w:rsid w:val="00271B88"/>
    <w:rsid w:val="00271D71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5C9D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4F65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5B1C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6107D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C2E93"/>
    <w:rsid w:val="006C4C1B"/>
    <w:rsid w:val="006D0D1F"/>
    <w:rsid w:val="006D340C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47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65AF"/>
    <w:rsid w:val="009303C5"/>
    <w:rsid w:val="00932D63"/>
    <w:rsid w:val="00936EAE"/>
    <w:rsid w:val="00943C82"/>
    <w:rsid w:val="0094407B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970A6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01A6"/>
    <w:rsid w:val="00A32C3B"/>
    <w:rsid w:val="00A32D29"/>
    <w:rsid w:val="00A37DA2"/>
    <w:rsid w:val="00A41280"/>
    <w:rsid w:val="00A417B6"/>
    <w:rsid w:val="00A47FCF"/>
    <w:rsid w:val="00A51CDD"/>
    <w:rsid w:val="00A5263C"/>
    <w:rsid w:val="00A541A3"/>
    <w:rsid w:val="00A55386"/>
    <w:rsid w:val="00A63E30"/>
    <w:rsid w:val="00A667EF"/>
    <w:rsid w:val="00A71A63"/>
    <w:rsid w:val="00A729EA"/>
    <w:rsid w:val="00A73100"/>
    <w:rsid w:val="00A74B36"/>
    <w:rsid w:val="00A80753"/>
    <w:rsid w:val="00A8087D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2B12"/>
    <w:rsid w:val="00B3402A"/>
    <w:rsid w:val="00B344C1"/>
    <w:rsid w:val="00B36B82"/>
    <w:rsid w:val="00B37C0F"/>
    <w:rsid w:val="00B41AFC"/>
    <w:rsid w:val="00B4362A"/>
    <w:rsid w:val="00B440B7"/>
    <w:rsid w:val="00B45B9F"/>
    <w:rsid w:val="00B57C17"/>
    <w:rsid w:val="00B57DCD"/>
    <w:rsid w:val="00B57FF1"/>
    <w:rsid w:val="00B669F9"/>
    <w:rsid w:val="00B67DE2"/>
    <w:rsid w:val="00B67E4D"/>
    <w:rsid w:val="00B73927"/>
    <w:rsid w:val="00B8275E"/>
    <w:rsid w:val="00B82BFF"/>
    <w:rsid w:val="00B8365F"/>
    <w:rsid w:val="00B84B30"/>
    <w:rsid w:val="00B86E4A"/>
    <w:rsid w:val="00B93B36"/>
    <w:rsid w:val="00BA3504"/>
    <w:rsid w:val="00BA4CC3"/>
    <w:rsid w:val="00BA7A93"/>
    <w:rsid w:val="00BB6F98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E04"/>
    <w:rsid w:val="00C17937"/>
    <w:rsid w:val="00C2062A"/>
    <w:rsid w:val="00C253AC"/>
    <w:rsid w:val="00C27DE5"/>
    <w:rsid w:val="00C44D28"/>
    <w:rsid w:val="00C5279C"/>
    <w:rsid w:val="00C547FE"/>
    <w:rsid w:val="00C60FC7"/>
    <w:rsid w:val="00C62C46"/>
    <w:rsid w:val="00C64155"/>
    <w:rsid w:val="00C708EE"/>
    <w:rsid w:val="00C73FD0"/>
    <w:rsid w:val="00C742BA"/>
    <w:rsid w:val="00C8471D"/>
    <w:rsid w:val="00C85945"/>
    <w:rsid w:val="00C85F49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6392"/>
    <w:rsid w:val="00CD4712"/>
    <w:rsid w:val="00CD5340"/>
    <w:rsid w:val="00CE05DF"/>
    <w:rsid w:val="00CF05B4"/>
    <w:rsid w:val="00CF2067"/>
    <w:rsid w:val="00CF3270"/>
    <w:rsid w:val="00CF5C17"/>
    <w:rsid w:val="00CF66DC"/>
    <w:rsid w:val="00CF73CD"/>
    <w:rsid w:val="00D0204A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143C"/>
    <w:rsid w:val="00DC1E42"/>
    <w:rsid w:val="00DC75C9"/>
    <w:rsid w:val="00DD0B06"/>
    <w:rsid w:val="00DD33E1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69B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199D"/>
    <w:rsid w:val="00F3483A"/>
    <w:rsid w:val="00F35AD0"/>
    <w:rsid w:val="00F35E80"/>
    <w:rsid w:val="00F41C39"/>
    <w:rsid w:val="00F449A7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B66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 Acosta</cp:lastModifiedBy>
  <cp:revision>3</cp:revision>
  <cp:lastPrinted>2019-08-27T13:47:00Z</cp:lastPrinted>
  <dcterms:created xsi:type="dcterms:W3CDTF">2023-02-17T12:55:00Z</dcterms:created>
  <dcterms:modified xsi:type="dcterms:W3CDTF">2023-02-17T13:00:00Z</dcterms:modified>
</cp:coreProperties>
</file>