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466E25FF" w:rsidR="002763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DE2"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 w:rsidR="00B67DE2"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BC3A5E">
        <w:rPr>
          <w:sz w:val="28"/>
          <w:szCs w:val="28"/>
        </w:rPr>
        <w:t>1</w:t>
      </w:r>
      <w:r w:rsidR="00E86429">
        <w:rPr>
          <w:sz w:val="28"/>
          <w:szCs w:val="28"/>
        </w:rPr>
        <w:t>6</w:t>
      </w:r>
      <w:r w:rsidR="000E1640">
        <w:rPr>
          <w:sz w:val="28"/>
          <w:szCs w:val="28"/>
        </w:rPr>
        <w:t>.</w:t>
      </w:r>
      <w:r w:rsidR="00E86429">
        <w:rPr>
          <w:sz w:val="28"/>
          <w:szCs w:val="28"/>
        </w:rPr>
        <w:t>696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AD2143">
        <w:rPr>
          <w:sz w:val="28"/>
          <w:szCs w:val="28"/>
        </w:rPr>
        <w:t>febr</w:t>
      </w:r>
      <w:r w:rsidR="00BC3A5E">
        <w:rPr>
          <w:sz w:val="28"/>
          <w:szCs w:val="28"/>
        </w:rPr>
        <w:t>ero</w:t>
      </w:r>
      <w:r w:rsidR="00787820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 xml:space="preserve">de </w:t>
      </w:r>
      <w:r w:rsidR="00787820" w:rsidRPr="009C3A3E">
        <w:rPr>
          <w:sz w:val="28"/>
          <w:szCs w:val="28"/>
        </w:rPr>
        <w:t>202</w:t>
      </w:r>
      <w:r w:rsidR="003101E4">
        <w:rPr>
          <w:sz w:val="28"/>
          <w:szCs w:val="28"/>
        </w:rPr>
        <w:t>3</w:t>
      </w:r>
    </w:p>
    <w:p w14:paraId="1337CD30" w14:textId="77777777" w:rsidR="00FC2F01" w:rsidRDefault="00FC2F01" w:rsidP="00536AD9">
      <w:pPr>
        <w:pStyle w:val="Ttulo1"/>
        <w:tabs>
          <w:tab w:val="left" w:pos="0"/>
        </w:tabs>
        <w:rPr>
          <w:sz w:val="28"/>
          <w:szCs w:val="28"/>
        </w:rPr>
      </w:pPr>
    </w:p>
    <w:p w14:paraId="671B6DB7" w14:textId="28D7C5A0" w:rsidR="00841E68" w:rsidRPr="00C71BE6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>La recaudación s</w:t>
      </w:r>
      <w:r w:rsidR="00CF73CD" w:rsidRPr="00C71BE6">
        <w:rPr>
          <w:i/>
          <w:sz w:val="22"/>
        </w:rPr>
        <w:t>e</w:t>
      </w:r>
      <w:r w:rsidR="001914DF" w:rsidRPr="00C71BE6">
        <w:rPr>
          <w:i/>
          <w:sz w:val="22"/>
        </w:rPr>
        <w:t xml:space="preserve"> distribuye en $</w:t>
      </w:r>
      <w:r w:rsidR="00E86429">
        <w:rPr>
          <w:i/>
          <w:sz w:val="22"/>
        </w:rPr>
        <w:t>6</w:t>
      </w:r>
      <w:r w:rsidR="003101E4" w:rsidRPr="00C71BE6">
        <w:rPr>
          <w:i/>
          <w:sz w:val="22"/>
        </w:rPr>
        <w:t>.</w:t>
      </w:r>
      <w:r w:rsidR="00E86429">
        <w:rPr>
          <w:i/>
          <w:sz w:val="22"/>
        </w:rPr>
        <w:t>846</w:t>
      </w:r>
      <w:r w:rsidR="001914DF" w:rsidRPr="00C71BE6">
        <w:rPr>
          <w:i/>
          <w:sz w:val="22"/>
        </w:rPr>
        <w:t xml:space="preserve"> millones pagados por los casinos 19.995 </w:t>
      </w:r>
      <w:r w:rsidR="00CF73CD" w:rsidRPr="00C71BE6">
        <w:rPr>
          <w:i/>
          <w:sz w:val="22"/>
        </w:rPr>
        <w:t>a las</w:t>
      </w:r>
      <w:r w:rsidR="001914DF" w:rsidRPr="00C71BE6">
        <w:rPr>
          <w:i/>
          <w:sz w:val="22"/>
        </w:rPr>
        <w:t xml:space="preserve"> comunas y gobierno regionales en que se ubican</w:t>
      </w:r>
      <w:r w:rsidR="00186B7F" w:rsidRPr="00C71BE6">
        <w:rPr>
          <w:i/>
          <w:sz w:val="22"/>
        </w:rPr>
        <w:t>, $</w:t>
      </w:r>
      <w:r w:rsidR="00E86429">
        <w:rPr>
          <w:i/>
          <w:sz w:val="22"/>
        </w:rPr>
        <w:t xml:space="preserve">6.907 </w:t>
      </w:r>
      <w:r w:rsidR="00186B7F" w:rsidRPr="00C71BE6">
        <w:rPr>
          <w:i/>
          <w:sz w:val="22"/>
        </w:rPr>
        <w:t>millones en</w:t>
      </w:r>
      <w:r w:rsidRPr="00C71BE6">
        <w:rPr>
          <w:i/>
          <w:sz w:val="22"/>
        </w:rPr>
        <w:t xml:space="preserve"> IVA al juego y</w:t>
      </w:r>
      <w:r w:rsidR="001914DF" w:rsidRPr="00C71BE6">
        <w:rPr>
          <w:i/>
          <w:sz w:val="22"/>
        </w:rPr>
        <w:t xml:space="preserve"> </w:t>
      </w:r>
      <w:r w:rsidR="003101E4" w:rsidRPr="00C71BE6">
        <w:rPr>
          <w:i/>
          <w:sz w:val="22"/>
        </w:rPr>
        <w:t>$2.</w:t>
      </w:r>
      <w:r w:rsidR="00E86429">
        <w:rPr>
          <w:i/>
          <w:sz w:val="22"/>
        </w:rPr>
        <w:t>943</w:t>
      </w:r>
      <w:r w:rsidR="001914DF" w:rsidRPr="00C71BE6">
        <w:rPr>
          <w:i/>
          <w:sz w:val="22"/>
        </w:rPr>
        <w:t xml:space="preserve"> millones en </w:t>
      </w:r>
      <w:r w:rsidRPr="00C71BE6">
        <w:rPr>
          <w:i/>
          <w:sz w:val="22"/>
        </w:rPr>
        <w:t>impuesto a las entradas.</w:t>
      </w:r>
    </w:p>
    <w:p w14:paraId="53883758" w14:textId="414E1521" w:rsidR="00C04A81" w:rsidRPr="00C04A81" w:rsidRDefault="003A4081" w:rsidP="00C04A81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 xml:space="preserve"> </w:t>
      </w:r>
      <w:r w:rsidR="00C71BE6">
        <w:rPr>
          <w:i/>
          <w:sz w:val="22"/>
        </w:rPr>
        <w:t>Descontada la inflación, l</w:t>
      </w:r>
      <w:r w:rsidR="00BC3A5E" w:rsidRPr="00C71BE6">
        <w:rPr>
          <w:i/>
          <w:sz w:val="22"/>
        </w:rPr>
        <w:t>os resultados del mes</w:t>
      </w:r>
      <w:r w:rsidR="00EC3C2C" w:rsidRPr="00C71BE6">
        <w:rPr>
          <w:i/>
          <w:sz w:val="22"/>
        </w:rPr>
        <w:t xml:space="preserve"> </w:t>
      </w:r>
      <w:r w:rsidR="00BC3A5E" w:rsidRPr="00C71BE6">
        <w:rPr>
          <w:i/>
          <w:sz w:val="22"/>
        </w:rPr>
        <w:t xml:space="preserve">son </w:t>
      </w:r>
      <w:r w:rsidR="00C71BE6">
        <w:rPr>
          <w:i/>
          <w:sz w:val="22"/>
        </w:rPr>
        <w:t xml:space="preserve">un </w:t>
      </w:r>
      <w:r w:rsidR="00B21B92">
        <w:rPr>
          <w:i/>
          <w:sz w:val="22"/>
        </w:rPr>
        <w:t>2</w:t>
      </w:r>
      <w:r w:rsidR="00C71BE6">
        <w:rPr>
          <w:i/>
          <w:sz w:val="22"/>
        </w:rPr>
        <w:t>,</w:t>
      </w:r>
      <w:r w:rsidR="00B21B92">
        <w:rPr>
          <w:i/>
          <w:sz w:val="22"/>
        </w:rPr>
        <w:t>4</w:t>
      </w:r>
      <w:r w:rsidR="00C71BE6">
        <w:rPr>
          <w:i/>
          <w:sz w:val="22"/>
        </w:rPr>
        <w:t xml:space="preserve">% menores </w:t>
      </w:r>
      <w:r w:rsidR="00BC3A5E" w:rsidRPr="00C71BE6">
        <w:rPr>
          <w:i/>
          <w:sz w:val="22"/>
        </w:rPr>
        <w:t xml:space="preserve">a los observados </w:t>
      </w:r>
      <w:r w:rsidR="00C71BE6">
        <w:rPr>
          <w:i/>
          <w:sz w:val="22"/>
        </w:rPr>
        <w:t xml:space="preserve">en </w:t>
      </w:r>
      <w:r w:rsidR="00B21B92">
        <w:rPr>
          <w:i/>
          <w:sz w:val="22"/>
        </w:rPr>
        <w:t>febr</w:t>
      </w:r>
      <w:r w:rsidR="00C71BE6">
        <w:rPr>
          <w:i/>
          <w:sz w:val="22"/>
        </w:rPr>
        <w:t>ero 2022</w:t>
      </w:r>
      <w:r w:rsidR="00421272">
        <w:rPr>
          <w:i/>
          <w:sz w:val="22"/>
        </w:rPr>
        <w:t>,</w:t>
      </w:r>
      <w:r w:rsidR="00C04A81">
        <w:rPr>
          <w:i/>
          <w:sz w:val="22"/>
        </w:rPr>
        <w:t xml:space="preserve"> con ingresos brutos del juego por $4</w:t>
      </w:r>
      <w:r w:rsidR="00B21B92">
        <w:rPr>
          <w:i/>
          <w:sz w:val="22"/>
        </w:rPr>
        <w:t>6</w:t>
      </w:r>
      <w:r w:rsidR="00C04A81">
        <w:rPr>
          <w:i/>
          <w:sz w:val="22"/>
        </w:rPr>
        <w:t>.</w:t>
      </w:r>
      <w:r w:rsidR="00B21B92">
        <w:rPr>
          <w:i/>
          <w:sz w:val="22"/>
        </w:rPr>
        <w:t>673</w:t>
      </w:r>
      <w:r w:rsidR="00C04A81">
        <w:rPr>
          <w:i/>
          <w:sz w:val="22"/>
        </w:rPr>
        <w:t xml:space="preserve"> millones en los 25 casinos del país.</w:t>
      </w:r>
    </w:p>
    <w:p w14:paraId="39B5FAA9" w14:textId="6426A09D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0E6BD268" w:rsidR="00C04A81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22 casinos 19.995</w:t>
      </w:r>
      <w:r w:rsidR="00C04A81">
        <w:rPr>
          <w:rStyle w:val="Refdenotaalpie"/>
          <w:rFonts w:cstheme="minorHAnsi"/>
        </w:rPr>
        <w:footnoteReference w:id="2"/>
      </w:r>
      <w:r>
        <w:rPr>
          <w:rFonts w:cstheme="minorHAnsi"/>
        </w:rPr>
        <w:t xml:space="preserve"> a</w:t>
      </w:r>
      <w:r w:rsidRPr="009C3A3E">
        <w:rPr>
          <w:rFonts w:cstheme="minorHAnsi"/>
        </w:rPr>
        <w:t>portaron un total de $</w:t>
      </w:r>
      <w:r>
        <w:rPr>
          <w:rFonts w:cstheme="minorHAnsi"/>
        </w:rPr>
        <w:t>1</w:t>
      </w:r>
      <w:r w:rsidR="00B21B92">
        <w:rPr>
          <w:rFonts w:cstheme="minorHAnsi"/>
        </w:rPr>
        <w:t>6</w:t>
      </w:r>
      <w:r>
        <w:rPr>
          <w:rFonts w:cstheme="minorHAnsi"/>
        </w:rPr>
        <w:t>.</w:t>
      </w:r>
      <w:r w:rsidR="00B21B92">
        <w:rPr>
          <w:rFonts w:cstheme="minorHAnsi"/>
        </w:rPr>
        <w:t>696</w:t>
      </w:r>
      <w:r w:rsidRPr="009C3A3E">
        <w:rPr>
          <w:rFonts w:cstheme="minorHAnsi"/>
        </w:rPr>
        <w:t xml:space="preserve"> millones en impuestos</w:t>
      </w:r>
      <w:r>
        <w:rPr>
          <w:rFonts w:cstheme="minorHAnsi"/>
        </w:rPr>
        <w:t xml:space="preserve"> en el mes de </w:t>
      </w:r>
      <w:r w:rsidR="00B21B92">
        <w:rPr>
          <w:rFonts w:cstheme="minorHAnsi"/>
        </w:rPr>
        <w:t>febr</w:t>
      </w:r>
      <w:r>
        <w:rPr>
          <w:rFonts w:cstheme="minorHAnsi"/>
        </w:rPr>
        <w:t xml:space="preserve">ero, superando en un </w:t>
      </w:r>
      <w:r w:rsidR="00920A87">
        <w:rPr>
          <w:rFonts w:cstheme="minorHAnsi"/>
        </w:rPr>
        <w:t>5</w:t>
      </w:r>
      <w:r>
        <w:rPr>
          <w:rFonts w:cstheme="minorHAnsi"/>
        </w:rPr>
        <w:t>,</w:t>
      </w:r>
      <w:r w:rsidR="00920A87">
        <w:rPr>
          <w:rFonts w:cstheme="minorHAnsi"/>
        </w:rPr>
        <w:t>8</w:t>
      </w:r>
      <w:r>
        <w:rPr>
          <w:rFonts w:cstheme="minorHAnsi"/>
        </w:rPr>
        <w:t xml:space="preserve">% los impuestos aportados en </w:t>
      </w:r>
      <w:r w:rsidR="00920A87">
        <w:rPr>
          <w:rFonts w:cstheme="minorHAnsi"/>
        </w:rPr>
        <w:t>febr</w:t>
      </w:r>
      <w:r>
        <w:rPr>
          <w:rFonts w:cstheme="minorHAnsi"/>
        </w:rPr>
        <w:t>ero 2022 en términos reales.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7A90E4D" w14:textId="4356F5AF" w:rsidR="00C04A81" w:rsidRPr="009C3A3E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 a nivel de industria se dividen en</w:t>
      </w:r>
      <w:r w:rsidRPr="009C3A3E">
        <w:rPr>
          <w:rFonts w:cstheme="minorHAnsi"/>
        </w:rPr>
        <w:t xml:space="preserve"> $</w:t>
      </w:r>
      <w:r w:rsidR="00CC087F">
        <w:rPr>
          <w:rFonts w:cstheme="minorHAnsi"/>
        </w:rPr>
        <w:t>6</w:t>
      </w:r>
      <w:r>
        <w:rPr>
          <w:rFonts w:cstheme="minorHAnsi"/>
        </w:rPr>
        <w:t>.</w:t>
      </w:r>
      <w:r w:rsidR="00CC087F">
        <w:rPr>
          <w:rFonts w:cstheme="minorHAnsi"/>
        </w:rPr>
        <w:t>846</w:t>
      </w:r>
      <w:r w:rsidRPr="009C3A3E">
        <w:rPr>
          <w:rFonts w:cstheme="minorHAnsi"/>
        </w:rPr>
        <w:t xml:space="preserve"> millones </w:t>
      </w:r>
      <w:r>
        <w:rPr>
          <w:rFonts w:cstheme="minorHAnsi"/>
        </w:rPr>
        <w:t xml:space="preserve">que </w:t>
      </w:r>
      <w:r w:rsidRPr="009C3A3E">
        <w:rPr>
          <w:rFonts w:cstheme="minorHAnsi"/>
        </w:rPr>
        <w:t>corresponden al impuesto específico al juego</w:t>
      </w:r>
      <w:r>
        <w:rPr>
          <w:rFonts w:cstheme="minorHAnsi"/>
        </w:rPr>
        <w:t>,</w:t>
      </w:r>
      <w:r w:rsidRPr="009C3A3E">
        <w:rPr>
          <w:rFonts w:cstheme="minorHAnsi"/>
        </w:rPr>
        <w:t xml:space="preserve"> destinado</w:t>
      </w:r>
      <w:r>
        <w:rPr>
          <w:rFonts w:cstheme="minorHAnsi"/>
        </w:rPr>
        <w:t>s</w:t>
      </w:r>
      <w:r w:rsidRPr="009C3A3E">
        <w:rPr>
          <w:rFonts w:cstheme="minorHAnsi"/>
        </w:rPr>
        <w:t xml:space="preserve"> a los </w:t>
      </w:r>
      <w:r>
        <w:rPr>
          <w:rFonts w:cstheme="minorHAnsi"/>
        </w:rPr>
        <w:t>g</w:t>
      </w:r>
      <w:r w:rsidRPr="009C3A3E">
        <w:rPr>
          <w:rFonts w:cstheme="minorHAnsi"/>
        </w:rPr>
        <w:t xml:space="preserve">obiernos </w:t>
      </w:r>
      <w:r>
        <w:rPr>
          <w:rFonts w:cstheme="minorHAnsi"/>
        </w:rPr>
        <w:t>r</w:t>
      </w:r>
      <w:r w:rsidRPr="009C3A3E">
        <w:rPr>
          <w:rFonts w:cstheme="minorHAnsi"/>
        </w:rPr>
        <w:t xml:space="preserve">egionales y </w:t>
      </w:r>
      <w:r>
        <w:rPr>
          <w:rFonts w:cstheme="minorHAnsi"/>
        </w:rPr>
        <w:t>m</w:t>
      </w:r>
      <w:r w:rsidRPr="009C3A3E">
        <w:rPr>
          <w:rFonts w:cstheme="minorHAnsi"/>
        </w:rPr>
        <w:t>unicipalidades para el financiamiento de obras de desarrollo, además de $</w:t>
      </w:r>
      <w:r w:rsidR="00CC087F">
        <w:rPr>
          <w:rFonts w:cstheme="minorHAnsi"/>
        </w:rPr>
        <w:t>6</w:t>
      </w:r>
      <w:r>
        <w:rPr>
          <w:rFonts w:cstheme="minorHAnsi"/>
        </w:rPr>
        <w:t>.</w:t>
      </w:r>
      <w:r w:rsidR="00CC087F">
        <w:rPr>
          <w:rFonts w:cstheme="minorHAnsi"/>
        </w:rPr>
        <w:t>907</w:t>
      </w:r>
      <w:r w:rsidRPr="009C3A3E">
        <w:rPr>
          <w:rFonts w:cstheme="minorHAnsi"/>
        </w:rPr>
        <w:t xml:space="preserve"> millones asociados al pago de IVA</w:t>
      </w:r>
      <w:r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</w:t>
      </w:r>
      <w:r>
        <w:rPr>
          <w:rFonts w:cstheme="minorHAnsi"/>
        </w:rPr>
        <w:t>2.</w:t>
      </w:r>
      <w:r w:rsidR="00CC087F">
        <w:rPr>
          <w:rFonts w:cstheme="minorHAnsi"/>
        </w:rPr>
        <w:t>943</w:t>
      </w:r>
      <w:r>
        <w:rPr>
          <w:rFonts w:cstheme="minorHAnsi"/>
        </w:rPr>
        <w:t xml:space="preserve"> </w:t>
      </w:r>
      <w:r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75BABC5" w14:textId="7934D00B" w:rsidR="00C04A81" w:rsidRDefault="00C04A81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CC087F">
        <w:rPr>
          <w:rFonts w:cstheme="minorHAnsi"/>
        </w:rPr>
        <w:t>mayo</w:t>
      </w:r>
      <w:r w:rsidRPr="009C3A3E">
        <w:rPr>
          <w:rFonts w:cstheme="minorHAnsi"/>
        </w:rPr>
        <w:t xml:space="preserve"> de 202</w:t>
      </w:r>
      <w:r>
        <w:rPr>
          <w:rFonts w:cstheme="minorHAnsi"/>
        </w:rPr>
        <w:t>3</w:t>
      </w:r>
      <w:r w:rsidRPr="009C3A3E">
        <w:rPr>
          <w:rFonts w:cstheme="minorHAnsi"/>
        </w:rPr>
        <w:t>.</w:t>
      </w:r>
    </w:p>
    <w:p w14:paraId="7A9FC6CC" w14:textId="77777777" w:rsidR="00C04A81" w:rsidRDefault="00C04A81" w:rsidP="00C04A81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62BB3DCE" w14:textId="77777777" w:rsidR="00CC087F" w:rsidRDefault="00CC2C3C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Se debe tener en cuenta que</w:t>
      </w:r>
      <w:r w:rsidR="00415F4C">
        <w:rPr>
          <w:rFonts w:cstheme="minorHAnsi"/>
        </w:rPr>
        <w:t xml:space="preserve">, </w:t>
      </w:r>
      <w:r>
        <w:rPr>
          <w:rFonts w:cstheme="minorHAnsi"/>
        </w:rPr>
        <w:t xml:space="preserve">desde junio de 2022 opera en Pucón </w:t>
      </w:r>
      <w:r w:rsidR="00C04A81">
        <w:rPr>
          <w:rFonts w:cstheme="minorHAnsi"/>
        </w:rPr>
        <w:t>e</w:t>
      </w:r>
      <w:r>
        <w:rPr>
          <w:rFonts w:cstheme="minorHAnsi"/>
        </w:rPr>
        <w:t xml:space="preserve">l casino Enjoy Pucón, </w:t>
      </w:r>
      <w:r w:rsidR="00FC2F01">
        <w:rPr>
          <w:rFonts w:cstheme="minorHAnsi"/>
        </w:rPr>
        <w:t xml:space="preserve">el que no se </w:t>
      </w:r>
      <w:r>
        <w:rPr>
          <w:rFonts w:cstheme="minorHAnsi"/>
        </w:rPr>
        <w:t xml:space="preserve">consideraba en el aporte tributario </w:t>
      </w:r>
      <w:r w:rsidR="00FC2F01">
        <w:rPr>
          <w:rFonts w:cstheme="minorHAnsi"/>
        </w:rPr>
        <w:t xml:space="preserve">de </w:t>
      </w:r>
      <w:r w:rsidR="00CC087F">
        <w:rPr>
          <w:rFonts w:cstheme="minorHAnsi"/>
        </w:rPr>
        <w:t>febr</w:t>
      </w:r>
      <w:r w:rsidR="00FC2F01">
        <w:rPr>
          <w:rFonts w:cstheme="minorHAnsi"/>
        </w:rPr>
        <w:t xml:space="preserve">ero de </w:t>
      </w:r>
      <w:r>
        <w:rPr>
          <w:rFonts w:cstheme="minorHAnsi"/>
        </w:rPr>
        <w:t xml:space="preserve">2022. </w:t>
      </w:r>
      <w:r w:rsidR="00CC087F">
        <w:rPr>
          <w:rFonts w:cstheme="minorHAnsi"/>
        </w:rPr>
        <w:t>Este</w:t>
      </w:r>
      <w:r>
        <w:rPr>
          <w:rFonts w:cstheme="minorHAnsi"/>
        </w:rPr>
        <w:t xml:space="preserve"> </w:t>
      </w:r>
      <w:r w:rsidR="00C04A81">
        <w:rPr>
          <w:rFonts w:cstheme="minorHAnsi"/>
        </w:rPr>
        <w:t xml:space="preserve">casino </w:t>
      </w:r>
      <w:r w:rsidR="00FC2F01">
        <w:rPr>
          <w:rFonts w:cstheme="minorHAnsi"/>
        </w:rPr>
        <w:t>gener</w:t>
      </w:r>
      <w:r w:rsidR="00CC087F">
        <w:rPr>
          <w:rFonts w:cstheme="minorHAnsi"/>
        </w:rPr>
        <w:t>ó</w:t>
      </w:r>
      <w:r w:rsidR="00FC2F01">
        <w:rPr>
          <w:rFonts w:cstheme="minorHAnsi"/>
        </w:rPr>
        <w:t xml:space="preserve"> </w:t>
      </w:r>
      <w:r w:rsidR="00C04A81">
        <w:rPr>
          <w:rFonts w:cstheme="minorHAnsi"/>
        </w:rPr>
        <w:t>$</w:t>
      </w:r>
      <w:r w:rsidR="004759BE">
        <w:rPr>
          <w:rFonts w:cstheme="minorHAnsi"/>
        </w:rPr>
        <w:t>1</w:t>
      </w:r>
      <w:r w:rsidR="00C04A81">
        <w:rPr>
          <w:rFonts w:cstheme="minorHAnsi"/>
        </w:rPr>
        <w:t>.</w:t>
      </w:r>
      <w:r w:rsidR="00CC087F">
        <w:rPr>
          <w:rFonts w:cstheme="minorHAnsi"/>
        </w:rPr>
        <w:t>161</w:t>
      </w:r>
      <w:r w:rsidR="00C04A81">
        <w:rPr>
          <w:rFonts w:cstheme="minorHAnsi"/>
        </w:rPr>
        <w:t xml:space="preserve"> millones </w:t>
      </w:r>
      <w:r w:rsidR="00FC2F01">
        <w:rPr>
          <w:rFonts w:cstheme="minorHAnsi"/>
        </w:rPr>
        <w:t xml:space="preserve">de </w:t>
      </w:r>
      <w:r w:rsidR="00C04A81">
        <w:rPr>
          <w:rFonts w:cstheme="minorHAnsi"/>
        </w:rPr>
        <w:t>impuestos en el mes</w:t>
      </w:r>
      <w:r w:rsidR="00FC2F01">
        <w:rPr>
          <w:rFonts w:cstheme="minorHAnsi"/>
        </w:rPr>
        <w:t>, aproximadamente</w:t>
      </w:r>
      <w:r w:rsidR="00C04A81">
        <w:rPr>
          <w:rFonts w:cstheme="minorHAnsi"/>
        </w:rPr>
        <w:t xml:space="preserve">. </w:t>
      </w:r>
    </w:p>
    <w:p w14:paraId="3FCB48D3" w14:textId="77777777" w:rsidR="00CC087F" w:rsidRDefault="00CC087F">
      <w:pPr>
        <w:spacing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289628F" w14:textId="21B1DB41" w:rsidR="00FC2F0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lastRenderedPageBreak/>
        <w:t xml:space="preserve">La distribución de los impuestos recaudados </w:t>
      </w:r>
      <w:r>
        <w:rPr>
          <w:rFonts w:cstheme="minorHAnsi"/>
        </w:rPr>
        <w:t xml:space="preserve">por la operación del mes de </w:t>
      </w:r>
      <w:r w:rsidR="00CC087F">
        <w:rPr>
          <w:rFonts w:cstheme="minorHAnsi"/>
        </w:rPr>
        <w:t>febr</w:t>
      </w:r>
      <w:r>
        <w:rPr>
          <w:rFonts w:cstheme="minorHAnsi"/>
        </w:rPr>
        <w:t xml:space="preserve">ero 2023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</w:t>
      </w:r>
      <w:r w:rsidR="003861DA">
        <w:rPr>
          <w:rFonts w:cstheme="minorHAnsi"/>
        </w:rPr>
        <w:t xml:space="preserve"> </w:t>
      </w:r>
      <w:r w:rsidR="00FC2F01">
        <w:rPr>
          <w:rFonts w:cstheme="minorHAnsi"/>
        </w:rPr>
        <w:t>en la siguiente tabla:</w:t>
      </w:r>
    </w:p>
    <w:p w14:paraId="6632D61F" w14:textId="474D5860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1A1629EA" w14:textId="5F52A848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10371" w:type="dxa"/>
        <w:tblInd w:w="-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520"/>
        <w:gridCol w:w="1200"/>
        <w:gridCol w:w="1211"/>
        <w:gridCol w:w="1200"/>
        <w:gridCol w:w="1200"/>
        <w:gridCol w:w="1200"/>
      </w:tblGrid>
      <w:tr w:rsidR="00920A87" w:rsidRPr="00920A87" w14:paraId="27E11A83" w14:textId="77777777" w:rsidTr="00920A87">
        <w:trPr>
          <w:trHeight w:val="975"/>
        </w:trPr>
        <w:tc>
          <w:tcPr>
            <w:tcW w:w="18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1E6078D8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52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608CA16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2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A3DA31B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1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9A7190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2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5A78E42F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2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6AD6BE75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12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B55711C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920A87" w:rsidRPr="00920A87" w14:paraId="5F7DE1F4" w14:textId="77777777" w:rsidTr="00920A8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C2D72E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AC5AD0B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C8C54B7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E9AD988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598035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C5A8CE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0E9AC25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478,2</w:t>
            </w:r>
          </w:p>
        </w:tc>
      </w:tr>
      <w:tr w:rsidR="00920A87" w:rsidRPr="00920A87" w14:paraId="2862CCB3" w14:textId="77777777" w:rsidTr="009C36ED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5237A9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C2E4F6C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7A9B3FB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46A848C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6B929B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E3EA13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497A35B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328,1</w:t>
            </w:r>
          </w:p>
        </w:tc>
      </w:tr>
      <w:tr w:rsidR="00920A87" w:rsidRPr="00920A87" w14:paraId="00FB1729" w14:textId="77777777" w:rsidTr="009C36ED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153C56B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5C98445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E42236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1012E9B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65EAF8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F3ECD5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D17ED1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930,0</w:t>
            </w:r>
          </w:p>
        </w:tc>
      </w:tr>
      <w:tr w:rsidR="00920A87" w:rsidRPr="00920A87" w14:paraId="694F7456" w14:textId="77777777" w:rsidTr="00920A8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BB41D7E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7DC3AF4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6CE48DB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2CDC576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B1D19C8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672E64B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0F9C6E0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423,1</w:t>
            </w:r>
          </w:p>
        </w:tc>
      </w:tr>
      <w:tr w:rsidR="00920A87" w:rsidRPr="00920A87" w14:paraId="3CB43AD4" w14:textId="77777777" w:rsidTr="009C36ED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2EF5D7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C99F07B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AB5B14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0D1D12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C528D0F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5FA2688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8A4FE16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193,3</w:t>
            </w:r>
          </w:p>
        </w:tc>
      </w:tr>
      <w:tr w:rsidR="00920A87" w:rsidRPr="00920A87" w14:paraId="613B1D78" w14:textId="77777777" w:rsidTr="009C36ED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941B0A1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821F39F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8BDA26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53CD745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A1B4861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B4BB09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777FD3E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1.458,7</w:t>
            </w:r>
          </w:p>
        </w:tc>
      </w:tr>
      <w:tr w:rsidR="00920A87" w:rsidRPr="00920A87" w14:paraId="45CEA272" w14:textId="77777777" w:rsidTr="00920A87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E67EA7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95A263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3838204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71F82F5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EEFD0F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131478A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A923381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398,0</w:t>
            </w:r>
          </w:p>
        </w:tc>
      </w:tr>
      <w:tr w:rsidR="00920A87" w:rsidRPr="00920A87" w14:paraId="40AC3896" w14:textId="77777777" w:rsidTr="00920A87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33ACD4D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E2CD4E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4EAE402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239DCD2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0D931B0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7541F21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13B07EF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2.250,1</w:t>
            </w:r>
          </w:p>
        </w:tc>
      </w:tr>
      <w:tr w:rsidR="00920A87" w:rsidRPr="00920A87" w14:paraId="5BE0F674" w14:textId="77777777" w:rsidTr="00920A87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A03A763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395316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354FD4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4453E1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F52ACB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B9ABE0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B03625A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1.031,2</w:t>
            </w:r>
          </w:p>
        </w:tc>
      </w:tr>
      <w:tr w:rsidR="00920A87" w:rsidRPr="00920A87" w14:paraId="408DEC02" w14:textId="77777777" w:rsidTr="009C36ED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5BB63A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6AB31A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D65B2BA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18671F2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DCE2BBB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1.445,1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9705E1A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6D6FBF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3.047,1</w:t>
            </w:r>
          </w:p>
        </w:tc>
      </w:tr>
      <w:tr w:rsidR="00920A87" w:rsidRPr="00920A87" w14:paraId="6039A55E" w14:textId="77777777" w:rsidTr="009C36ED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FA3CD10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FEAB76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A04C719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57063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9972B2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602F19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FFB8C14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235,1</w:t>
            </w:r>
          </w:p>
        </w:tc>
      </w:tr>
      <w:tr w:rsidR="00920A87" w:rsidRPr="00920A87" w14:paraId="6252F0DC" w14:textId="77777777" w:rsidTr="00920A8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E89F9A4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E3AD109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72128C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03E5B41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33F90A5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89D0773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B3383C5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325,9</w:t>
            </w:r>
          </w:p>
        </w:tc>
      </w:tr>
      <w:tr w:rsidR="00920A87" w:rsidRPr="00920A87" w14:paraId="7B6D0EF0" w14:textId="77777777" w:rsidTr="009C36ED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2EF0F06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820309F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5F61CA1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B5104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63F1C36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E2A0CF8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407FA1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336,3</w:t>
            </w:r>
          </w:p>
        </w:tc>
      </w:tr>
      <w:tr w:rsidR="00920A87" w:rsidRPr="00920A87" w14:paraId="2D1A3D61" w14:textId="77777777" w:rsidTr="00920A87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1E30A05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E042CF9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3E070E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3A15935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FE83E24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567,1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BA4B688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8FB55E1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1.365,3</w:t>
            </w:r>
          </w:p>
        </w:tc>
      </w:tr>
      <w:tr w:rsidR="00920A87" w:rsidRPr="00920A87" w14:paraId="4C285F0B" w14:textId="77777777" w:rsidTr="00920A87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2B18542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F5218B5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B8AA887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170158A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F72873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BD78B09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6FDA826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249,4</w:t>
            </w:r>
          </w:p>
        </w:tc>
      </w:tr>
      <w:tr w:rsidR="00920A87" w:rsidRPr="00920A87" w14:paraId="10C1B11F" w14:textId="77777777" w:rsidTr="009C36ED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3D30D66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B5EB2F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80C177B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136,9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2EDA65F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214586F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9196EE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95804E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659,2</w:t>
            </w:r>
          </w:p>
        </w:tc>
      </w:tr>
      <w:tr w:rsidR="00920A87" w:rsidRPr="00920A87" w14:paraId="26F763D2" w14:textId="77777777" w:rsidTr="009C36ED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1B4AE80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B976634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A389C8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DAA7E3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767810F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454,4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8CF153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B6E7126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1.160,7</w:t>
            </w:r>
          </w:p>
        </w:tc>
      </w:tr>
      <w:tr w:rsidR="00920A87" w:rsidRPr="00920A87" w14:paraId="53ADC534" w14:textId="77777777" w:rsidTr="00920A8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BBD3EC9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Los </w:t>
            </w:r>
            <w:proofErr w:type="spellStart"/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Rios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61E9A82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F1A3FDE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D113544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83530DF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BA09334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A3C3AEF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511,5</w:t>
            </w:r>
          </w:p>
        </w:tc>
      </w:tr>
      <w:tr w:rsidR="00920A87" w:rsidRPr="00920A87" w14:paraId="3937DF08" w14:textId="77777777" w:rsidTr="009C36ED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C7348B0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DB857E2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410720A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5F3A3B4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DC0177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930FA3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FCBEFD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389,4</w:t>
            </w:r>
          </w:p>
        </w:tc>
      </w:tr>
      <w:tr w:rsidR="00920A87" w:rsidRPr="00920A87" w14:paraId="6A75F36B" w14:textId="77777777" w:rsidTr="009C36ED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F73F7B2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F22D93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CB25EF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B7B313E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01CF543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F9C7BB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6703A36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183,6</w:t>
            </w:r>
          </w:p>
        </w:tc>
      </w:tr>
      <w:tr w:rsidR="00920A87" w:rsidRPr="00920A87" w14:paraId="76329045" w14:textId="77777777" w:rsidTr="00920A8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A084CDA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B792023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0D2A97F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CBD2B41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312658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898CD9F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9150376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159,7</w:t>
            </w:r>
          </w:p>
        </w:tc>
      </w:tr>
      <w:tr w:rsidR="00920A87" w:rsidRPr="00920A87" w14:paraId="3A9C856C" w14:textId="77777777" w:rsidTr="009C36ED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CD58F12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7DE5D82" w14:textId="77777777" w:rsidR="00920A87" w:rsidRPr="00920A87" w:rsidRDefault="00920A87" w:rsidP="00920A8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B6385E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9D369A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744A496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F6AE508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2E15C3E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582,4</w:t>
            </w:r>
          </w:p>
        </w:tc>
      </w:tr>
      <w:tr w:rsidR="00920A87" w:rsidRPr="00920A87" w14:paraId="3DE41943" w14:textId="77777777" w:rsidTr="00920A87">
        <w:trPr>
          <w:trHeight w:val="315"/>
        </w:trPr>
        <w:tc>
          <w:tcPr>
            <w:tcW w:w="436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21B76457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3912ADC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3.422,9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325F7D0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3.422,9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2A0C1C1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6.907,4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C35BEC4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2.943,2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4E41AC8" w14:textId="77777777" w:rsidR="00920A87" w:rsidRPr="00920A87" w:rsidRDefault="00920A87" w:rsidP="0092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20A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16.696,4</w:t>
            </w:r>
          </w:p>
        </w:tc>
      </w:tr>
    </w:tbl>
    <w:p w14:paraId="010ECDCB" w14:textId="77777777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47BF7DF" w14:textId="2C703703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8B6AEFF" w14:textId="0A34F6C4" w:rsidR="00A913BC" w:rsidRPr="009C3A3E" w:rsidRDefault="00A913BC" w:rsidP="00CC087F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43645D07" w14:textId="77777777" w:rsidR="00A913BC" w:rsidRPr="009C3A3E" w:rsidRDefault="00A913BC" w:rsidP="00A913BC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7C51C110" w14:textId="64619906" w:rsidR="00A913BC" w:rsidRDefault="00A913BC" w:rsidP="00A913BC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 casinos de juego registraron ingresos brutos del juego (win) por $</w:t>
      </w:r>
      <w:r>
        <w:t>4</w:t>
      </w:r>
      <w:r w:rsidR="00CC087F">
        <w:t>6</w:t>
      </w:r>
      <w:r>
        <w:t>.</w:t>
      </w:r>
      <w:r w:rsidR="00CC087F">
        <w:t>673</w:t>
      </w:r>
      <w:r w:rsidRPr="009C3A3E">
        <w:t xml:space="preserve"> millones</w:t>
      </w:r>
      <w:r>
        <w:t xml:space="preserve"> en </w:t>
      </w:r>
      <w:r w:rsidR="00CC087F">
        <w:t>febrero</w:t>
      </w:r>
      <w:r>
        <w:t xml:space="preserve"> de 202</w:t>
      </w:r>
      <w:r w:rsidR="00C71BE6">
        <w:t>3</w:t>
      </w:r>
      <w:r w:rsidR="00B76F3C">
        <w:t>, los que</w:t>
      </w:r>
      <w:r w:rsidR="007B126C">
        <w:t>,</w:t>
      </w:r>
      <w:r w:rsidR="00B76F3C">
        <w:t xml:space="preserve"> en </w:t>
      </w:r>
      <w:r w:rsidRPr="004C5EE7">
        <w:rPr>
          <w:rFonts w:ascii="Calibri" w:hAnsi="Calibri" w:cs="Calibri"/>
          <w:lang w:eastAsia="es-CL"/>
        </w:rPr>
        <w:t xml:space="preserve">términos reales, </w:t>
      </w:r>
      <w:r>
        <w:rPr>
          <w:rFonts w:ascii="Calibri" w:hAnsi="Calibri" w:cs="Calibri"/>
          <w:lang w:eastAsia="es-CL"/>
        </w:rPr>
        <w:t xml:space="preserve">fueron un </w:t>
      </w:r>
      <w:r w:rsidR="00CC087F">
        <w:rPr>
          <w:rFonts w:ascii="Calibri" w:hAnsi="Calibri" w:cs="Calibri"/>
          <w:lang w:eastAsia="es-CL"/>
        </w:rPr>
        <w:t>2</w:t>
      </w:r>
      <w:r w:rsidR="00372D81">
        <w:rPr>
          <w:rFonts w:ascii="Calibri" w:hAnsi="Calibri" w:cs="Calibri"/>
          <w:lang w:eastAsia="es-CL"/>
        </w:rPr>
        <w:t>,</w:t>
      </w:r>
      <w:r w:rsidR="00CC087F">
        <w:rPr>
          <w:rFonts w:ascii="Calibri" w:hAnsi="Calibri" w:cs="Calibri"/>
          <w:lang w:eastAsia="es-CL"/>
        </w:rPr>
        <w:t>4</w:t>
      </w:r>
      <w:r w:rsidRPr="004C5EE7">
        <w:rPr>
          <w:rFonts w:ascii="Calibri" w:hAnsi="Calibri" w:cs="Calibri"/>
          <w:lang w:eastAsia="es-CL"/>
        </w:rPr>
        <w:t xml:space="preserve">% </w:t>
      </w:r>
      <w:r>
        <w:rPr>
          <w:rFonts w:ascii="Calibri" w:hAnsi="Calibri" w:cs="Calibri"/>
          <w:lang w:eastAsia="es-CL"/>
        </w:rPr>
        <w:t>m</w:t>
      </w:r>
      <w:r w:rsidR="00372D81">
        <w:rPr>
          <w:rFonts w:ascii="Calibri" w:hAnsi="Calibri" w:cs="Calibri"/>
          <w:lang w:eastAsia="es-CL"/>
        </w:rPr>
        <w:t>enores</w:t>
      </w:r>
      <w:r>
        <w:rPr>
          <w:rFonts w:ascii="Calibri" w:hAnsi="Calibri" w:cs="Calibri"/>
          <w:lang w:eastAsia="es-CL"/>
        </w:rPr>
        <w:t xml:space="preserve"> de </w:t>
      </w:r>
      <w:r w:rsidRPr="004C5EE7">
        <w:rPr>
          <w:rFonts w:ascii="Calibri" w:hAnsi="Calibri" w:cs="Calibri"/>
          <w:lang w:eastAsia="es-CL"/>
        </w:rPr>
        <w:t>lo</w:t>
      </w:r>
      <w:r>
        <w:rPr>
          <w:rFonts w:ascii="Calibri" w:hAnsi="Calibri" w:cs="Calibri"/>
          <w:lang w:eastAsia="es-CL"/>
        </w:rPr>
        <w:t>s</w:t>
      </w:r>
      <w:r w:rsidRPr="004C5EE7">
        <w:rPr>
          <w:rFonts w:ascii="Calibri" w:hAnsi="Calibri" w:cs="Calibri"/>
          <w:lang w:eastAsia="es-CL"/>
        </w:rPr>
        <w:t xml:space="preserve"> obtenido en </w:t>
      </w:r>
      <w:r w:rsidR="00CC087F">
        <w:rPr>
          <w:rFonts w:ascii="Calibri" w:hAnsi="Calibri" w:cs="Calibri"/>
          <w:lang w:eastAsia="es-CL"/>
        </w:rPr>
        <w:t>febrero</w:t>
      </w:r>
      <w:r w:rsidRPr="004C5EE7">
        <w:rPr>
          <w:rFonts w:ascii="Calibri" w:hAnsi="Calibri" w:cs="Calibri"/>
          <w:lang w:eastAsia="es-CL"/>
        </w:rPr>
        <w:t xml:space="preserve"> de 20</w:t>
      </w:r>
      <w:r>
        <w:rPr>
          <w:rFonts w:ascii="Calibri" w:hAnsi="Calibri" w:cs="Calibri"/>
          <w:lang w:eastAsia="es-CL"/>
        </w:rPr>
        <w:t>2</w:t>
      </w:r>
      <w:r w:rsidR="00C71BE6">
        <w:rPr>
          <w:rFonts w:ascii="Calibri" w:hAnsi="Calibri" w:cs="Calibri"/>
          <w:lang w:eastAsia="es-CL"/>
        </w:rPr>
        <w:t>2</w:t>
      </w:r>
      <w:r w:rsidR="00B76F3C">
        <w:rPr>
          <w:rFonts w:ascii="Calibri" w:hAnsi="Calibri" w:cs="Calibri"/>
          <w:lang w:eastAsia="es-CL"/>
        </w:rPr>
        <w:t>.</w:t>
      </w:r>
    </w:p>
    <w:p w14:paraId="44EFE81C" w14:textId="77777777" w:rsidR="00A913BC" w:rsidRPr="004C5EE7" w:rsidRDefault="00A913BC" w:rsidP="00A913BC">
      <w:pPr>
        <w:tabs>
          <w:tab w:val="left" w:pos="0"/>
        </w:tabs>
        <w:spacing w:after="0" w:line="240" w:lineRule="auto"/>
      </w:pPr>
    </w:p>
    <w:p w14:paraId="42A84A92" w14:textId="53B0F459" w:rsidR="00A913BC" w:rsidRDefault="00A913BC" w:rsidP="00A913BC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CC087F">
        <w:t>709</w:t>
      </w:r>
      <w:r w:rsidR="007E375D">
        <w:t>.</w:t>
      </w:r>
      <w:r w:rsidR="00CC087F">
        <w:t>405</w:t>
      </w:r>
      <w:r w:rsidRPr="004C5EE7">
        <w:t xml:space="preserve"> personas que ingresaron a los </w:t>
      </w:r>
      <w:r>
        <w:t>2</w:t>
      </w:r>
      <w:r w:rsidR="007E375D">
        <w:t>5</w:t>
      </w:r>
      <w:r w:rsidRPr="004C5EE7">
        <w:t xml:space="preserve"> casinos </w:t>
      </w:r>
      <w:r>
        <w:t xml:space="preserve">en operación, lo que equivale a un </w:t>
      </w:r>
      <w:r w:rsidR="007E375D">
        <w:t xml:space="preserve">aumento de un </w:t>
      </w:r>
      <w:r w:rsidR="00CC087F">
        <w:t>42</w:t>
      </w:r>
      <w:r w:rsidR="007E375D">
        <w:t>% respecto de</w:t>
      </w:r>
      <w:r w:rsidR="00A83CB9">
        <w:t xml:space="preserve"> </w:t>
      </w:r>
      <w:r w:rsidR="00CC087F">
        <w:t>febrero</w:t>
      </w:r>
      <w:r w:rsidR="00A83CB9">
        <w:t xml:space="preserve"> 202</w:t>
      </w:r>
      <w:r w:rsidR="007E375D">
        <w:t>2</w:t>
      </w:r>
      <w:r w:rsidR="007B126C">
        <w:t>.</w:t>
      </w:r>
    </w:p>
    <w:p w14:paraId="4D41990E" w14:textId="77777777" w:rsidR="00A913BC" w:rsidRDefault="00A913BC" w:rsidP="00A913BC">
      <w:pPr>
        <w:tabs>
          <w:tab w:val="left" w:pos="0"/>
        </w:tabs>
        <w:spacing w:after="0" w:line="240" w:lineRule="auto"/>
      </w:pPr>
    </w:p>
    <w:p w14:paraId="7374E207" w14:textId="3535781D" w:rsidR="00EF4E0C" w:rsidRDefault="00A913BC" w:rsidP="009C36ED">
      <w:pPr>
        <w:spacing w:line="259" w:lineRule="auto"/>
        <w:rPr>
          <w:rFonts w:ascii="Calibri" w:hAnsi="Calibri" w:cs="Calibri"/>
          <w:b/>
          <w:sz w:val="21"/>
          <w:szCs w:val="21"/>
        </w:rPr>
      </w:pPr>
      <w:r>
        <w:t xml:space="preserve">Además, </w:t>
      </w:r>
      <w:r w:rsidRPr="004C5EE7">
        <w:t xml:space="preserve">durante </w:t>
      </w:r>
      <w:r w:rsidR="00CC087F">
        <w:t>febrero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 w:rsidR="007E375D">
        <w:t>69.368</w:t>
      </w:r>
      <w:r w:rsidRPr="009C3A3E">
        <w:t xml:space="preserve"> por visita, lo que implica u</w:t>
      </w:r>
      <w:r w:rsidR="007E375D">
        <w:t>na disminución en términos reales de un 3</w:t>
      </w:r>
      <w:r w:rsidR="006E4159">
        <w:t>4</w:t>
      </w:r>
      <w:r w:rsidR="007E375D">
        <w:t>% com</w:t>
      </w:r>
      <w:r w:rsidR="00A83CB9">
        <w:t xml:space="preserve">parado con </w:t>
      </w:r>
      <w:r w:rsidR="006E4159">
        <w:t>febrero</w:t>
      </w:r>
      <w:r w:rsidR="00A83CB9">
        <w:t xml:space="preserve"> de 202</w:t>
      </w:r>
      <w:r w:rsidR="007E375D">
        <w:t>2</w:t>
      </w:r>
      <w:r w:rsidR="009C36ED">
        <w:t xml:space="preserve">, normalizándose este indicador con la situación </w:t>
      </w:r>
      <w:proofErr w:type="spellStart"/>
      <w:r w:rsidR="009C36ED">
        <w:t>pre</w:t>
      </w:r>
      <w:r w:rsidR="004F239D">
        <w:t>-</w:t>
      </w:r>
      <w:r w:rsidR="009C36ED">
        <w:t>pandemia</w:t>
      </w:r>
      <w:proofErr w:type="spellEnd"/>
      <w:r w:rsidR="009C36ED">
        <w:t>.</w:t>
      </w:r>
    </w:p>
    <w:sectPr w:rsidR="00EF4E0C" w:rsidSect="00DC75C9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A8D4" w14:textId="77777777" w:rsidR="001914DF" w:rsidRDefault="001914DF" w:rsidP="00FD382C">
      <w:r>
        <w:separator/>
      </w:r>
    </w:p>
  </w:endnote>
  <w:endnote w:type="continuationSeparator" w:id="0">
    <w:p w14:paraId="4A313DF6" w14:textId="77777777" w:rsidR="001914DF" w:rsidRDefault="001914DF" w:rsidP="00FD382C">
      <w:r>
        <w:continuationSeparator/>
      </w:r>
    </w:p>
  </w:endnote>
  <w:endnote w:type="continuationNotice" w:id="1">
    <w:p w14:paraId="7AE64416" w14:textId="77777777" w:rsidR="00A805EF" w:rsidRDefault="00A80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B020" w14:textId="77777777" w:rsidR="001914DF" w:rsidRDefault="001914DF" w:rsidP="00FD382C">
      <w:r>
        <w:separator/>
      </w:r>
    </w:p>
  </w:footnote>
  <w:footnote w:type="continuationSeparator" w:id="0">
    <w:p w14:paraId="2111BA66" w14:textId="77777777" w:rsidR="001914DF" w:rsidRDefault="001914DF" w:rsidP="00FD382C">
      <w:r>
        <w:continuationSeparator/>
      </w:r>
    </w:p>
  </w:footnote>
  <w:footnote w:type="continuationNotice" w:id="1">
    <w:p w14:paraId="70F631CC" w14:textId="77777777" w:rsidR="00A805EF" w:rsidRDefault="00A805EF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1C87BCC2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4F239D">
      <w:rPr>
        <w:b/>
      </w:rPr>
      <w:t>Jueves 2</w:t>
    </w:r>
    <w:r w:rsidR="00AB342B">
      <w:rPr>
        <w:b/>
      </w:rPr>
      <w:t>1</w:t>
    </w:r>
    <w:r w:rsidR="00C07548">
      <w:rPr>
        <w:b/>
      </w:rPr>
      <w:t xml:space="preserve"> de </w:t>
    </w:r>
    <w:r w:rsidR="006E4159">
      <w:rPr>
        <w:b/>
      </w:rPr>
      <w:t>abril</w:t>
    </w:r>
    <w:r w:rsidR="008659CE">
      <w:rPr>
        <w:b/>
      </w:rPr>
      <w:t xml:space="preserve"> </w:t>
    </w:r>
    <w:r>
      <w:rPr>
        <w:b/>
      </w:rPr>
      <w:t>de 202</w:t>
    </w:r>
    <w:r w:rsidR="003101E4">
      <w:rPr>
        <w:b/>
      </w:rPr>
      <w:t>3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6EA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140C9"/>
    <w:rsid w:val="002217F8"/>
    <w:rsid w:val="00231FE9"/>
    <w:rsid w:val="00234145"/>
    <w:rsid w:val="002406D6"/>
    <w:rsid w:val="00242E1D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5B98"/>
    <w:rsid w:val="003861DA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59BE"/>
    <w:rsid w:val="004768DF"/>
    <w:rsid w:val="00480047"/>
    <w:rsid w:val="004830B6"/>
    <w:rsid w:val="004843DA"/>
    <w:rsid w:val="00484918"/>
    <w:rsid w:val="00484BF8"/>
    <w:rsid w:val="00491666"/>
    <w:rsid w:val="004942E1"/>
    <w:rsid w:val="00496A03"/>
    <w:rsid w:val="004A620A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239D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4916"/>
    <w:rsid w:val="005F0263"/>
    <w:rsid w:val="005F17F7"/>
    <w:rsid w:val="005F2731"/>
    <w:rsid w:val="006022DC"/>
    <w:rsid w:val="00603448"/>
    <w:rsid w:val="00604C42"/>
    <w:rsid w:val="00611B01"/>
    <w:rsid w:val="006124CA"/>
    <w:rsid w:val="00616099"/>
    <w:rsid w:val="00620E4A"/>
    <w:rsid w:val="00625D82"/>
    <w:rsid w:val="006320E4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6107D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B63F1"/>
    <w:rsid w:val="006C2E93"/>
    <w:rsid w:val="006C4C1B"/>
    <w:rsid w:val="006D0D1F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126C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0A7F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0A87"/>
    <w:rsid w:val="009265AF"/>
    <w:rsid w:val="009303C5"/>
    <w:rsid w:val="00932D63"/>
    <w:rsid w:val="00936EAE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6ED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4699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2FBC"/>
    <w:rsid w:val="00A541A3"/>
    <w:rsid w:val="00A55386"/>
    <w:rsid w:val="00A63E30"/>
    <w:rsid w:val="00A667EF"/>
    <w:rsid w:val="00A71A63"/>
    <w:rsid w:val="00A729EA"/>
    <w:rsid w:val="00A73100"/>
    <w:rsid w:val="00A74B36"/>
    <w:rsid w:val="00A805EF"/>
    <w:rsid w:val="00A80753"/>
    <w:rsid w:val="00A8087D"/>
    <w:rsid w:val="00A80DE9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7A88"/>
    <w:rsid w:val="00AA4471"/>
    <w:rsid w:val="00AB342B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6E4A"/>
    <w:rsid w:val="00B93B36"/>
    <w:rsid w:val="00BA3504"/>
    <w:rsid w:val="00BA4CC3"/>
    <w:rsid w:val="00BA7A93"/>
    <w:rsid w:val="00BB6F98"/>
    <w:rsid w:val="00BC029B"/>
    <w:rsid w:val="00BC3A5E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A81"/>
    <w:rsid w:val="00C04E04"/>
    <w:rsid w:val="00C07548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60FC7"/>
    <w:rsid w:val="00C62C46"/>
    <w:rsid w:val="00C64155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087F"/>
    <w:rsid w:val="00CC2C3C"/>
    <w:rsid w:val="00CC6392"/>
    <w:rsid w:val="00CC6B99"/>
    <w:rsid w:val="00CD5340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447C"/>
    <w:rsid w:val="00E76DF5"/>
    <w:rsid w:val="00E76E1B"/>
    <w:rsid w:val="00E8098C"/>
    <w:rsid w:val="00E80D82"/>
    <w:rsid w:val="00E80F2B"/>
    <w:rsid w:val="00E810C5"/>
    <w:rsid w:val="00E810F9"/>
    <w:rsid w:val="00E834D8"/>
    <w:rsid w:val="00E850D1"/>
    <w:rsid w:val="00E86146"/>
    <w:rsid w:val="00E86429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0265"/>
    <w:rsid w:val="00F3199D"/>
    <w:rsid w:val="00F3483A"/>
    <w:rsid w:val="00F35AD0"/>
    <w:rsid w:val="00F35E8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Desiree Navia Toro</cp:lastModifiedBy>
  <cp:revision>4</cp:revision>
  <cp:lastPrinted>2019-08-27T13:47:00Z</cp:lastPrinted>
  <dcterms:created xsi:type="dcterms:W3CDTF">2023-04-19T21:55:00Z</dcterms:created>
  <dcterms:modified xsi:type="dcterms:W3CDTF">2023-04-21T16:27:00Z</dcterms:modified>
</cp:coreProperties>
</file>