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4B43" w14:textId="158D2D22" w:rsidR="009736D6" w:rsidRDefault="00841503" w:rsidP="00CE3E25">
      <w:pPr>
        <w:rPr>
          <w:rFonts w:ascii="Calibri" w:hAnsi="Calibri" w:cs="Arial"/>
          <w:b/>
          <w:sz w:val="35"/>
          <w:szCs w:val="35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7B22F3" wp14:editId="3AF885EA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EA74A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00D6B486" w14:textId="13C1B9C6" w:rsidR="007C01C3" w:rsidRPr="002E2F19" w:rsidRDefault="007C01C3" w:rsidP="005A1281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Santiago,</w:t>
                            </w:r>
                            <w:r w:rsid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 </w:t>
                            </w:r>
                            <w:r w:rsidR="00B42965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lunes 30 de octubre de 2023</w:t>
                            </w:r>
                          </w:p>
                          <w:p w14:paraId="47D830A7" w14:textId="77777777" w:rsidR="007C01C3" w:rsidRPr="002E2F19" w:rsidRDefault="007C01C3" w:rsidP="00685B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  <w:p w14:paraId="4BCF4472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22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5.2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D7hR8O3AAAAAcBAAAPAAAAZHJzL2Rvd25yZXYueG1sTI/BTsMwEETvSPyDtUhcUGsTJQjS&#10;OFVVgTi3cOHmxtskarxOYrdJ+XqWExxnZjXztljPrhMXHEPrScPjUoFAqrxtqdbw+fG2eAYRoiFr&#10;Ok+o4YoB1uXtTWFy6yfa4WUfa8ElFHKjoYmxz6UMVYPOhKXvkTg7+tGZyHKspR3NxOWuk4lST9KZ&#10;lnihMT1uG6xO+7PT4KfXq/M4qOTh69u9bzfD7pgMWt/fzZsViIhz/DuGX3xGh5KZDv5MNohOAz8S&#10;NSxeVAaC4zTN2Dmwk2Ygy0L+5y9/AAAA//8DAFBLAQItABQABgAIAAAAIQC2gziS/gAAAOEBAAAT&#10;AAAAAAAAAAAAAAAAAAAAAABbQ29udGVudF9UeXBlc10ueG1sUEsBAi0AFAAGAAgAAAAhADj9If/W&#10;AAAAlAEAAAsAAAAAAAAAAAAAAAAALwEAAF9yZWxzLy5yZWxzUEsBAi0AFAAGAAgAAAAhAHPHg/UR&#10;AgAAKwQAAA4AAAAAAAAAAAAAAAAALgIAAGRycy9lMm9Eb2MueG1sUEsBAi0AFAAGAAgAAAAhAPuF&#10;Hw7cAAAABwEAAA8AAAAAAAAAAAAAAAAAawQAAGRycy9kb3ducmV2LnhtbFBLBQYAAAAABAAEAPMA&#10;AAB0BQAAAAA=&#10;" strokecolor="white">
                <v:textbox>
                  <w:txbxContent>
                    <w:p w14:paraId="15EEA74A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00D6B486" w14:textId="13C1B9C6" w:rsidR="007C01C3" w:rsidRPr="002E2F19" w:rsidRDefault="007C01C3" w:rsidP="005A1281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Santiago,</w:t>
                      </w:r>
                      <w:r w:rsid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 </w:t>
                      </w:r>
                      <w:r w:rsidR="00B42965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lunes 30 de octubre de 2023</w:t>
                      </w:r>
                    </w:p>
                    <w:p w14:paraId="47D830A7" w14:textId="77777777" w:rsidR="007C01C3" w:rsidRPr="002E2F19" w:rsidRDefault="007C01C3" w:rsidP="00685B9F">
                      <w:pPr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</w:p>
                    <w:p w14:paraId="4BCF4472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0B437" w14:textId="0309C2FA" w:rsidR="00CB7014" w:rsidRDefault="00CB7014" w:rsidP="00CB7014">
      <w:pPr>
        <w:jc w:val="both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>SCJ convoca a audiencia de apertura de ofertas económicas</w:t>
      </w:r>
      <w:r w:rsidR="00E17649">
        <w:rPr>
          <w:rFonts w:ascii="Calibri" w:hAnsi="Calibri" w:cs="Arial"/>
          <w:b/>
          <w:sz w:val="35"/>
          <w:szCs w:val="35"/>
        </w:rPr>
        <w:t xml:space="preserve"> para casinos de Antofagasta y Talca</w:t>
      </w:r>
      <w:r>
        <w:rPr>
          <w:rFonts w:ascii="Calibri" w:hAnsi="Calibri" w:cs="Arial"/>
          <w:b/>
          <w:sz w:val="35"/>
          <w:szCs w:val="35"/>
        </w:rPr>
        <w:t xml:space="preserve"> </w:t>
      </w:r>
    </w:p>
    <w:p w14:paraId="32B0E40E" w14:textId="4729C2F4" w:rsidR="004D406D" w:rsidRDefault="004D406D" w:rsidP="009736D6">
      <w:pPr>
        <w:jc w:val="both"/>
        <w:rPr>
          <w:rFonts w:ascii="Calibri" w:hAnsi="Calibri" w:cs="Arial"/>
          <w:b/>
          <w:sz w:val="35"/>
          <w:szCs w:val="35"/>
        </w:rPr>
      </w:pPr>
    </w:p>
    <w:p w14:paraId="6BDB872C" w14:textId="585322C6" w:rsidR="00B51E1E" w:rsidRPr="00B51E1E" w:rsidRDefault="00AD499B" w:rsidP="00B51E1E">
      <w:pPr>
        <w:jc w:val="both"/>
        <w:rPr>
          <w:rFonts w:asciiTheme="majorHAnsi" w:hAnsiTheme="majorHAnsi" w:cstheme="majorHAnsi"/>
          <w:sz w:val="22"/>
          <w:szCs w:val="22"/>
        </w:rPr>
      </w:pPr>
      <w:r w:rsidRPr="00B51E1E">
        <w:rPr>
          <w:rFonts w:asciiTheme="majorHAnsi" w:hAnsiTheme="majorHAnsi" w:cstheme="majorHAnsi"/>
          <w:sz w:val="22"/>
          <w:szCs w:val="22"/>
        </w:rPr>
        <w:t>La Superintendencia de Casinos de Juego (SCJ) informa que</w:t>
      </w:r>
      <w:r w:rsidR="00F86909" w:rsidRPr="00B51E1E">
        <w:rPr>
          <w:rFonts w:asciiTheme="majorHAnsi" w:hAnsiTheme="majorHAnsi" w:cstheme="majorHAnsi"/>
          <w:sz w:val="22"/>
          <w:szCs w:val="22"/>
        </w:rPr>
        <w:t xml:space="preserve"> en la sesión realizada el </w:t>
      </w:r>
      <w:r w:rsidR="00B42965" w:rsidRPr="00B51E1E">
        <w:rPr>
          <w:rFonts w:asciiTheme="majorHAnsi" w:hAnsiTheme="majorHAnsi" w:cstheme="majorHAnsi"/>
          <w:sz w:val="22"/>
          <w:szCs w:val="22"/>
        </w:rPr>
        <w:t xml:space="preserve">26 de octubre de 2023, </w:t>
      </w:r>
      <w:r w:rsidR="00BD1047">
        <w:rPr>
          <w:rFonts w:asciiTheme="majorHAnsi" w:hAnsiTheme="majorHAnsi" w:cstheme="majorHAnsi"/>
          <w:sz w:val="22"/>
          <w:szCs w:val="22"/>
        </w:rPr>
        <w:t>su</w:t>
      </w:r>
      <w:r w:rsidRPr="00B51E1E">
        <w:rPr>
          <w:rFonts w:asciiTheme="majorHAnsi" w:hAnsiTheme="majorHAnsi" w:cstheme="majorHAnsi"/>
          <w:sz w:val="22"/>
          <w:szCs w:val="22"/>
        </w:rPr>
        <w:t xml:space="preserve"> Consejo Resolutivo</w:t>
      </w:r>
      <w:r w:rsidR="00E10B1A" w:rsidRPr="00B51E1E">
        <w:rPr>
          <w:rFonts w:asciiTheme="majorHAnsi" w:hAnsiTheme="majorHAnsi" w:cstheme="majorHAnsi"/>
          <w:sz w:val="22"/>
          <w:szCs w:val="22"/>
        </w:rPr>
        <w:t xml:space="preserve"> </w:t>
      </w:r>
      <w:r w:rsidRPr="00B51E1E">
        <w:rPr>
          <w:rFonts w:asciiTheme="majorHAnsi" w:hAnsiTheme="majorHAnsi" w:cstheme="majorHAnsi"/>
          <w:sz w:val="22"/>
          <w:szCs w:val="22"/>
        </w:rPr>
        <w:t>ratificó</w:t>
      </w:r>
      <w:r w:rsidR="00F86909" w:rsidRPr="00B51E1E">
        <w:rPr>
          <w:rFonts w:asciiTheme="majorHAnsi" w:hAnsiTheme="majorHAnsi" w:cstheme="majorHAnsi"/>
          <w:sz w:val="22"/>
          <w:szCs w:val="22"/>
        </w:rPr>
        <w:t xml:space="preserve"> por unanimidad</w:t>
      </w:r>
      <w:r w:rsidR="00B51E1E" w:rsidRPr="00B51E1E">
        <w:rPr>
          <w:rFonts w:asciiTheme="majorHAnsi" w:hAnsiTheme="majorHAnsi" w:cstheme="majorHAnsi"/>
          <w:sz w:val="22"/>
          <w:szCs w:val="22"/>
        </w:rPr>
        <w:t xml:space="preserve"> </w:t>
      </w:r>
      <w:r w:rsidR="00B51E1E">
        <w:rPr>
          <w:rFonts w:asciiTheme="majorHAnsi" w:hAnsiTheme="majorHAnsi" w:cstheme="majorHAnsi"/>
          <w:sz w:val="22"/>
          <w:szCs w:val="22"/>
        </w:rPr>
        <w:t>las propuestas de evaluación técnica presentadas por este organismo regulador, determinándose el puntaje de los proyectos postulantes a un permiso de operación para casino de juego</w:t>
      </w:r>
      <w:r w:rsidR="00E72D29">
        <w:rPr>
          <w:rFonts w:asciiTheme="majorHAnsi" w:hAnsiTheme="majorHAnsi" w:cstheme="majorHAnsi"/>
          <w:sz w:val="22"/>
          <w:szCs w:val="22"/>
        </w:rPr>
        <w:t xml:space="preserve"> </w:t>
      </w:r>
      <w:r w:rsidR="00156FC2">
        <w:rPr>
          <w:rFonts w:asciiTheme="majorHAnsi" w:hAnsiTheme="majorHAnsi" w:cstheme="majorHAnsi"/>
          <w:sz w:val="22"/>
          <w:szCs w:val="22"/>
        </w:rPr>
        <w:t xml:space="preserve">de las </w:t>
      </w:r>
      <w:r w:rsidR="00B51E1E" w:rsidRPr="00B51E1E">
        <w:rPr>
          <w:rFonts w:asciiTheme="majorHAnsi" w:hAnsiTheme="majorHAnsi" w:cstheme="majorHAnsi"/>
          <w:sz w:val="22"/>
          <w:szCs w:val="22"/>
        </w:rPr>
        <w:t>sociedades Dalmacia Gamming S.A.</w:t>
      </w:r>
      <w:r w:rsidR="00B51E1E">
        <w:rPr>
          <w:rFonts w:asciiTheme="majorHAnsi" w:hAnsiTheme="majorHAnsi" w:cstheme="majorHAnsi"/>
          <w:sz w:val="22"/>
          <w:szCs w:val="22"/>
        </w:rPr>
        <w:t xml:space="preserve"> para la comuna </w:t>
      </w:r>
      <w:r w:rsidR="00BD1047">
        <w:rPr>
          <w:rFonts w:asciiTheme="majorHAnsi" w:hAnsiTheme="majorHAnsi" w:cstheme="majorHAnsi"/>
          <w:sz w:val="22"/>
          <w:szCs w:val="22"/>
        </w:rPr>
        <w:t xml:space="preserve">y región </w:t>
      </w:r>
      <w:r w:rsidR="00B51E1E">
        <w:rPr>
          <w:rFonts w:asciiTheme="majorHAnsi" w:hAnsiTheme="majorHAnsi" w:cstheme="majorHAnsi"/>
          <w:sz w:val="22"/>
          <w:szCs w:val="22"/>
        </w:rPr>
        <w:t>de Antofagasta; y</w:t>
      </w:r>
      <w:r w:rsidR="00CE698E">
        <w:rPr>
          <w:rFonts w:asciiTheme="majorHAnsi" w:hAnsiTheme="majorHAnsi" w:cstheme="majorHAnsi"/>
          <w:sz w:val="22"/>
          <w:szCs w:val="22"/>
        </w:rPr>
        <w:t xml:space="preserve"> de las sociedades</w:t>
      </w:r>
      <w:r w:rsidR="00B51E1E">
        <w:rPr>
          <w:rFonts w:asciiTheme="majorHAnsi" w:hAnsiTheme="majorHAnsi" w:cstheme="majorHAnsi"/>
          <w:sz w:val="22"/>
          <w:szCs w:val="22"/>
        </w:rPr>
        <w:t xml:space="preserve"> </w:t>
      </w:r>
      <w:r w:rsidR="00B51E1E" w:rsidRPr="00B51E1E">
        <w:rPr>
          <w:rFonts w:asciiTheme="majorHAnsi" w:hAnsiTheme="majorHAnsi" w:cstheme="majorHAnsi"/>
          <w:sz w:val="22"/>
          <w:szCs w:val="22"/>
        </w:rPr>
        <w:t>Casino de Juego de Talca S.A. y Sociedad de Ríos Claros S.A.</w:t>
      </w:r>
      <w:r w:rsidR="00CE698E">
        <w:rPr>
          <w:rFonts w:asciiTheme="majorHAnsi" w:hAnsiTheme="majorHAnsi" w:cstheme="majorHAnsi"/>
          <w:sz w:val="22"/>
          <w:szCs w:val="22"/>
        </w:rPr>
        <w:t xml:space="preserve"> </w:t>
      </w:r>
      <w:r w:rsidR="00B51E1E">
        <w:rPr>
          <w:rFonts w:asciiTheme="majorHAnsi" w:hAnsiTheme="majorHAnsi" w:cstheme="majorHAnsi"/>
          <w:sz w:val="22"/>
          <w:szCs w:val="22"/>
        </w:rPr>
        <w:t>para la comuna de Talca</w:t>
      </w:r>
      <w:r w:rsidR="00BD1047">
        <w:rPr>
          <w:rFonts w:asciiTheme="majorHAnsi" w:hAnsiTheme="majorHAnsi" w:cstheme="majorHAnsi"/>
          <w:sz w:val="22"/>
          <w:szCs w:val="22"/>
        </w:rPr>
        <w:t xml:space="preserve"> en la </w:t>
      </w:r>
      <w:r w:rsidR="002762AF">
        <w:rPr>
          <w:rFonts w:asciiTheme="majorHAnsi" w:hAnsiTheme="majorHAnsi" w:cstheme="majorHAnsi"/>
          <w:sz w:val="22"/>
          <w:szCs w:val="22"/>
        </w:rPr>
        <w:t>R</w:t>
      </w:r>
      <w:r w:rsidR="00BD1047">
        <w:rPr>
          <w:rFonts w:asciiTheme="majorHAnsi" w:hAnsiTheme="majorHAnsi" w:cstheme="majorHAnsi"/>
          <w:sz w:val="22"/>
          <w:szCs w:val="22"/>
        </w:rPr>
        <w:t>egión del Maule</w:t>
      </w:r>
      <w:r w:rsidR="00B51E1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FDDA0F0" w14:textId="77777777" w:rsidR="00B51E1E" w:rsidRDefault="00B51E1E" w:rsidP="00B51E1E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0768BDCD" w14:textId="64692FD1" w:rsidR="00F86909" w:rsidRPr="00964B2F" w:rsidRDefault="00CE698E" w:rsidP="000B6D6F">
      <w:pPr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Ratificada</w:t>
      </w:r>
      <w:r w:rsidRPr="00733D7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F86909">
        <w:rPr>
          <w:rFonts w:asciiTheme="majorHAnsi" w:hAnsiTheme="majorHAnsi" w:cstheme="majorHAnsi"/>
          <w:color w:val="000000"/>
          <w:sz w:val="22"/>
          <w:szCs w:val="22"/>
        </w:rPr>
        <w:t xml:space="preserve">dicha </w:t>
      </w:r>
      <w:r w:rsidR="00F86909" w:rsidRPr="00733D71">
        <w:rPr>
          <w:rFonts w:asciiTheme="majorHAnsi" w:hAnsiTheme="majorHAnsi" w:cstheme="majorHAnsi"/>
          <w:color w:val="000000"/>
          <w:sz w:val="22"/>
          <w:szCs w:val="22"/>
        </w:rPr>
        <w:t>evaluación</w:t>
      </w:r>
      <w:r w:rsidR="00F86909">
        <w:rPr>
          <w:rFonts w:asciiTheme="majorHAnsi" w:hAnsiTheme="majorHAnsi" w:cstheme="majorHAnsi"/>
          <w:color w:val="000000"/>
          <w:sz w:val="22"/>
          <w:szCs w:val="22"/>
        </w:rPr>
        <w:t xml:space="preserve"> técnica</w:t>
      </w:r>
      <w:r w:rsidR="00156FC2">
        <w:rPr>
          <w:rFonts w:asciiTheme="majorHAnsi" w:hAnsiTheme="majorHAnsi" w:cstheme="majorHAnsi"/>
          <w:color w:val="000000"/>
          <w:sz w:val="22"/>
          <w:szCs w:val="22"/>
        </w:rPr>
        <w:t xml:space="preserve">, la Superintendencia </w:t>
      </w:r>
      <w:r w:rsidR="00F86909">
        <w:rPr>
          <w:rFonts w:asciiTheme="majorHAnsi" w:hAnsiTheme="majorHAnsi" w:cstheme="majorHAnsi"/>
          <w:color w:val="000000"/>
          <w:sz w:val="22"/>
          <w:szCs w:val="22"/>
        </w:rPr>
        <w:t xml:space="preserve">emitió </w:t>
      </w:r>
      <w:r w:rsidR="005C07A8">
        <w:rPr>
          <w:rFonts w:asciiTheme="majorHAnsi" w:hAnsiTheme="majorHAnsi" w:cstheme="majorHAnsi"/>
          <w:color w:val="000000"/>
          <w:sz w:val="22"/>
          <w:szCs w:val="22"/>
        </w:rPr>
        <w:t>la Resolución Exenta N°</w:t>
      </w:r>
      <w:r w:rsidR="00156FC2">
        <w:rPr>
          <w:rFonts w:asciiTheme="majorHAnsi" w:hAnsiTheme="majorHAnsi" w:cstheme="majorHAnsi"/>
          <w:color w:val="000000"/>
          <w:sz w:val="22"/>
          <w:szCs w:val="22"/>
        </w:rPr>
        <w:t>854</w:t>
      </w:r>
      <w:r w:rsidR="00DB6704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EE7163">
        <w:rPr>
          <w:rFonts w:asciiTheme="majorHAnsi" w:hAnsiTheme="majorHAnsi" w:cstheme="majorHAnsi"/>
          <w:color w:val="000000"/>
          <w:sz w:val="22"/>
          <w:szCs w:val="22"/>
        </w:rPr>
        <w:t>–</w:t>
      </w:r>
      <w:r w:rsidR="00EE7163">
        <w:rPr>
          <w:rFonts w:asciiTheme="majorHAnsi" w:hAnsiTheme="majorHAnsi" w:cstheme="majorHAnsi"/>
          <w:sz w:val="22"/>
          <w:szCs w:val="22"/>
        </w:rPr>
        <w:t xml:space="preserve">que se </w:t>
      </w:r>
      <w:r w:rsidR="00DB6704">
        <w:rPr>
          <w:rFonts w:asciiTheme="majorHAnsi" w:hAnsiTheme="majorHAnsi" w:cstheme="majorHAnsi"/>
          <w:sz w:val="22"/>
          <w:szCs w:val="22"/>
        </w:rPr>
        <w:t>publica</w:t>
      </w:r>
      <w:r w:rsidR="00EE7163">
        <w:rPr>
          <w:rFonts w:asciiTheme="majorHAnsi" w:hAnsiTheme="majorHAnsi" w:cstheme="majorHAnsi"/>
          <w:sz w:val="22"/>
          <w:szCs w:val="22"/>
        </w:rPr>
        <w:t>rá e</w:t>
      </w:r>
      <w:r w:rsidR="00DB6704">
        <w:rPr>
          <w:rFonts w:asciiTheme="majorHAnsi" w:hAnsiTheme="majorHAnsi" w:cstheme="majorHAnsi"/>
          <w:sz w:val="22"/>
          <w:szCs w:val="22"/>
        </w:rPr>
        <w:t>n el Diario Oficial</w:t>
      </w:r>
      <w:r w:rsidR="00E17649">
        <w:rPr>
          <w:rFonts w:asciiTheme="majorHAnsi" w:hAnsiTheme="majorHAnsi" w:cstheme="majorHAnsi"/>
          <w:sz w:val="22"/>
          <w:szCs w:val="22"/>
        </w:rPr>
        <w:t>—</w:t>
      </w:r>
      <w:r w:rsidR="00DB6704">
        <w:rPr>
          <w:rFonts w:asciiTheme="majorHAnsi" w:hAnsiTheme="majorHAnsi" w:cstheme="majorHAnsi"/>
          <w:sz w:val="22"/>
          <w:szCs w:val="22"/>
        </w:rPr>
        <w:t xml:space="preserve">, </w:t>
      </w:r>
      <w:r w:rsidR="00F86909" w:rsidRPr="000B6D6F">
        <w:rPr>
          <w:rFonts w:asciiTheme="majorHAnsi" w:hAnsiTheme="majorHAnsi" w:cstheme="majorHAnsi"/>
          <w:sz w:val="22"/>
          <w:szCs w:val="22"/>
        </w:rPr>
        <w:t>informando los puntajes de las sociedades postulantes</w:t>
      </w:r>
      <w:r w:rsidR="00011B0B">
        <w:rPr>
          <w:rFonts w:asciiTheme="majorHAnsi" w:hAnsiTheme="majorHAnsi" w:cstheme="majorHAnsi"/>
          <w:sz w:val="22"/>
          <w:szCs w:val="22"/>
        </w:rPr>
        <w:t xml:space="preserve"> que </w:t>
      </w:r>
      <w:r w:rsidR="000B6D6F" w:rsidRPr="000B6D6F">
        <w:rPr>
          <w:rFonts w:asciiTheme="majorHAnsi" w:hAnsiTheme="majorHAnsi" w:cstheme="majorHAnsi"/>
          <w:sz w:val="22"/>
          <w:szCs w:val="22"/>
        </w:rPr>
        <w:t xml:space="preserve">superaron el puntaje mínimo ponderado </w:t>
      </w:r>
      <w:r w:rsidR="000B6D6F">
        <w:rPr>
          <w:rFonts w:asciiTheme="majorHAnsi" w:hAnsiTheme="majorHAnsi" w:cstheme="majorHAnsi"/>
          <w:sz w:val="22"/>
          <w:szCs w:val="22"/>
        </w:rPr>
        <w:t>establecido en la Ley N°</w:t>
      </w:r>
      <w:r w:rsidR="00011B0B">
        <w:rPr>
          <w:rFonts w:asciiTheme="majorHAnsi" w:hAnsiTheme="majorHAnsi" w:cstheme="majorHAnsi"/>
          <w:sz w:val="22"/>
          <w:szCs w:val="22"/>
        </w:rPr>
        <w:t>1</w:t>
      </w:r>
      <w:r w:rsidR="000B6D6F">
        <w:rPr>
          <w:rFonts w:asciiTheme="majorHAnsi" w:hAnsiTheme="majorHAnsi" w:cstheme="majorHAnsi"/>
          <w:sz w:val="22"/>
          <w:szCs w:val="22"/>
        </w:rPr>
        <w:t xml:space="preserve">9.995, </w:t>
      </w:r>
      <w:r w:rsidR="003D13CE">
        <w:rPr>
          <w:rFonts w:asciiTheme="majorHAnsi" w:hAnsiTheme="majorHAnsi" w:cstheme="majorHAnsi"/>
          <w:color w:val="000000"/>
          <w:sz w:val="22"/>
          <w:szCs w:val="22"/>
        </w:rPr>
        <w:t>que corresponde al</w:t>
      </w:r>
      <w:r w:rsidR="00F86909" w:rsidRPr="00733D71">
        <w:rPr>
          <w:rFonts w:asciiTheme="majorHAnsi" w:hAnsiTheme="majorHAnsi" w:cstheme="majorHAnsi"/>
          <w:color w:val="000000"/>
          <w:sz w:val="22"/>
          <w:szCs w:val="22"/>
        </w:rPr>
        <w:t xml:space="preserve"> 60% de la suma total de los puntajes, </w:t>
      </w:r>
      <w:r w:rsidR="000B6D6F">
        <w:rPr>
          <w:rFonts w:asciiTheme="majorHAnsi" w:hAnsiTheme="majorHAnsi" w:cstheme="majorHAnsi"/>
          <w:color w:val="000000"/>
          <w:sz w:val="22"/>
          <w:szCs w:val="22"/>
        </w:rPr>
        <w:t>lo que les permite pasar a la etapa de Apertura de Oferta Económica</w:t>
      </w:r>
      <w:r w:rsidR="000B6D6F" w:rsidRPr="00964B2F">
        <w:rPr>
          <w:rFonts w:asciiTheme="majorHAnsi" w:hAnsiTheme="majorHAnsi" w:cstheme="majorHAnsi"/>
          <w:b/>
          <w:color w:val="000000"/>
          <w:sz w:val="22"/>
          <w:szCs w:val="22"/>
        </w:rPr>
        <w:t>.</w:t>
      </w:r>
      <w:r w:rsidR="0004604B" w:rsidRPr="00964B2F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</w:p>
    <w:p w14:paraId="7BE9A238" w14:textId="4D013E9F" w:rsidR="000B6D6F" w:rsidRPr="00011B0B" w:rsidRDefault="000B6D6F" w:rsidP="000B6D6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4E4166C" w14:textId="6900328F" w:rsidR="00156FC2" w:rsidRDefault="00F4788E" w:rsidP="00156FC2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este contexto, </w:t>
      </w:r>
      <w:r w:rsidR="00964B2F">
        <w:rPr>
          <w:rFonts w:asciiTheme="majorHAnsi" w:hAnsiTheme="majorHAnsi" w:cstheme="majorHAnsi"/>
          <w:sz w:val="22"/>
          <w:szCs w:val="22"/>
        </w:rPr>
        <w:t>el</w:t>
      </w:r>
      <w:r w:rsidR="000B6D6F" w:rsidRPr="000B6D6F">
        <w:rPr>
          <w:rFonts w:asciiTheme="majorHAnsi" w:hAnsiTheme="majorHAnsi" w:cstheme="majorHAnsi"/>
          <w:sz w:val="22"/>
          <w:szCs w:val="22"/>
        </w:rPr>
        <w:t xml:space="preserve"> </w:t>
      </w:r>
      <w:r w:rsidR="00011B0B" w:rsidRPr="00011B0B">
        <w:rPr>
          <w:rFonts w:asciiTheme="majorHAnsi" w:hAnsiTheme="majorHAnsi" w:cstheme="majorHAnsi"/>
          <w:sz w:val="22"/>
          <w:szCs w:val="22"/>
        </w:rPr>
        <w:t xml:space="preserve">viernes </w:t>
      </w:r>
      <w:r w:rsidR="00156FC2">
        <w:rPr>
          <w:rFonts w:asciiTheme="majorHAnsi" w:hAnsiTheme="majorHAnsi" w:cstheme="majorHAnsi"/>
          <w:sz w:val="22"/>
          <w:szCs w:val="22"/>
        </w:rPr>
        <w:t xml:space="preserve">10 de noviembre de 2023, a las 15:00 horas, en las dependencias de la Superintendencia de Casinos de Juego </w:t>
      </w:r>
      <w:r w:rsidR="00E17649">
        <w:rPr>
          <w:rFonts w:asciiTheme="majorHAnsi" w:hAnsiTheme="majorHAnsi" w:cstheme="majorHAnsi"/>
          <w:sz w:val="22"/>
          <w:szCs w:val="22"/>
        </w:rPr>
        <w:t>(</w:t>
      </w:r>
      <w:r w:rsidR="00156FC2" w:rsidRPr="00156FC2">
        <w:rPr>
          <w:rFonts w:asciiTheme="majorHAnsi" w:hAnsiTheme="majorHAnsi" w:cstheme="majorHAnsi"/>
          <w:sz w:val="22"/>
          <w:szCs w:val="22"/>
        </w:rPr>
        <w:t>Morandé N°360, cuarto piso, comuna de Santiago</w:t>
      </w:r>
      <w:r w:rsidR="00E17649">
        <w:rPr>
          <w:rFonts w:asciiTheme="majorHAnsi" w:hAnsiTheme="majorHAnsi" w:cstheme="majorHAnsi"/>
          <w:sz w:val="22"/>
          <w:szCs w:val="22"/>
        </w:rPr>
        <w:t>)</w:t>
      </w:r>
      <w:r w:rsidR="00156FC2">
        <w:rPr>
          <w:rFonts w:asciiTheme="majorHAnsi" w:hAnsiTheme="majorHAnsi" w:cstheme="majorHAnsi"/>
          <w:sz w:val="22"/>
          <w:szCs w:val="22"/>
        </w:rPr>
        <w:t xml:space="preserve"> se</w:t>
      </w:r>
      <w:r w:rsidR="00156FC2" w:rsidRPr="00011B0B">
        <w:rPr>
          <w:rFonts w:asciiTheme="majorHAnsi" w:hAnsiTheme="majorHAnsi" w:cstheme="majorHAnsi"/>
          <w:sz w:val="22"/>
          <w:szCs w:val="22"/>
        </w:rPr>
        <w:t xml:space="preserve"> realizará la Audiencia Pública de Apertura de las Ofertas Económicas de </w:t>
      </w:r>
      <w:r w:rsidR="009A727E">
        <w:rPr>
          <w:rFonts w:asciiTheme="majorHAnsi" w:hAnsiTheme="majorHAnsi" w:cstheme="majorHAnsi"/>
          <w:sz w:val="22"/>
          <w:szCs w:val="22"/>
        </w:rPr>
        <w:t>las citadas sociedades.</w:t>
      </w:r>
    </w:p>
    <w:p w14:paraId="43CC3267" w14:textId="14FE7EFE" w:rsidR="000B6D6F" w:rsidRPr="000B6D6F" w:rsidRDefault="000B6D6F" w:rsidP="000B6D6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C3E4051" w14:textId="41CB2075" w:rsidR="00AD499B" w:rsidRDefault="0004604B" w:rsidP="0076352B">
      <w:pPr>
        <w:ind w:right="51"/>
        <w:jc w:val="both"/>
        <w:rPr>
          <w:rFonts w:asciiTheme="majorHAnsi" w:hAnsiTheme="majorHAnsi" w:cstheme="majorHAnsi"/>
          <w:b/>
          <w:sz w:val="22"/>
          <w:szCs w:val="22"/>
        </w:rPr>
      </w:pPr>
      <w:r w:rsidRPr="0004604B">
        <w:rPr>
          <w:rFonts w:asciiTheme="majorHAnsi" w:hAnsiTheme="majorHAnsi" w:cstheme="majorHAnsi"/>
          <w:b/>
          <w:sz w:val="22"/>
          <w:szCs w:val="22"/>
        </w:rPr>
        <w:t>Otorgamiento de Permiso de Operación para Casino de Juego</w:t>
      </w:r>
    </w:p>
    <w:p w14:paraId="28A8F59B" w14:textId="74E311A0" w:rsidR="0004604B" w:rsidRDefault="0004604B" w:rsidP="0076352B">
      <w:pPr>
        <w:ind w:right="51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F4F99CE" w14:textId="47A083B2" w:rsidR="0004604B" w:rsidRPr="00AB05F7" w:rsidRDefault="00CB268D" w:rsidP="0004604B">
      <w:pPr>
        <w:ind w:right="51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637BDB" w:rsidRPr="00AB05F7">
        <w:rPr>
          <w:rFonts w:asciiTheme="majorHAnsi" w:hAnsiTheme="majorHAnsi" w:cstheme="majorHAnsi"/>
          <w:sz w:val="22"/>
          <w:szCs w:val="22"/>
        </w:rPr>
        <w:t>egún lo e</w:t>
      </w:r>
      <w:r w:rsidR="0004604B" w:rsidRPr="00AB05F7">
        <w:rPr>
          <w:rFonts w:ascii="Calibri" w:hAnsi="Calibri" w:cs="Calibri"/>
          <w:color w:val="000000"/>
          <w:sz w:val="22"/>
          <w:szCs w:val="22"/>
        </w:rPr>
        <w:t>stablecido en el artículo 25 de la Ley N°19.995</w:t>
      </w:r>
      <w:r w:rsidR="00637BDB" w:rsidRPr="00AB05F7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04604B" w:rsidRPr="00AB05F7">
        <w:rPr>
          <w:rFonts w:ascii="Calibri" w:hAnsi="Calibri" w:cs="Calibri"/>
          <w:color w:val="000000"/>
          <w:sz w:val="22"/>
          <w:szCs w:val="22"/>
        </w:rPr>
        <w:t>“</w:t>
      </w:r>
      <w:r w:rsidR="00E17649">
        <w:rPr>
          <w:rFonts w:ascii="Calibri" w:hAnsi="Calibri" w:cs="Calibri"/>
          <w:i/>
          <w:color w:val="000000"/>
          <w:sz w:val="22"/>
          <w:szCs w:val="22"/>
        </w:rPr>
        <w:t>p</w:t>
      </w:r>
      <w:r w:rsidR="0004604B" w:rsidRPr="00AB05F7">
        <w:rPr>
          <w:rFonts w:ascii="Calibri" w:hAnsi="Calibri" w:cs="Calibri"/>
          <w:i/>
          <w:color w:val="000000"/>
          <w:sz w:val="22"/>
          <w:szCs w:val="22"/>
        </w:rPr>
        <w:t xml:space="preserve">ara obtener un permiso de operación se debe alcanzar, al menos, el 60% de la suma total de los puntajes ponderados establecidos en el reglamento y, a su vez, </w:t>
      </w:r>
      <w:r w:rsidR="0004604B" w:rsidRPr="00AB05F7">
        <w:rPr>
          <w:rFonts w:ascii="Calibri" w:hAnsi="Calibri" w:cs="Calibri"/>
          <w:bCs/>
          <w:i/>
          <w:color w:val="000000"/>
          <w:sz w:val="22"/>
          <w:szCs w:val="22"/>
        </w:rPr>
        <w:t>haber presentado la oferta económica más alta. El empate de las ofertas técnicas y económicas deberá ser dirimido conforme a lo establecido en el reglamento</w:t>
      </w:r>
      <w:r w:rsidR="0004604B" w:rsidRPr="00AB05F7">
        <w:rPr>
          <w:rFonts w:ascii="Calibri" w:hAnsi="Calibri" w:cs="Calibri"/>
          <w:bCs/>
          <w:color w:val="000000"/>
          <w:sz w:val="22"/>
          <w:szCs w:val="22"/>
        </w:rPr>
        <w:t>”</w:t>
      </w:r>
      <w:r w:rsidR="00F6093F">
        <w:rPr>
          <w:rFonts w:ascii="Calibri" w:hAnsi="Calibri" w:cs="Calibri"/>
          <w:bCs/>
          <w:color w:val="000000"/>
          <w:sz w:val="22"/>
          <w:szCs w:val="22"/>
        </w:rPr>
        <w:t xml:space="preserve">, teniendo presente asimismo </w:t>
      </w:r>
      <w:r w:rsidR="00F6093F">
        <w:rPr>
          <w:rFonts w:asciiTheme="majorHAnsi" w:hAnsiTheme="majorHAnsi" w:cstheme="majorHAnsi"/>
          <w:sz w:val="22"/>
          <w:szCs w:val="22"/>
        </w:rPr>
        <w:t xml:space="preserve">que </w:t>
      </w:r>
      <w:r w:rsidR="00F6093F" w:rsidRPr="00AB05F7">
        <w:rPr>
          <w:rFonts w:asciiTheme="majorHAnsi" w:hAnsiTheme="majorHAnsi" w:cstheme="majorHAnsi"/>
          <w:sz w:val="22"/>
          <w:szCs w:val="22"/>
        </w:rPr>
        <w:t>d</w:t>
      </w:r>
      <w:r w:rsidR="00F6093F" w:rsidRPr="00AB05F7">
        <w:rPr>
          <w:rFonts w:ascii="Calibri" w:hAnsi="Calibri" w:cs="Calibri"/>
          <w:color w:val="000000"/>
          <w:sz w:val="22"/>
          <w:szCs w:val="22"/>
        </w:rPr>
        <w:t xml:space="preserve">e acuerdo con el artículo 3° letra k) de la Ley N°19.995, </w:t>
      </w:r>
      <w:r w:rsidR="00F408EB">
        <w:rPr>
          <w:rFonts w:ascii="Calibri" w:hAnsi="Calibri" w:cs="Calibri"/>
          <w:color w:val="000000"/>
          <w:sz w:val="22"/>
          <w:szCs w:val="22"/>
        </w:rPr>
        <w:t xml:space="preserve">la oferta económica </w:t>
      </w:r>
      <w:r w:rsidR="00F6093F" w:rsidRPr="00AB05F7">
        <w:rPr>
          <w:rFonts w:ascii="Calibri" w:hAnsi="Calibri" w:cs="Calibri"/>
          <w:color w:val="000000"/>
          <w:sz w:val="22"/>
          <w:szCs w:val="22"/>
        </w:rPr>
        <w:t>corresponde al monto de dinero “</w:t>
      </w:r>
      <w:r w:rsidR="00F6093F" w:rsidRPr="00AB05F7">
        <w:rPr>
          <w:rFonts w:ascii="Calibri" w:hAnsi="Calibri" w:cs="Calibri"/>
          <w:i/>
          <w:color w:val="000000"/>
          <w:sz w:val="22"/>
          <w:szCs w:val="22"/>
        </w:rPr>
        <w:t>expresado en unidades de fomento, ofrecido por una sociedad postulante a un permiso de operación o renovación del mismo y recaudado por el Servicio de Tesorerías, que será pagado anualmente a la municipalidad correspondiente a la comuna en que se encuentre ubicado el casino</w:t>
      </w:r>
      <w:r w:rsidR="00F6093F" w:rsidRPr="00AB05F7">
        <w:rPr>
          <w:rFonts w:ascii="Calibri" w:hAnsi="Calibri" w:cs="Calibri"/>
          <w:color w:val="000000"/>
          <w:sz w:val="22"/>
          <w:szCs w:val="22"/>
        </w:rPr>
        <w:t>”</w:t>
      </w:r>
      <w:r w:rsidR="00F408EB">
        <w:rPr>
          <w:rFonts w:ascii="Calibri" w:hAnsi="Calibri" w:cs="Calibri"/>
          <w:color w:val="000000"/>
          <w:sz w:val="22"/>
          <w:szCs w:val="22"/>
        </w:rPr>
        <w:t>.</w:t>
      </w:r>
    </w:p>
    <w:p w14:paraId="469835C8" w14:textId="58541598" w:rsidR="00F4788E" w:rsidRDefault="00F4788E" w:rsidP="0004604B">
      <w:pPr>
        <w:ind w:right="51"/>
        <w:jc w:val="both"/>
        <w:rPr>
          <w:rFonts w:ascii="Calibri" w:hAnsi="Calibri" w:cs="Calibri"/>
          <w:bCs/>
          <w:color w:val="000000"/>
        </w:rPr>
      </w:pPr>
    </w:p>
    <w:p w14:paraId="3A8FA07D" w14:textId="6EFD6509" w:rsidR="00F4788E" w:rsidRPr="009A727E" w:rsidRDefault="009A727E" w:rsidP="0076352B">
      <w:pPr>
        <w:ind w:right="51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9A727E">
        <w:rPr>
          <w:rFonts w:asciiTheme="majorHAnsi" w:hAnsiTheme="majorHAnsi" w:cstheme="majorHAnsi"/>
          <w:b/>
          <w:bCs/>
          <w:sz w:val="22"/>
          <w:szCs w:val="22"/>
        </w:rPr>
        <w:t>Puntajes de evaluación técnica de proyectos</w:t>
      </w:r>
    </w:p>
    <w:p w14:paraId="24C2CDB0" w14:textId="77777777" w:rsidR="009A727E" w:rsidRDefault="009A727E" w:rsidP="0076352B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573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16"/>
        <w:gridCol w:w="2842"/>
        <w:gridCol w:w="1581"/>
      </w:tblGrid>
      <w:tr w:rsidR="009A727E" w:rsidRPr="009A727E" w14:paraId="014B268B" w14:textId="77777777" w:rsidTr="009A727E">
        <w:trPr>
          <w:trHeight w:val="392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91BB6B" w14:textId="77777777" w:rsidR="009A727E" w:rsidRPr="009A727E" w:rsidRDefault="009A727E" w:rsidP="006F0E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COMUNA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FD5FB" w14:textId="77777777" w:rsidR="009A727E" w:rsidRPr="009A727E" w:rsidRDefault="009A727E" w:rsidP="006F0E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SOCIEDAD POSTULANTE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0DD6A" w14:textId="77777777" w:rsidR="009A727E" w:rsidRPr="009A727E" w:rsidRDefault="009A727E" w:rsidP="006F0E3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PUNTAJE TOTAL</w:t>
            </w:r>
          </w:p>
        </w:tc>
      </w:tr>
      <w:tr w:rsidR="009A727E" w:rsidRPr="009A727E" w14:paraId="0766F80A" w14:textId="77777777" w:rsidTr="00FB7050">
        <w:trPr>
          <w:trHeight w:val="498"/>
          <w:jc w:val="center"/>
        </w:trPr>
        <w:tc>
          <w:tcPr>
            <w:tcW w:w="1316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25FB7" w14:textId="77777777" w:rsidR="009A727E" w:rsidRPr="009A727E" w:rsidRDefault="009A727E" w:rsidP="00FB70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sz w:val="22"/>
                <w:szCs w:val="22"/>
              </w:rPr>
              <w:t>Antofagasta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EEB251" w14:textId="3A11A230" w:rsidR="009A727E" w:rsidRPr="009A727E" w:rsidRDefault="009A727E" w:rsidP="00FB7050">
            <w:pPr>
              <w:ind w:left="127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sz w:val="22"/>
                <w:szCs w:val="22"/>
              </w:rPr>
              <w:t>Dalmacia Gamming S.A.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BB3A1" w14:textId="77777777" w:rsidR="009A727E" w:rsidRPr="009A727E" w:rsidRDefault="009A727E" w:rsidP="002F5FF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834,97</w:t>
            </w:r>
          </w:p>
        </w:tc>
      </w:tr>
      <w:tr w:rsidR="009A727E" w:rsidRPr="009A727E" w14:paraId="1B8CDE86" w14:textId="77777777" w:rsidTr="00FB7050">
        <w:trPr>
          <w:trHeight w:val="498"/>
          <w:jc w:val="center"/>
        </w:trPr>
        <w:tc>
          <w:tcPr>
            <w:tcW w:w="131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6553A" w14:textId="77777777" w:rsidR="009A727E" w:rsidRPr="009A727E" w:rsidRDefault="009A727E" w:rsidP="00FB70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sz w:val="22"/>
                <w:szCs w:val="22"/>
              </w:rPr>
              <w:t>Talca</w:t>
            </w:r>
          </w:p>
        </w:tc>
        <w:tc>
          <w:tcPr>
            <w:tcW w:w="284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5162" w14:textId="77777777" w:rsidR="009A727E" w:rsidRPr="009A727E" w:rsidRDefault="009A727E" w:rsidP="00FB7050">
            <w:pPr>
              <w:ind w:left="127"/>
              <w:jc w:val="center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9A727E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Casino de Juego de Talca S.A.</w:t>
            </w:r>
          </w:p>
        </w:tc>
        <w:tc>
          <w:tcPr>
            <w:tcW w:w="158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F0919" w14:textId="77777777" w:rsidR="009A727E" w:rsidRPr="009A727E" w:rsidRDefault="009A727E" w:rsidP="002F5FF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665,17</w:t>
            </w:r>
          </w:p>
        </w:tc>
      </w:tr>
      <w:tr w:rsidR="009A727E" w:rsidRPr="009A727E" w14:paraId="54262B52" w14:textId="77777777" w:rsidTr="00FB7050">
        <w:trPr>
          <w:trHeight w:val="498"/>
          <w:jc w:val="center"/>
        </w:trPr>
        <w:tc>
          <w:tcPr>
            <w:tcW w:w="1316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17760" w14:textId="77777777" w:rsidR="009A727E" w:rsidRPr="009A727E" w:rsidRDefault="009A727E" w:rsidP="00FB705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sz w:val="22"/>
                <w:szCs w:val="22"/>
              </w:rPr>
              <w:t>Talca</w:t>
            </w:r>
          </w:p>
        </w:tc>
        <w:tc>
          <w:tcPr>
            <w:tcW w:w="2842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D564C" w14:textId="5187DA1D" w:rsidR="009A727E" w:rsidRPr="009A727E" w:rsidRDefault="009A727E" w:rsidP="00FB7050">
            <w:pPr>
              <w:ind w:left="127"/>
              <w:jc w:val="center"/>
              <w:rPr>
                <w:rFonts w:asciiTheme="majorHAnsi" w:hAnsiTheme="majorHAnsi" w:cstheme="majorHAnsi"/>
                <w:sz w:val="22"/>
                <w:szCs w:val="22"/>
                <w:lang w:val="es-CL"/>
              </w:rPr>
            </w:pPr>
            <w:r w:rsidRPr="009A727E">
              <w:rPr>
                <w:rFonts w:asciiTheme="majorHAnsi" w:hAnsiTheme="majorHAnsi" w:cstheme="majorHAnsi"/>
                <w:sz w:val="22"/>
                <w:szCs w:val="22"/>
                <w:lang w:val="es-CL"/>
              </w:rPr>
              <w:t>Sociedad de Ríos Claros S.A.</w:t>
            </w:r>
          </w:p>
        </w:tc>
        <w:tc>
          <w:tcPr>
            <w:tcW w:w="1581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472D6" w14:textId="77777777" w:rsidR="009A727E" w:rsidRPr="009A727E" w:rsidRDefault="009A727E" w:rsidP="002F5FF1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A72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800,92</w:t>
            </w:r>
          </w:p>
        </w:tc>
      </w:tr>
    </w:tbl>
    <w:p w14:paraId="0A48B1C0" w14:textId="21D7D01E" w:rsidR="00F4788E" w:rsidRDefault="00F4788E" w:rsidP="0076352B">
      <w:pPr>
        <w:ind w:right="51"/>
        <w:jc w:val="both"/>
        <w:rPr>
          <w:rFonts w:asciiTheme="majorHAnsi" w:hAnsiTheme="majorHAnsi" w:cstheme="majorHAnsi"/>
          <w:sz w:val="22"/>
          <w:szCs w:val="22"/>
        </w:rPr>
      </w:pPr>
    </w:p>
    <w:p w14:paraId="3A9A2C10" w14:textId="6AF22501" w:rsidR="00F26D2F" w:rsidRDefault="009A727E" w:rsidP="004100F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Por otra parte, </w:t>
      </w:r>
      <w:r w:rsidR="000C45F8">
        <w:rPr>
          <w:rFonts w:asciiTheme="majorHAnsi" w:hAnsiTheme="majorHAnsi" w:cstheme="majorHAnsi"/>
          <w:sz w:val="22"/>
          <w:szCs w:val="22"/>
        </w:rPr>
        <w:t xml:space="preserve">también </w:t>
      </w:r>
      <w:r>
        <w:rPr>
          <w:rFonts w:asciiTheme="majorHAnsi" w:hAnsiTheme="majorHAnsi" w:cstheme="majorHAnsi"/>
          <w:sz w:val="22"/>
          <w:szCs w:val="22"/>
        </w:rPr>
        <w:t xml:space="preserve">en la citada sesión del 26 de octubre, </w:t>
      </w:r>
      <w:r w:rsidR="007B1D3D">
        <w:rPr>
          <w:rFonts w:asciiTheme="majorHAnsi" w:hAnsiTheme="majorHAnsi" w:cstheme="majorHAnsi"/>
          <w:sz w:val="22"/>
          <w:szCs w:val="22"/>
        </w:rPr>
        <w:t xml:space="preserve">el Consejo Resolutivo </w:t>
      </w:r>
      <w:r w:rsidR="000C45F8">
        <w:rPr>
          <w:rFonts w:asciiTheme="majorHAnsi" w:hAnsiTheme="majorHAnsi" w:cstheme="majorHAnsi"/>
          <w:sz w:val="22"/>
          <w:szCs w:val="22"/>
        </w:rPr>
        <w:t xml:space="preserve">de la SCJ </w:t>
      </w:r>
      <w:r w:rsidR="007B1D3D">
        <w:rPr>
          <w:rFonts w:asciiTheme="majorHAnsi" w:hAnsiTheme="majorHAnsi" w:cstheme="majorHAnsi"/>
          <w:sz w:val="22"/>
          <w:szCs w:val="22"/>
        </w:rPr>
        <w:t xml:space="preserve">decidió poner </w:t>
      </w:r>
      <w:r w:rsidR="00BD0A39">
        <w:rPr>
          <w:rFonts w:asciiTheme="majorHAnsi" w:hAnsiTheme="majorHAnsi" w:cstheme="majorHAnsi"/>
          <w:sz w:val="22"/>
          <w:szCs w:val="22"/>
        </w:rPr>
        <w:t xml:space="preserve">término a la evaluación de la </w:t>
      </w:r>
      <w:r w:rsidR="00BD0A39" w:rsidRPr="00BD0A39">
        <w:rPr>
          <w:rFonts w:asciiTheme="majorHAnsi" w:hAnsiTheme="majorHAnsi" w:cstheme="majorHAnsi"/>
          <w:sz w:val="22"/>
          <w:szCs w:val="22"/>
        </w:rPr>
        <w:t xml:space="preserve">propuesta presentada por </w:t>
      </w:r>
      <w:r w:rsidRPr="009A727E">
        <w:rPr>
          <w:rFonts w:asciiTheme="majorHAnsi" w:hAnsiTheme="majorHAnsi" w:cstheme="majorHAnsi"/>
          <w:sz w:val="22"/>
          <w:szCs w:val="22"/>
        </w:rPr>
        <w:t xml:space="preserve">Casino </w:t>
      </w:r>
      <w:r>
        <w:rPr>
          <w:rFonts w:asciiTheme="majorHAnsi" w:hAnsiTheme="majorHAnsi" w:cstheme="majorHAnsi"/>
          <w:sz w:val="22"/>
          <w:szCs w:val="22"/>
        </w:rPr>
        <w:t>d</w:t>
      </w:r>
      <w:r w:rsidRPr="009A727E">
        <w:rPr>
          <w:rFonts w:asciiTheme="majorHAnsi" w:hAnsiTheme="majorHAnsi" w:cstheme="majorHAnsi"/>
          <w:sz w:val="22"/>
          <w:szCs w:val="22"/>
        </w:rPr>
        <w:t xml:space="preserve">e Juegos </w:t>
      </w:r>
      <w:r>
        <w:rPr>
          <w:rFonts w:asciiTheme="majorHAnsi" w:hAnsiTheme="majorHAnsi" w:cstheme="majorHAnsi"/>
          <w:sz w:val="22"/>
          <w:szCs w:val="22"/>
        </w:rPr>
        <w:t>y</w:t>
      </w:r>
      <w:r w:rsidRPr="009A727E">
        <w:rPr>
          <w:rFonts w:asciiTheme="majorHAnsi" w:hAnsiTheme="majorHAnsi" w:cstheme="majorHAnsi"/>
          <w:sz w:val="22"/>
          <w:szCs w:val="22"/>
        </w:rPr>
        <w:t xml:space="preserve"> Entretenimiento </w:t>
      </w:r>
      <w:r>
        <w:rPr>
          <w:rFonts w:asciiTheme="majorHAnsi" w:hAnsiTheme="majorHAnsi" w:cstheme="majorHAnsi"/>
          <w:sz w:val="22"/>
          <w:szCs w:val="22"/>
        </w:rPr>
        <w:lastRenderedPageBreak/>
        <w:t>d</w:t>
      </w:r>
      <w:r w:rsidRPr="009A727E">
        <w:rPr>
          <w:rFonts w:asciiTheme="majorHAnsi" w:hAnsiTheme="majorHAnsi" w:cstheme="majorHAnsi"/>
          <w:sz w:val="22"/>
          <w:szCs w:val="22"/>
        </w:rPr>
        <w:t>e Antofagasta S.A.</w:t>
      </w:r>
      <w:r w:rsidR="00EE7163">
        <w:rPr>
          <w:rFonts w:asciiTheme="majorHAnsi" w:hAnsiTheme="majorHAnsi" w:cstheme="majorHAnsi"/>
          <w:sz w:val="22"/>
          <w:szCs w:val="22"/>
        </w:rPr>
        <w:t xml:space="preserve"> en la comuna de Antofagasta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="007B1D3D">
        <w:rPr>
          <w:rFonts w:asciiTheme="majorHAnsi" w:hAnsiTheme="majorHAnsi" w:cstheme="majorHAnsi"/>
          <w:sz w:val="22"/>
          <w:szCs w:val="22"/>
        </w:rPr>
        <w:t>ratificando la p</w:t>
      </w:r>
      <w:r w:rsidR="00BD0A39" w:rsidRPr="00BD0A39">
        <w:rPr>
          <w:rFonts w:asciiTheme="majorHAnsi" w:hAnsiTheme="majorHAnsi" w:cstheme="majorHAnsi"/>
          <w:sz w:val="22"/>
          <w:szCs w:val="22"/>
        </w:rPr>
        <w:t xml:space="preserve">ropuesta </w:t>
      </w:r>
      <w:r w:rsidR="007B1D3D">
        <w:rPr>
          <w:rFonts w:asciiTheme="majorHAnsi" w:hAnsiTheme="majorHAnsi" w:cstheme="majorHAnsi"/>
          <w:sz w:val="22"/>
          <w:szCs w:val="22"/>
        </w:rPr>
        <w:t xml:space="preserve">del </w:t>
      </w:r>
      <w:r w:rsidR="00BD0A39" w:rsidRPr="00BD0A39">
        <w:rPr>
          <w:rFonts w:asciiTheme="majorHAnsi" w:hAnsiTheme="majorHAnsi" w:cstheme="majorHAnsi"/>
          <w:sz w:val="22"/>
          <w:szCs w:val="22"/>
        </w:rPr>
        <w:t>Comité Técnico de Evaluación de la Superintendencia</w:t>
      </w:r>
      <w:r w:rsidR="00B30782">
        <w:rPr>
          <w:rFonts w:asciiTheme="majorHAnsi" w:hAnsiTheme="majorHAnsi" w:cstheme="majorHAnsi"/>
          <w:sz w:val="22"/>
          <w:szCs w:val="22"/>
        </w:rPr>
        <w:t xml:space="preserve">, lo que consta en </w:t>
      </w:r>
      <w:r>
        <w:rPr>
          <w:rFonts w:asciiTheme="majorHAnsi" w:hAnsiTheme="majorHAnsi" w:cstheme="majorHAnsi"/>
          <w:sz w:val="22"/>
          <w:szCs w:val="22"/>
        </w:rPr>
        <w:t xml:space="preserve">la </w:t>
      </w:r>
      <w:r w:rsidR="00B30782">
        <w:rPr>
          <w:rFonts w:asciiTheme="majorHAnsi" w:hAnsiTheme="majorHAnsi" w:cstheme="majorHAnsi"/>
          <w:sz w:val="22"/>
          <w:szCs w:val="22"/>
        </w:rPr>
        <w:t>Resolución Exenta N°</w:t>
      </w:r>
      <w:r>
        <w:rPr>
          <w:rFonts w:asciiTheme="majorHAnsi" w:hAnsiTheme="majorHAnsi" w:cstheme="majorHAnsi"/>
          <w:sz w:val="22"/>
          <w:szCs w:val="22"/>
        </w:rPr>
        <w:t>858</w:t>
      </w:r>
      <w:r w:rsidR="000C45F8">
        <w:rPr>
          <w:rFonts w:asciiTheme="majorHAnsi" w:hAnsiTheme="majorHAnsi" w:cstheme="majorHAnsi"/>
          <w:sz w:val="22"/>
          <w:szCs w:val="22"/>
        </w:rPr>
        <w:t>,</w:t>
      </w:r>
      <w:r w:rsidR="00474375" w:rsidRPr="00474375">
        <w:rPr>
          <w:rFonts w:asciiTheme="majorHAnsi" w:hAnsiTheme="majorHAnsi" w:cstheme="majorHAnsi"/>
          <w:sz w:val="22"/>
          <w:szCs w:val="22"/>
        </w:rPr>
        <w:t xml:space="preserve"> en</w:t>
      </w:r>
      <w:r w:rsidR="00474375">
        <w:rPr>
          <w:rFonts w:asciiTheme="majorHAnsi" w:hAnsiTheme="majorHAnsi" w:cstheme="majorHAnsi"/>
          <w:sz w:val="22"/>
          <w:szCs w:val="22"/>
        </w:rPr>
        <w:t xml:space="preserve"> </w:t>
      </w:r>
      <w:r w:rsidR="00474375" w:rsidRPr="00474375">
        <w:rPr>
          <w:rFonts w:asciiTheme="majorHAnsi" w:hAnsiTheme="majorHAnsi" w:cstheme="majorHAnsi"/>
          <w:sz w:val="22"/>
          <w:szCs w:val="22"/>
        </w:rPr>
        <w:t xml:space="preserve">consideración a que </w:t>
      </w:r>
      <w:r w:rsidR="006D1C0C">
        <w:rPr>
          <w:rFonts w:asciiTheme="majorHAnsi" w:hAnsiTheme="majorHAnsi" w:cstheme="majorHAnsi"/>
          <w:sz w:val="22"/>
          <w:szCs w:val="22"/>
        </w:rPr>
        <w:t xml:space="preserve">la sociedad postulante no cumplió con alguna de las </w:t>
      </w:r>
      <w:r w:rsidR="00474375" w:rsidRPr="00474375">
        <w:rPr>
          <w:rFonts w:asciiTheme="majorHAnsi" w:hAnsiTheme="majorHAnsi" w:cstheme="majorHAnsi"/>
          <w:sz w:val="22"/>
          <w:szCs w:val="22"/>
        </w:rPr>
        <w:t>obligaciones</w:t>
      </w:r>
      <w:r w:rsidR="006D1C0C">
        <w:rPr>
          <w:rFonts w:asciiTheme="majorHAnsi" w:hAnsiTheme="majorHAnsi" w:cstheme="majorHAnsi"/>
          <w:sz w:val="22"/>
          <w:szCs w:val="22"/>
        </w:rPr>
        <w:t xml:space="preserve"> establecidas en la Ley N°19.995, e</w:t>
      </w:r>
      <w:r w:rsidR="00474375" w:rsidRPr="00474375">
        <w:rPr>
          <w:rFonts w:asciiTheme="majorHAnsi" w:hAnsiTheme="majorHAnsi" w:cstheme="majorHAnsi"/>
          <w:sz w:val="22"/>
          <w:szCs w:val="22"/>
        </w:rPr>
        <w:t>n el Decreto Supremo N°1722, de Hacienda, de 2015 y en las Bases Técnica</w:t>
      </w:r>
      <w:r w:rsidR="006D1C0C">
        <w:rPr>
          <w:rFonts w:asciiTheme="majorHAnsi" w:hAnsiTheme="majorHAnsi" w:cstheme="majorHAnsi"/>
          <w:sz w:val="22"/>
          <w:szCs w:val="22"/>
        </w:rPr>
        <w:t xml:space="preserve">s. </w:t>
      </w:r>
    </w:p>
    <w:p w14:paraId="593F6D9E" w14:textId="77777777" w:rsidR="00F26D2F" w:rsidRDefault="00F26D2F" w:rsidP="004100F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4F3AB4" w14:textId="7B9DDA33" w:rsidR="00F26D2F" w:rsidRDefault="00E17649" w:rsidP="004100F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290CFA">
        <w:rPr>
          <w:rFonts w:asciiTheme="majorHAnsi" w:hAnsiTheme="majorHAnsi" w:cstheme="majorHAnsi"/>
          <w:sz w:val="22"/>
          <w:szCs w:val="22"/>
        </w:rPr>
        <w:t>n este caso</w:t>
      </w:r>
      <w:r>
        <w:rPr>
          <w:rFonts w:asciiTheme="majorHAnsi" w:hAnsiTheme="majorHAnsi" w:cstheme="majorHAnsi"/>
          <w:sz w:val="22"/>
          <w:szCs w:val="22"/>
        </w:rPr>
        <w:t>,</w:t>
      </w:r>
      <w:r w:rsidR="00290CFA">
        <w:rPr>
          <w:rFonts w:asciiTheme="majorHAnsi" w:hAnsiTheme="majorHAnsi" w:cstheme="majorHAnsi"/>
          <w:sz w:val="22"/>
          <w:szCs w:val="22"/>
        </w:rPr>
        <w:t xml:space="preserve"> </w:t>
      </w:r>
      <w:r w:rsidR="00CE698E">
        <w:rPr>
          <w:rFonts w:asciiTheme="majorHAnsi" w:hAnsiTheme="majorHAnsi" w:cstheme="majorHAnsi"/>
          <w:sz w:val="22"/>
          <w:szCs w:val="22"/>
        </w:rPr>
        <w:t xml:space="preserve">el </w:t>
      </w:r>
      <w:r w:rsidR="00CE698E" w:rsidRPr="009A727E">
        <w:rPr>
          <w:rFonts w:asciiTheme="majorHAnsi" w:hAnsiTheme="majorHAnsi" w:cstheme="majorHAnsi"/>
          <w:sz w:val="22"/>
          <w:szCs w:val="22"/>
        </w:rPr>
        <w:t xml:space="preserve">cálculo de la inversión total no incluyó la inversión en obra gruesa habitable </w:t>
      </w:r>
      <w:r w:rsidR="00CE698E">
        <w:rPr>
          <w:rFonts w:asciiTheme="majorHAnsi" w:hAnsiTheme="majorHAnsi" w:cstheme="majorHAnsi"/>
          <w:sz w:val="22"/>
          <w:szCs w:val="22"/>
        </w:rPr>
        <w:t xml:space="preserve">del inmueble en que operaría el proyecto, por lo que </w:t>
      </w:r>
      <w:r w:rsidR="006D1C0C">
        <w:rPr>
          <w:rFonts w:asciiTheme="majorHAnsi" w:hAnsiTheme="majorHAnsi" w:cstheme="majorHAnsi"/>
          <w:sz w:val="22"/>
          <w:szCs w:val="22"/>
        </w:rPr>
        <w:t xml:space="preserve">la </w:t>
      </w:r>
      <w:r w:rsidR="006D1C0C" w:rsidRPr="006D1C0C">
        <w:rPr>
          <w:rFonts w:asciiTheme="majorHAnsi" w:hAnsiTheme="majorHAnsi" w:cstheme="majorHAnsi"/>
          <w:sz w:val="22"/>
          <w:szCs w:val="22"/>
        </w:rPr>
        <w:t xml:space="preserve">boleta </w:t>
      </w:r>
      <w:r w:rsidR="00CE698E">
        <w:rPr>
          <w:rFonts w:asciiTheme="majorHAnsi" w:hAnsiTheme="majorHAnsi" w:cstheme="majorHAnsi"/>
          <w:sz w:val="22"/>
          <w:szCs w:val="22"/>
        </w:rPr>
        <w:t xml:space="preserve">de </w:t>
      </w:r>
      <w:r w:rsidR="006D1C0C">
        <w:rPr>
          <w:rFonts w:asciiTheme="majorHAnsi" w:hAnsiTheme="majorHAnsi" w:cstheme="majorHAnsi"/>
          <w:sz w:val="22"/>
          <w:szCs w:val="22"/>
        </w:rPr>
        <w:t>garant</w:t>
      </w:r>
      <w:r w:rsidR="00CE698E">
        <w:rPr>
          <w:rFonts w:asciiTheme="majorHAnsi" w:hAnsiTheme="majorHAnsi" w:cstheme="majorHAnsi"/>
          <w:sz w:val="22"/>
          <w:szCs w:val="22"/>
        </w:rPr>
        <w:t>ía equivalente al 5% de la inversión no cubre la inversión efectiva del proyecto postulado</w:t>
      </w:r>
      <w:r>
        <w:rPr>
          <w:rFonts w:asciiTheme="majorHAnsi" w:hAnsiTheme="majorHAnsi" w:cstheme="majorHAnsi"/>
          <w:sz w:val="22"/>
          <w:szCs w:val="22"/>
        </w:rPr>
        <w:t>.</w:t>
      </w:r>
      <w:r w:rsidR="006D1C0C">
        <w:rPr>
          <w:rFonts w:asciiTheme="majorHAnsi" w:hAnsiTheme="majorHAnsi" w:cstheme="majorHAnsi"/>
          <w:sz w:val="22"/>
          <w:szCs w:val="22"/>
        </w:rPr>
        <w:t xml:space="preserve"> </w:t>
      </w:r>
      <w:r w:rsidR="00CE698E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T</w:t>
      </w:r>
      <w:r w:rsidR="00CE698E">
        <w:rPr>
          <w:rFonts w:asciiTheme="majorHAnsi" w:hAnsiTheme="majorHAnsi" w:cstheme="majorHAnsi"/>
          <w:sz w:val="22"/>
          <w:szCs w:val="22"/>
        </w:rPr>
        <w:t>ampoco</w:t>
      </w:r>
      <w:r w:rsidR="006D1C0C">
        <w:rPr>
          <w:rFonts w:asciiTheme="majorHAnsi" w:hAnsiTheme="majorHAnsi" w:cstheme="majorHAnsi"/>
          <w:sz w:val="22"/>
          <w:szCs w:val="22"/>
        </w:rPr>
        <w:t xml:space="preserve"> fue </w:t>
      </w:r>
      <w:r w:rsidR="009A727E" w:rsidRPr="009A727E">
        <w:rPr>
          <w:rFonts w:asciiTheme="majorHAnsi" w:hAnsiTheme="majorHAnsi" w:cstheme="majorHAnsi"/>
          <w:sz w:val="22"/>
          <w:szCs w:val="22"/>
        </w:rPr>
        <w:t xml:space="preserve">posible </w:t>
      </w:r>
      <w:r w:rsidR="006E4ABE">
        <w:rPr>
          <w:rFonts w:asciiTheme="majorHAnsi" w:hAnsiTheme="majorHAnsi" w:cstheme="majorHAnsi"/>
          <w:sz w:val="22"/>
          <w:szCs w:val="22"/>
        </w:rPr>
        <w:t xml:space="preserve">concluir </w:t>
      </w:r>
      <w:r w:rsidR="009A727E" w:rsidRPr="009A727E">
        <w:rPr>
          <w:rFonts w:asciiTheme="majorHAnsi" w:hAnsiTheme="majorHAnsi" w:cstheme="majorHAnsi"/>
          <w:sz w:val="22"/>
          <w:szCs w:val="22"/>
        </w:rPr>
        <w:t>el origen y suficiencia de fondos al no poder acreditar el monto total de inversión, ni las fuentes de financiamiento</w:t>
      </w:r>
      <w:r w:rsidR="00B2372A">
        <w:rPr>
          <w:rFonts w:asciiTheme="majorHAnsi" w:hAnsiTheme="majorHAnsi" w:cstheme="majorHAnsi"/>
          <w:sz w:val="22"/>
          <w:szCs w:val="22"/>
        </w:rPr>
        <w:t xml:space="preserve"> </w:t>
      </w:r>
      <w:r w:rsidR="009A727E" w:rsidRPr="009A727E">
        <w:rPr>
          <w:rFonts w:asciiTheme="majorHAnsi" w:hAnsiTheme="majorHAnsi" w:cstheme="majorHAnsi"/>
          <w:sz w:val="22"/>
          <w:szCs w:val="22"/>
        </w:rPr>
        <w:t xml:space="preserve">para la </w:t>
      </w:r>
      <w:r w:rsidR="00F26D2F">
        <w:rPr>
          <w:rFonts w:asciiTheme="majorHAnsi" w:hAnsiTheme="majorHAnsi" w:cstheme="majorHAnsi"/>
          <w:sz w:val="22"/>
          <w:szCs w:val="22"/>
        </w:rPr>
        <w:t>ejecución del proyecto</w:t>
      </w:r>
      <w:r w:rsidR="00CE698E">
        <w:rPr>
          <w:rFonts w:asciiTheme="majorHAnsi" w:hAnsiTheme="majorHAnsi" w:cstheme="majorHAnsi"/>
          <w:sz w:val="22"/>
          <w:szCs w:val="22"/>
        </w:rPr>
        <w:t xml:space="preserve"> respecto de la inversión en obra gruesa habitable</w:t>
      </w:r>
      <w:r w:rsidR="00F26D2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10EFC4F" w14:textId="77777777" w:rsidR="00B2372A" w:rsidRDefault="00B2372A" w:rsidP="004100F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2F01777" w14:textId="658631C3" w:rsidR="009A0774" w:rsidRPr="009945E4" w:rsidRDefault="00E17649" w:rsidP="009945E4">
      <w:pPr>
        <w:jc w:val="both"/>
        <w:rPr>
          <w:rFonts w:asciiTheme="majorHAnsi" w:hAnsiTheme="majorHAnsi" w:cstheme="majorHAnsi"/>
          <w:sz w:val="22"/>
          <w:szCs w:val="22"/>
        </w:rPr>
      </w:pPr>
      <w:r w:rsidRPr="009945E4">
        <w:rPr>
          <w:rFonts w:asciiTheme="majorHAnsi" w:hAnsiTheme="majorHAnsi" w:cstheme="majorHAnsi"/>
          <w:sz w:val="22"/>
          <w:szCs w:val="22"/>
        </w:rPr>
        <w:t>L</w:t>
      </w:r>
      <w:r w:rsidR="00DB6704" w:rsidRPr="009945E4">
        <w:rPr>
          <w:rFonts w:asciiTheme="majorHAnsi" w:hAnsiTheme="majorHAnsi" w:cstheme="majorHAnsi"/>
          <w:sz w:val="22"/>
          <w:szCs w:val="22"/>
        </w:rPr>
        <w:t>os informes de evaluación técnica de los postulantes a un permiso de operación se encuentran disponibles en el sitio web de la Superintendencia</w:t>
      </w:r>
      <w:r w:rsidRPr="009945E4">
        <w:rPr>
          <w:rFonts w:asciiTheme="majorHAnsi" w:hAnsiTheme="majorHAnsi" w:cstheme="majorHAnsi"/>
          <w:sz w:val="22"/>
          <w:szCs w:val="22"/>
        </w:rPr>
        <w:t>:</w:t>
      </w:r>
      <w:r w:rsidR="00F62AA6" w:rsidRPr="009945E4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="009945E4" w:rsidRPr="001D5ECE">
          <w:rPr>
            <w:rStyle w:val="Hipervnculo"/>
            <w:rFonts w:asciiTheme="majorHAnsi" w:hAnsiTheme="majorHAnsi" w:cstheme="majorHAnsi"/>
            <w:sz w:val="22"/>
            <w:szCs w:val="22"/>
          </w:rPr>
          <w:t>https://www.scj.gob.cl/procesos-de-la-industria/otorgamiento-de-permiso-de-operacion/evaluacion-de-proyectos/2023</w:t>
        </w:r>
      </w:hyperlink>
    </w:p>
    <w:p w14:paraId="561F20BF" w14:textId="77777777" w:rsidR="009A0774" w:rsidRPr="009945E4" w:rsidRDefault="009A0774" w:rsidP="009945E4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882471" w14:textId="4290015B" w:rsidR="009A0774" w:rsidRDefault="009A0774" w:rsidP="009945E4">
      <w:pPr>
        <w:jc w:val="both"/>
        <w:rPr>
          <w:rFonts w:asciiTheme="majorHAnsi" w:hAnsiTheme="majorHAnsi" w:cstheme="majorHAnsi"/>
          <w:sz w:val="22"/>
          <w:szCs w:val="22"/>
        </w:rPr>
      </w:pPr>
      <w:r w:rsidRPr="009945E4">
        <w:rPr>
          <w:rFonts w:asciiTheme="majorHAnsi" w:hAnsiTheme="majorHAnsi" w:cstheme="majorHAnsi"/>
          <w:sz w:val="22"/>
          <w:szCs w:val="22"/>
        </w:rPr>
        <w:t xml:space="preserve">Asimismo, las respectivas resoluciones N°854 y N°858, se encuentran publicadas en el enlace: </w:t>
      </w:r>
      <w:hyperlink r:id="rId9" w:history="1">
        <w:r w:rsidRPr="009945E4">
          <w:rPr>
            <w:rStyle w:val="Hipervnculo"/>
            <w:rFonts w:asciiTheme="majorHAnsi" w:hAnsiTheme="majorHAnsi" w:cstheme="majorHAnsi"/>
            <w:sz w:val="22"/>
            <w:szCs w:val="22"/>
          </w:rPr>
          <w:t>https://www.scj.gob.cl/procesos-de-la-industria/otorgamiento-de-permiso-de-operacion/ratificacion-revision-evaluacion-tecnica/2023</w:t>
        </w:r>
      </w:hyperlink>
    </w:p>
    <w:sectPr w:rsidR="009A0774" w:rsidSect="00FE532E">
      <w:headerReference w:type="default" r:id="rId10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FA7D" w14:textId="77777777" w:rsidR="00FB53CD" w:rsidRDefault="00FB53CD" w:rsidP="00B15F33">
      <w:r>
        <w:separator/>
      </w:r>
    </w:p>
  </w:endnote>
  <w:endnote w:type="continuationSeparator" w:id="0">
    <w:p w14:paraId="31E723A5" w14:textId="77777777" w:rsidR="00FB53CD" w:rsidRDefault="00FB53CD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RCD+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458B8" w14:textId="77777777" w:rsidR="00FB53CD" w:rsidRDefault="00FB53CD" w:rsidP="00B15F33">
      <w:r>
        <w:separator/>
      </w:r>
    </w:p>
  </w:footnote>
  <w:footnote w:type="continuationSeparator" w:id="0">
    <w:p w14:paraId="71FA6880" w14:textId="77777777" w:rsidR="00FB53CD" w:rsidRDefault="00FB53CD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ACC7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ES_tradnl" w:eastAsia="es-ES_tradnl"/>
      </w:rPr>
      <w:drawing>
        <wp:inline distT="0" distB="0" distL="0" distR="0" wp14:anchorId="159F058C" wp14:editId="10A49B83">
          <wp:extent cx="2489200" cy="673100"/>
          <wp:effectExtent l="0" t="0" r="0" b="12700"/>
          <wp:docPr id="3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.5pt;height:4.5pt" o:bullet="t">
        <v:imagedata r:id="rId1" o:title=""/>
      </v:shape>
    </w:pict>
  </w:numPicBullet>
  <w:abstractNum w:abstractNumId="0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64D0AF5"/>
    <w:multiLevelType w:val="hybridMultilevel"/>
    <w:tmpl w:val="5A529732"/>
    <w:lvl w:ilvl="0" w:tplc="25045FA2">
      <w:start w:val="1"/>
      <w:numFmt w:val="lowerRoman"/>
      <w:lvlText w:val="%1."/>
      <w:lvlJc w:val="left"/>
      <w:pPr>
        <w:ind w:left="539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40" w:hanging="360"/>
      </w:pPr>
    </w:lvl>
    <w:lvl w:ilvl="2" w:tplc="340A001B" w:tentative="1">
      <w:start w:val="1"/>
      <w:numFmt w:val="lowerRoman"/>
      <w:lvlText w:val="%3."/>
      <w:lvlJc w:val="right"/>
      <w:pPr>
        <w:ind w:left="6060" w:hanging="180"/>
      </w:pPr>
    </w:lvl>
    <w:lvl w:ilvl="3" w:tplc="340A000F" w:tentative="1">
      <w:start w:val="1"/>
      <w:numFmt w:val="decimal"/>
      <w:lvlText w:val="%4."/>
      <w:lvlJc w:val="left"/>
      <w:pPr>
        <w:ind w:left="6780" w:hanging="360"/>
      </w:pPr>
    </w:lvl>
    <w:lvl w:ilvl="4" w:tplc="340A0019" w:tentative="1">
      <w:start w:val="1"/>
      <w:numFmt w:val="lowerLetter"/>
      <w:lvlText w:val="%5."/>
      <w:lvlJc w:val="left"/>
      <w:pPr>
        <w:ind w:left="7500" w:hanging="360"/>
      </w:pPr>
    </w:lvl>
    <w:lvl w:ilvl="5" w:tplc="340A001B" w:tentative="1">
      <w:start w:val="1"/>
      <w:numFmt w:val="lowerRoman"/>
      <w:lvlText w:val="%6."/>
      <w:lvlJc w:val="right"/>
      <w:pPr>
        <w:ind w:left="8220" w:hanging="180"/>
      </w:pPr>
    </w:lvl>
    <w:lvl w:ilvl="6" w:tplc="340A000F" w:tentative="1">
      <w:start w:val="1"/>
      <w:numFmt w:val="decimal"/>
      <w:lvlText w:val="%7."/>
      <w:lvlJc w:val="left"/>
      <w:pPr>
        <w:ind w:left="8940" w:hanging="360"/>
      </w:pPr>
    </w:lvl>
    <w:lvl w:ilvl="7" w:tplc="340A0019" w:tentative="1">
      <w:start w:val="1"/>
      <w:numFmt w:val="lowerLetter"/>
      <w:lvlText w:val="%8."/>
      <w:lvlJc w:val="left"/>
      <w:pPr>
        <w:ind w:left="9660" w:hanging="360"/>
      </w:pPr>
    </w:lvl>
    <w:lvl w:ilvl="8" w:tplc="340A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3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C26"/>
    <w:multiLevelType w:val="hybridMultilevel"/>
    <w:tmpl w:val="2D3469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FF1354C"/>
    <w:multiLevelType w:val="hybridMultilevel"/>
    <w:tmpl w:val="A41094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3329CB"/>
    <w:multiLevelType w:val="hybridMultilevel"/>
    <w:tmpl w:val="FFB08CB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962560">
    <w:abstractNumId w:val="9"/>
  </w:num>
  <w:num w:numId="2" w16cid:durableId="13456699">
    <w:abstractNumId w:val="7"/>
  </w:num>
  <w:num w:numId="3" w16cid:durableId="1483352008">
    <w:abstractNumId w:val="5"/>
  </w:num>
  <w:num w:numId="4" w16cid:durableId="59401283">
    <w:abstractNumId w:val="12"/>
  </w:num>
  <w:num w:numId="5" w16cid:durableId="177084648">
    <w:abstractNumId w:val="8"/>
  </w:num>
  <w:num w:numId="6" w16cid:durableId="228855516">
    <w:abstractNumId w:val="1"/>
  </w:num>
  <w:num w:numId="7" w16cid:durableId="1923953673">
    <w:abstractNumId w:val="0"/>
  </w:num>
  <w:num w:numId="8" w16cid:durableId="887571406">
    <w:abstractNumId w:val="10"/>
  </w:num>
  <w:num w:numId="9" w16cid:durableId="1280796492">
    <w:abstractNumId w:val="3"/>
  </w:num>
  <w:num w:numId="10" w16cid:durableId="1885290239">
    <w:abstractNumId w:val="4"/>
  </w:num>
  <w:num w:numId="11" w16cid:durableId="1123616959">
    <w:abstractNumId w:val="6"/>
  </w:num>
  <w:num w:numId="12" w16cid:durableId="485905230">
    <w:abstractNumId w:val="11"/>
  </w:num>
  <w:num w:numId="13" w16cid:durableId="2045329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529A"/>
    <w:rsid w:val="00006B06"/>
    <w:rsid w:val="00011B0B"/>
    <w:rsid w:val="00014FFD"/>
    <w:rsid w:val="000156D7"/>
    <w:rsid w:val="00023C4A"/>
    <w:rsid w:val="00033B78"/>
    <w:rsid w:val="000367D4"/>
    <w:rsid w:val="00040005"/>
    <w:rsid w:val="00043DAA"/>
    <w:rsid w:val="000456DE"/>
    <w:rsid w:val="00045C67"/>
    <w:rsid w:val="0004604B"/>
    <w:rsid w:val="000519ED"/>
    <w:rsid w:val="00056A64"/>
    <w:rsid w:val="000601C6"/>
    <w:rsid w:val="000631C9"/>
    <w:rsid w:val="00063F53"/>
    <w:rsid w:val="000669B6"/>
    <w:rsid w:val="00067394"/>
    <w:rsid w:val="000678EE"/>
    <w:rsid w:val="000719FC"/>
    <w:rsid w:val="00072518"/>
    <w:rsid w:val="00075ECD"/>
    <w:rsid w:val="000770DE"/>
    <w:rsid w:val="00086885"/>
    <w:rsid w:val="00086CD4"/>
    <w:rsid w:val="0009050A"/>
    <w:rsid w:val="000940D4"/>
    <w:rsid w:val="0009533D"/>
    <w:rsid w:val="000973A9"/>
    <w:rsid w:val="000A075D"/>
    <w:rsid w:val="000A309C"/>
    <w:rsid w:val="000A3743"/>
    <w:rsid w:val="000A741C"/>
    <w:rsid w:val="000B0CBE"/>
    <w:rsid w:val="000B6D6F"/>
    <w:rsid w:val="000C00C7"/>
    <w:rsid w:val="000C19C6"/>
    <w:rsid w:val="000C2206"/>
    <w:rsid w:val="000C3D49"/>
    <w:rsid w:val="000C3DA6"/>
    <w:rsid w:val="000C45F8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7E94"/>
    <w:rsid w:val="000F0BE5"/>
    <w:rsid w:val="000F3CA4"/>
    <w:rsid w:val="000F472C"/>
    <w:rsid w:val="000F5601"/>
    <w:rsid w:val="000F5780"/>
    <w:rsid w:val="000F726E"/>
    <w:rsid w:val="00101F8E"/>
    <w:rsid w:val="0010456A"/>
    <w:rsid w:val="00107E9D"/>
    <w:rsid w:val="0011166B"/>
    <w:rsid w:val="00111F50"/>
    <w:rsid w:val="00116422"/>
    <w:rsid w:val="0011757E"/>
    <w:rsid w:val="00120E98"/>
    <w:rsid w:val="001332DB"/>
    <w:rsid w:val="0013341D"/>
    <w:rsid w:val="001345C4"/>
    <w:rsid w:val="001352E6"/>
    <w:rsid w:val="00137D4B"/>
    <w:rsid w:val="00140549"/>
    <w:rsid w:val="001409C3"/>
    <w:rsid w:val="00143ADD"/>
    <w:rsid w:val="001447CC"/>
    <w:rsid w:val="00151994"/>
    <w:rsid w:val="00151C1B"/>
    <w:rsid w:val="00151FEA"/>
    <w:rsid w:val="00156FC2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81ADC"/>
    <w:rsid w:val="001831AB"/>
    <w:rsid w:val="00183FDC"/>
    <w:rsid w:val="001840A3"/>
    <w:rsid w:val="00184ABF"/>
    <w:rsid w:val="00187EB2"/>
    <w:rsid w:val="00193D2D"/>
    <w:rsid w:val="0019435B"/>
    <w:rsid w:val="00195FA9"/>
    <w:rsid w:val="00196495"/>
    <w:rsid w:val="00196964"/>
    <w:rsid w:val="00197563"/>
    <w:rsid w:val="001A0A26"/>
    <w:rsid w:val="001A4186"/>
    <w:rsid w:val="001A50F2"/>
    <w:rsid w:val="001A7C43"/>
    <w:rsid w:val="001A7D2B"/>
    <w:rsid w:val="001B0D2C"/>
    <w:rsid w:val="001B15F5"/>
    <w:rsid w:val="001B3169"/>
    <w:rsid w:val="001B59D0"/>
    <w:rsid w:val="001C09F1"/>
    <w:rsid w:val="001D09F7"/>
    <w:rsid w:val="001D121F"/>
    <w:rsid w:val="001D2D3E"/>
    <w:rsid w:val="001D3141"/>
    <w:rsid w:val="001D56DF"/>
    <w:rsid w:val="001D720C"/>
    <w:rsid w:val="001E0795"/>
    <w:rsid w:val="001E17A0"/>
    <w:rsid w:val="001E28B2"/>
    <w:rsid w:val="001E7024"/>
    <w:rsid w:val="001F100E"/>
    <w:rsid w:val="00200D1F"/>
    <w:rsid w:val="00201CFC"/>
    <w:rsid w:val="00201DCE"/>
    <w:rsid w:val="00202E1E"/>
    <w:rsid w:val="00206BA8"/>
    <w:rsid w:val="002074B6"/>
    <w:rsid w:val="00222133"/>
    <w:rsid w:val="00224782"/>
    <w:rsid w:val="00225766"/>
    <w:rsid w:val="002277BC"/>
    <w:rsid w:val="00234963"/>
    <w:rsid w:val="0023635A"/>
    <w:rsid w:val="002365F3"/>
    <w:rsid w:val="00250560"/>
    <w:rsid w:val="00251BFE"/>
    <w:rsid w:val="00252A9B"/>
    <w:rsid w:val="00253365"/>
    <w:rsid w:val="00261CDD"/>
    <w:rsid w:val="00262F82"/>
    <w:rsid w:val="00266FCE"/>
    <w:rsid w:val="00267CA8"/>
    <w:rsid w:val="002700D1"/>
    <w:rsid w:val="00273D26"/>
    <w:rsid w:val="00274BB7"/>
    <w:rsid w:val="002762AF"/>
    <w:rsid w:val="0028641D"/>
    <w:rsid w:val="00290CFA"/>
    <w:rsid w:val="0029288A"/>
    <w:rsid w:val="00294CCD"/>
    <w:rsid w:val="00295D24"/>
    <w:rsid w:val="00297558"/>
    <w:rsid w:val="002A6032"/>
    <w:rsid w:val="002B3F92"/>
    <w:rsid w:val="002B459C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5FF1"/>
    <w:rsid w:val="002F7F47"/>
    <w:rsid w:val="0030475B"/>
    <w:rsid w:val="00310938"/>
    <w:rsid w:val="00311B53"/>
    <w:rsid w:val="00313917"/>
    <w:rsid w:val="00313ABA"/>
    <w:rsid w:val="00314C93"/>
    <w:rsid w:val="00317B44"/>
    <w:rsid w:val="00322B98"/>
    <w:rsid w:val="00322C9E"/>
    <w:rsid w:val="003240D8"/>
    <w:rsid w:val="003261DB"/>
    <w:rsid w:val="003328EF"/>
    <w:rsid w:val="003335EF"/>
    <w:rsid w:val="0033380E"/>
    <w:rsid w:val="0035714B"/>
    <w:rsid w:val="0036086C"/>
    <w:rsid w:val="00365464"/>
    <w:rsid w:val="003665B8"/>
    <w:rsid w:val="00370675"/>
    <w:rsid w:val="00370C26"/>
    <w:rsid w:val="00380094"/>
    <w:rsid w:val="0038167A"/>
    <w:rsid w:val="0038183B"/>
    <w:rsid w:val="00390344"/>
    <w:rsid w:val="00391F10"/>
    <w:rsid w:val="00395FCA"/>
    <w:rsid w:val="003A06AB"/>
    <w:rsid w:val="003A450E"/>
    <w:rsid w:val="003A47D5"/>
    <w:rsid w:val="003A4BD3"/>
    <w:rsid w:val="003A4E01"/>
    <w:rsid w:val="003A6672"/>
    <w:rsid w:val="003A7BA3"/>
    <w:rsid w:val="003B01CB"/>
    <w:rsid w:val="003D13CE"/>
    <w:rsid w:val="003D1BB1"/>
    <w:rsid w:val="003D53AE"/>
    <w:rsid w:val="003D5DDE"/>
    <w:rsid w:val="003E236C"/>
    <w:rsid w:val="003F0917"/>
    <w:rsid w:val="003F17D8"/>
    <w:rsid w:val="003F27A2"/>
    <w:rsid w:val="003F3163"/>
    <w:rsid w:val="003F353E"/>
    <w:rsid w:val="003F5B7F"/>
    <w:rsid w:val="003F7AC8"/>
    <w:rsid w:val="00403B1C"/>
    <w:rsid w:val="004100F6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6B2D"/>
    <w:rsid w:val="0047144D"/>
    <w:rsid w:val="00472FCD"/>
    <w:rsid w:val="00474375"/>
    <w:rsid w:val="004748D5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D406D"/>
    <w:rsid w:val="004E04E2"/>
    <w:rsid w:val="004E1B12"/>
    <w:rsid w:val="004E44A4"/>
    <w:rsid w:val="004F1266"/>
    <w:rsid w:val="004F1F83"/>
    <w:rsid w:val="004F2787"/>
    <w:rsid w:val="004F51D3"/>
    <w:rsid w:val="005015A7"/>
    <w:rsid w:val="00507DFB"/>
    <w:rsid w:val="00510B93"/>
    <w:rsid w:val="005209DF"/>
    <w:rsid w:val="005236F9"/>
    <w:rsid w:val="00525B4B"/>
    <w:rsid w:val="00525E9C"/>
    <w:rsid w:val="005317C1"/>
    <w:rsid w:val="005354B9"/>
    <w:rsid w:val="00537134"/>
    <w:rsid w:val="0054102E"/>
    <w:rsid w:val="005416B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64E72"/>
    <w:rsid w:val="00566478"/>
    <w:rsid w:val="005711FA"/>
    <w:rsid w:val="005715BB"/>
    <w:rsid w:val="005725EB"/>
    <w:rsid w:val="00572DF2"/>
    <w:rsid w:val="0057495F"/>
    <w:rsid w:val="00583F8C"/>
    <w:rsid w:val="00585AC3"/>
    <w:rsid w:val="005915E3"/>
    <w:rsid w:val="00591D2F"/>
    <w:rsid w:val="0059367B"/>
    <w:rsid w:val="00593FE5"/>
    <w:rsid w:val="00597C95"/>
    <w:rsid w:val="00597F7C"/>
    <w:rsid w:val="005A01DC"/>
    <w:rsid w:val="005A1281"/>
    <w:rsid w:val="005B02CE"/>
    <w:rsid w:val="005B3F00"/>
    <w:rsid w:val="005B41A9"/>
    <w:rsid w:val="005B6A3F"/>
    <w:rsid w:val="005B7F84"/>
    <w:rsid w:val="005C07A8"/>
    <w:rsid w:val="005C1413"/>
    <w:rsid w:val="005C3D80"/>
    <w:rsid w:val="005C4D21"/>
    <w:rsid w:val="005C5FDA"/>
    <w:rsid w:val="005C7EEA"/>
    <w:rsid w:val="005D4E66"/>
    <w:rsid w:val="005D63FE"/>
    <w:rsid w:val="005D7750"/>
    <w:rsid w:val="005E147C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673B"/>
    <w:rsid w:val="00606F73"/>
    <w:rsid w:val="00611B7F"/>
    <w:rsid w:val="0061233D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2795B"/>
    <w:rsid w:val="00633984"/>
    <w:rsid w:val="00634469"/>
    <w:rsid w:val="00636735"/>
    <w:rsid w:val="00637BDB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310"/>
    <w:rsid w:val="00663C49"/>
    <w:rsid w:val="0066510B"/>
    <w:rsid w:val="006671D4"/>
    <w:rsid w:val="00670AF7"/>
    <w:rsid w:val="00671C60"/>
    <w:rsid w:val="00672C19"/>
    <w:rsid w:val="006812EE"/>
    <w:rsid w:val="00681FAD"/>
    <w:rsid w:val="006841FD"/>
    <w:rsid w:val="00685766"/>
    <w:rsid w:val="00685974"/>
    <w:rsid w:val="00685B9F"/>
    <w:rsid w:val="00690D4E"/>
    <w:rsid w:val="00696C86"/>
    <w:rsid w:val="00696E7C"/>
    <w:rsid w:val="006A1743"/>
    <w:rsid w:val="006A2020"/>
    <w:rsid w:val="006A2B7F"/>
    <w:rsid w:val="006A4223"/>
    <w:rsid w:val="006A46F3"/>
    <w:rsid w:val="006A4CFF"/>
    <w:rsid w:val="006B7B2A"/>
    <w:rsid w:val="006C0ACE"/>
    <w:rsid w:val="006C24CD"/>
    <w:rsid w:val="006C2D01"/>
    <w:rsid w:val="006C3A16"/>
    <w:rsid w:val="006C478A"/>
    <w:rsid w:val="006C4EE2"/>
    <w:rsid w:val="006C6218"/>
    <w:rsid w:val="006D1C0C"/>
    <w:rsid w:val="006D4595"/>
    <w:rsid w:val="006D538B"/>
    <w:rsid w:val="006D688E"/>
    <w:rsid w:val="006E02AA"/>
    <w:rsid w:val="006E0A35"/>
    <w:rsid w:val="006E4ABE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C10"/>
    <w:rsid w:val="00726D2B"/>
    <w:rsid w:val="00731899"/>
    <w:rsid w:val="007333FF"/>
    <w:rsid w:val="007336AA"/>
    <w:rsid w:val="00733D71"/>
    <w:rsid w:val="00741BF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52B"/>
    <w:rsid w:val="007637DC"/>
    <w:rsid w:val="00764873"/>
    <w:rsid w:val="007654BC"/>
    <w:rsid w:val="00767E87"/>
    <w:rsid w:val="00771220"/>
    <w:rsid w:val="007717C2"/>
    <w:rsid w:val="007730C0"/>
    <w:rsid w:val="00775477"/>
    <w:rsid w:val="00775BC3"/>
    <w:rsid w:val="00775DCB"/>
    <w:rsid w:val="00777799"/>
    <w:rsid w:val="007817F7"/>
    <w:rsid w:val="00790322"/>
    <w:rsid w:val="00790DF5"/>
    <w:rsid w:val="00792249"/>
    <w:rsid w:val="0079275F"/>
    <w:rsid w:val="00795606"/>
    <w:rsid w:val="007A132A"/>
    <w:rsid w:val="007A3342"/>
    <w:rsid w:val="007B1D3D"/>
    <w:rsid w:val="007B4216"/>
    <w:rsid w:val="007B4801"/>
    <w:rsid w:val="007B54F4"/>
    <w:rsid w:val="007B7D5F"/>
    <w:rsid w:val="007C01C3"/>
    <w:rsid w:val="007C5471"/>
    <w:rsid w:val="007D0898"/>
    <w:rsid w:val="007D7E7B"/>
    <w:rsid w:val="007E0A10"/>
    <w:rsid w:val="007E489C"/>
    <w:rsid w:val="007E6A3D"/>
    <w:rsid w:val="007F0F33"/>
    <w:rsid w:val="007F16E6"/>
    <w:rsid w:val="007F39BE"/>
    <w:rsid w:val="007F69FF"/>
    <w:rsid w:val="007F6D13"/>
    <w:rsid w:val="007F7F96"/>
    <w:rsid w:val="00804EB4"/>
    <w:rsid w:val="0080717E"/>
    <w:rsid w:val="00807FEA"/>
    <w:rsid w:val="00814FC9"/>
    <w:rsid w:val="0081611E"/>
    <w:rsid w:val="00817648"/>
    <w:rsid w:val="00817BB3"/>
    <w:rsid w:val="00823186"/>
    <w:rsid w:val="00830ABE"/>
    <w:rsid w:val="00830B4C"/>
    <w:rsid w:val="00831235"/>
    <w:rsid w:val="00831A50"/>
    <w:rsid w:val="008336FE"/>
    <w:rsid w:val="0083457C"/>
    <w:rsid w:val="0083547D"/>
    <w:rsid w:val="00835C8C"/>
    <w:rsid w:val="008364A1"/>
    <w:rsid w:val="00841503"/>
    <w:rsid w:val="0084307D"/>
    <w:rsid w:val="0084434F"/>
    <w:rsid w:val="008459BC"/>
    <w:rsid w:val="008508EB"/>
    <w:rsid w:val="0085130B"/>
    <w:rsid w:val="0085380A"/>
    <w:rsid w:val="00855A1C"/>
    <w:rsid w:val="00856252"/>
    <w:rsid w:val="00856344"/>
    <w:rsid w:val="008624DC"/>
    <w:rsid w:val="00866A83"/>
    <w:rsid w:val="00867861"/>
    <w:rsid w:val="008771B8"/>
    <w:rsid w:val="0088259B"/>
    <w:rsid w:val="0089082D"/>
    <w:rsid w:val="0089218B"/>
    <w:rsid w:val="0089404A"/>
    <w:rsid w:val="008A2CA8"/>
    <w:rsid w:val="008A7152"/>
    <w:rsid w:val="008B0AE0"/>
    <w:rsid w:val="008B17EB"/>
    <w:rsid w:val="008B2438"/>
    <w:rsid w:val="008C191D"/>
    <w:rsid w:val="008C1C9A"/>
    <w:rsid w:val="008C3BC7"/>
    <w:rsid w:val="008D4433"/>
    <w:rsid w:val="008D56CB"/>
    <w:rsid w:val="008D7D78"/>
    <w:rsid w:val="008E0AF1"/>
    <w:rsid w:val="008E0E61"/>
    <w:rsid w:val="008E29F8"/>
    <w:rsid w:val="008E6D14"/>
    <w:rsid w:val="008F1A2D"/>
    <w:rsid w:val="008F1AE6"/>
    <w:rsid w:val="008F3903"/>
    <w:rsid w:val="008F52BE"/>
    <w:rsid w:val="008F6D3A"/>
    <w:rsid w:val="008F75A4"/>
    <w:rsid w:val="00900C25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1DF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578B"/>
    <w:rsid w:val="00956D34"/>
    <w:rsid w:val="00956DE4"/>
    <w:rsid w:val="00960986"/>
    <w:rsid w:val="009648AF"/>
    <w:rsid w:val="00964B2F"/>
    <w:rsid w:val="009657FF"/>
    <w:rsid w:val="009664DF"/>
    <w:rsid w:val="009718D2"/>
    <w:rsid w:val="009736D6"/>
    <w:rsid w:val="009807A6"/>
    <w:rsid w:val="00981D25"/>
    <w:rsid w:val="009857C8"/>
    <w:rsid w:val="009858AF"/>
    <w:rsid w:val="00990AB4"/>
    <w:rsid w:val="00991B3C"/>
    <w:rsid w:val="00993638"/>
    <w:rsid w:val="00993A1A"/>
    <w:rsid w:val="009945E4"/>
    <w:rsid w:val="0099692E"/>
    <w:rsid w:val="009A0774"/>
    <w:rsid w:val="009A0D87"/>
    <w:rsid w:val="009A1949"/>
    <w:rsid w:val="009A1C9B"/>
    <w:rsid w:val="009A3A4D"/>
    <w:rsid w:val="009A727E"/>
    <w:rsid w:val="009A780F"/>
    <w:rsid w:val="009B1539"/>
    <w:rsid w:val="009B4FEF"/>
    <w:rsid w:val="009B562A"/>
    <w:rsid w:val="009B6684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5418"/>
    <w:rsid w:val="009F719E"/>
    <w:rsid w:val="009F77AC"/>
    <w:rsid w:val="00A00D68"/>
    <w:rsid w:val="00A014C9"/>
    <w:rsid w:val="00A03738"/>
    <w:rsid w:val="00A0525C"/>
    <w:rsid w:val="00A10F87"/>
    <w:rsid w:val="00A11A25"/>
    <w:rsid w:val="00A1258C"/>
    <w:rsid w:val="00A13929"/>
    <w:rsid w:val="00A13A17"/>
    <w:rsid w:val="00A14CF0"/>
    <w:rsid w:val="00A17523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2EC"/>
    <w:rsid w:val="00A5730A"/>
    <w:rsid w:val="00A57648"/>
    <w:rsid w:val="00A60232"/>
    <w:rsid w:val="00A60FD3"/>
    <w:rsid w:val="00A6178C"/>
    <w:rsid w:val="00A63A7A"/>
    <w:rsid w:val="00A64E9D"/>
    <w:rsid w:val="00A64EAD"/>
    <w:rsid w:val="00A67FDB"/>
    <w:rsid w:val="00A737A8"/>
    <w:rsid w:val="00A74C26"/>
    <w:rsid w:val="00A763F2"/>
    <w:rsid w:val="00A765E2"/>
    <w:rsid w:val="00A822EF"/>
    <w:rsid w:val="00A829B9"/>
    <w:rsid w:val="00A85344"/>
    <w:rsid w:val="00A85D11"/>
    <w:rsid w:val="00A87C02"/>
    <w:rsid w:val="00A9318F"/>
    <w:rsid w:val="00A93853"/>
    <w:rsid w:val="00A95C6E"/>
    <w:rsid w:val="00A96678"/>
    <w:rsid w:val="00AA1549"/>
    <w:rsid w:val="00AA1A9E"/>
    <w:rsid w:val="00AA2596"/>
    <w:rsid w:val="00AA4144"/>
    <w:rsid w:val="00AA5C4F"/>
    <w:rsid w:val="00AA6688"/>
    <w:rsid w:val="00AB05F7"/>
    <w:rsid w:val="00AB3FBE"/>
    <w:rsid w:val="00AB5DF9"/>
    <w:rsid w:val="00AC0779"/>
    <w:rsid w:val="00AC2660"/>
    <w:rsid w:val="00AC5FD3"/>
    <w:rsid w:val="00AC769F"/>
    <w:rsid w:val="00AD14F3"/>
    <w:rsid w:val="00AD1F29"/>
    <w:rsid w:val="00AD24FB"/>
    <w:rsid w:val="00AD3705"/>
    <w:rsid w:val="00AD45C6"/>
    <w:rsid w:val="00AD499B"/>
    <w:rsid w:val="00AD4E16"/>
    <w:rsid w:val="00AD5D12"/>
    <w:rsid w:val="00AE2F0E"/>
    <w:rsid w:val="00AE364F"/>
    <w:rsid w:val="00AE3E34"/>
    <w:rsid w:val="00B02441"/>
    <w:rsid w:val="00B076E2"/>
    <w:rsid w:val="00B07CBC"/>
    <w:rsid w:val="00B11606"/>
    <w:rsid w:val="00B148E5"/>
    <w:rsid w:val="00B15F33"/>
    <w:rsid w:val="00B16885"/>
    <w:rsid w:val="00B16B4A"/>
    <w:rsid w:val="00B17BDA"/>
    <w:rsid w:val="00B21D6F"/>
    <w:rsid w:val="00B2372A"/>
    <w:rsid w:val="00B24972"/>
    <w:rsid w:val="00B25734"/>
    <w:rsid w:val="00B30782"/>
    <w:rsid w:val="00B31EA7"/>
    <w:rsid w:val="00B35519"/>
    <w:rsid w:val="00B35DF1"/>
    <w:rsid w:val="00B3653A"/>
    <w:rsid w:val="00B40A79"/>
    <w:rsid w:val="00B42418"/>
    <w:rsid w:val="00B42965"/>
    <w:rsid w:val="00B45527"/>
    <w:rsid w:val="00B4741E"/>
    <w:rsid w:val="00B47D96"/>
    <w:rsid w:val="00B5009F"/>
    <w:rsid w:val="00B517D7"/>
    <w:rsid w:val="00B51E1E"/>
    <w:rsid w:val="00B52207"/>
    <w:rsid w:val="00B537FA"/>
    <w:rsid w:val="00B54C59"/>
    <w:rsid w:val="00B55B9D"/>
    <w:rsid w:val="00B6336B"/>
    <w:rsid w:val="00B641F0"/>
    <w:rsid w:val="00B745B9"/>
    <w:rsid w:val="00B8128E"/>
    <w:rsid w:val="00B84EBD"/>
    <w:rsid w:val="00B91395"/>
    <w:rsid w:val="00BA353B"/>
    <w:rsid w:val="00BB04DE"/>
    <w:rsid w:val="00BB0863"/>
    <w:rsid w:val="00BB63AA"/>
    <w:rsid w:val="00BC09BF"/>
    <w:rsid w:val="00BC0C10"/>
    <w:rsid w:val="00BC22DD"/>
    <w:rsid w:val="00BC4409"/>
    <w:rsid w:val="00BC6AF3"/>
    <w:rsid w:val="00BD0A39"/>
    <w:rsid w:val="00BD1047"/>
    <w:rsid w:val="00BD1234"/>
    <w:rsid w:val="00BD1A01"/>
    <w:rsid w:val="00BD1B46"/>
    <w:rsid w:val="00BD1B77"/>
    <w:rsid w:val="00BD586C"/>
    <w:rsid w:val="00BF25E5"/>
    <w:rsid w:val="00BF77EE"/>
    <w:rsid w:val="00C00C89"/>
    <w:rsid w:val="00C04044"/>
    <w:rsid w:val="00C056BC"/>
    <w:rsid w:val="00C11AA0"/>
    <w:rsid w:val="00C12AAA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63C1"/>
    <w:rsid w:val="00C57B9E"/>
    <w:rsid w:val="00C72FF3"/>
    <w:rsid w:val="00C74C28"/>
    <w:rsid w:val="00C9034A"/>
    <w:rsid w:val="00C93EF1"/>
    <w:rsid w:val="00C9676B"/>
    <w:rsid w:val="00CA0333"/>
    <w:rsid w:val="00CB10B8"/>
    <w:rsid w:val="00CB1E5C"/>
    <w:rsid w:val="00CB268D"/>
    <w:rsid w:val="00CB5ED6"/>
    <w:rsid w:val="00CB7014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3E25"/>
    <w:rsid w:val="00CE6982"/>
    <w:rsid w:val="00CE698E"/>
    <w:rsid w:val="00CF14E5"/>
    <w:rsid w:val="00CF4BD2"/>
    <w:rsid w:val="00D01641"/>
    <w:rsid w:val="00D04ACA"/>
    <w:rsid w:val="00D065D5"/>
    <w:rsid w:val="00D075ED"/>
    <w:rsid w:val="00D1151D"/>
    <w:rsid w:val="00D11627"/>
    <w:rsid w:val="00D11AD6"/>
    <w:rsid w:val="00D217D9"/>
    <w:rsid w:val="00D22A47"/>
    <w:rsid w:val="00D25390"/>
    <w:rsid w:val="00D27FE6"/>
    <w:rsid w:val="00D27FFD"/>
    <w:rsid w:val="00D30AD4"/>
    <w:rsid w:val="00D3289E"/>
    <w:rsid w:val="00D343A6"/>
    <w:rsid w:val="00D36004"/>
    <w:rsid w:val="00D4056F"/>
    <w:rsid w:val="00D5491F"/>
    <w:rsid w:val="00D55CDB"/>
    <w:rsid w:val="00D610AB"/>
    <w:rsid w:val="00D61D44"/>
    <w:rsid w:val="00D62446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3FD3"/>
    <w:rsid w:val="00D94215"/>
    <w:rsid w:val="00DA2838"/>
    <w:rsid w:val="00DA41E3"/>
    <w:rsid w:val="00DA52AA"/>
    <w:rsid w:val="00DA7802"/>
    <w:rsid w:val="00DB2595"/>
    <w:rsid w:val="00DB2A7D"/>
    <w:rsid w:val="00DB3830"/>
    <w:rsid w:val="00DB4667"/>
    <w:rsid w:val="00DB6704"/>
    <w:rsid w:val="00DC0A32"/>
    <w:rsid w:val="00DD4455"/>
    <w:rsid w:val="00DD5E75"/>
    <w:rsid w:val="00DD5FC2"/>
    <w:rsid w:val="00DD60E0"/>
    <w:rsid w:val="00DF067F"/>
    <w:rsid w:val="00DF21DD"/>
    <w:rsid w:val="00DF3AD3"/>
    <w:rsid w:val="00DF5D5E"/>
    <w:rsid w:val="00E04E4C"/>
    <w:rsid w:val="00E10B1A"/>
    <w:rsid w:val="00E13F6E"/>
    <w:rsid w:val="00E1493C"/>
    <w:rsid w:val="00E15BD2"/>
    <w:rsid w:val="00E17649"/>
    <w:rsid w:val="00E201A8"/>
    <w:rsid w:val="00E2276F"/>
    <w:rsid w:val="00E2579A"/>
    <w:rsid w:val="00E31B51"/>
    <w:rsid w:val="00E32FBD"/>
    <w:rsid w:val="00E33C85"/>
    <w:rsid w:val="00E415A9"/>
    <w:rsid w:val="00E44AE0"/>
    <w:rsid w:val="00E44C34"/>
    <w:rsid w:val="00E5169E"/>
    <w:rsid w:val="00E607AA"/>
    <w:rsid w:val="00E62403"/>
    <w:rsid w:val="00E65C5C"/>
    <w:rsid w:val="00E72D29"/>
    <w:rsid w:val="00E7392C"/>
    <w:rsid w:val="00E7491D"/>
    <w:rsid w:val="00E804DC"/>
    <w:rsid w:val="00E829B3"/>
    <w:rsid w:val="00E843FF"/>
    <w:rsid w:val="00E86FC5"/>
    <w:rsid w:val="00E94D4F"/>
    <w:rsid w:val="00E94E9B"/>
    <w:rsid w:val="00E97F14"/>
    <w:rsid w:val="00EA0084"/>
    <w:rsid w:val="00EA191F"/>
    <w:rsid w:val="00EA7EBD"/>
    <w:rsid w:val="00EB08D3"/>
    <w:rsid w:val="00EB26F9"/>
    <w:rsid w:val="00EB3479"/>
    <w:rsid w:val="00EB36C4"/>
    <w:rsid w:val="00EB4F31"/>
    <w:rsid w:val="00EC0E8A"/>
    <w:rsid w:val="00EC23FC"/>
    <w:rsid w:val="00EC410E"/>
    <w:rsid w:val="00EC51CF"/>
    <w:rsid w:val="00EC5F6D"/>
    <w:rsid w:val="00ED1B95"/>
    <w:rsid w:val="00ED2CBA"/>
    <w:rsid w:val="00ED4459"/>
    <w:rsid w:val="00ED4AE8"/>
    <w:rsid w:val="00ED7DFB"/>
    <w:rsid w:val="00EE00FC"/>
    <w:rsid w:val="00EE05E2"/>
    <w:rsid w:val="00EE1836"/>
    <w:rsid w:val="00EE7163"/>
    <w:rsid w:val="00EF0C31"/>
    <w:rsid w:val="00EF276A"/>
    <w:rsid w:val="00EF6251"/>
    <w:rsid w:val="00EF71D5"/>
    <w:rsid w:val="00F013C4"/>
    <w:rsid w:val="00F0188F"/>
    <w:rsid w:val="00F06273"/>
    <w:rsid w:val="00F06348"/>
    <w:rsid w:val="00F0748F"/>
    <w:rsid w:val="00F119AE"/>
    <w:rsid w:val="00F12EBE"/>
    <w:rsid w:val="00F1478D"/>
    <w:rsid w:val="00F15CDB"/>
    <w:rsid w:val="00F164D9"/>
    <w:rsid w:val="00F228A9"/>
    <w:rsid w:val="00F23158"/>
    <w:rsid w:val="00F23480"/>
    <w:rsid w:val="00F269F5"/>
    <w:rsid w:val="00F26D2F"/>
    <w:rsid w:val="00F3139D"/>
    <w:rsid w:val="00F32DB1"/>
    <w:rsid w:val="00F34250"/>
    <w:rsid w:val="00F343B5"/>
    <w:rsid w:val="00F34CBA"/>
    <w:rsid w:val="00F408EB"/>
    <w:rsid w:val="00F44730"/>
    <w:rsid w:val="00F4788E"/>
    <w:rsid w:val="00F57742"/>
    <w:rsid w:val="00F579D1"/>
    <w:rsid w:val="00F6093F"/>
    <w:rsid w:val="00F62AA6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4AB3"/>
    <w:rsid w:val="00F86909"/>
    <w:rsid w:val="00FA1952"/>
    <w:rsid w:val="00FA388E"/>
    <w:rsid w:val="00FA5A0B"/>
    <w:rsid w:val="00FA6941"/>
    <w:rsid w:val="00FB0587"/>
    <w:rsid w:val="00FB074A"/>
    <w:rsid w:val="00FB4692"/>
    <w:rsid w:val="00FB53CD"/>
    <w:rsid w:val="00FB5986"/>
    <w:rsid w:val="00FB7050"/>
    <w:rsid w:val="00FC43E3"/>
    <w:rsid w:val="00FC599F"/>
    <w:rsid w:val="00FC788B"/>
    <w:rsid w:val="00FD2720"/>
    <w:rsid w:val="00FD3296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CADD372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character" w:styleId="Mencionar">
    <w:name w:val="Mention"/>
    <w:basedOn w:val="Fuentedeprrafopredeter"/>
    <w:uiPriority w:val="99"/>
    <w:semiHidden/>
    <w:unhideWhenUsed/>
    <w:rsid w:val="00CE3E25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733D71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4D406D"/>
    <w:pPr>
      <w:ind w:left="720"/>
      <w:contextualSpacing/>
    </w:pPr>
  </w:style>
  <w:style w:type="paragraph" w:styleId="Revisin">
    <w:name w:val="Revision"/>
    <w:hidden/>
    <w:uiPriority w:val="66"/>
    <w:semiHidden/>
    <w:rsid w:val="00B30782"/>
    <w:rPr>
      <w:rFonts w:ascii="Times New Roman" w:eastAsia="Times New Roman" w:hAnsi="Times New Roman"/>
      <w:sz w:val="24"/>
      <w:szCs w:val="24"/>
      <w:lang w:val="es-ES"/>
    </w:rPr>
  </w:style>
  <w:style w:type="paragraph" w:customStyle="1" w:styleId="Default">
    <w:name w:val="Default"/>
    <w:rsid w:val="00B42965"/>
    <w:pPr>
      <w:autoSpaceDE w:val="0"/>
      <w:autoSpaceDN w:val="0"/>
      <w:adjustRightInd w:val="0"/>
    </w:pPr>
    <w:rPr>
      <w:rFonts w:ascii="SCRRCD+ArialMT" w:hAnsi="SCRRCD+ArialMT" w:cs="SCRRCD+ArialMT"/>
      <w:color w:val="000000"/>
      <w:sz w:val="24"/>
      <w:szCs w:val="24"/>
      <w:lang w:val="es-CL"/>
    </w:rPr>
  </w:style>
  <w:style w:type="character" w:styleId="Mencinsinresolver">
    <w:name w:val="Unresolved Mention"/>
    <w:basedOn w:val="Fuentedeprrafopredeter"/>
    <w:uiPriority w:val="99"/>
    <w:rsid w:val="00DB670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9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j.gob.cl/procesos-de-la-industria/otorgamiento-de-permiso-de-operacion/evaluacion-de-proyectos/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j.gob.cl/procesos-de-la-industria/otorgamiento-de-permiso-de-operacion/ratificacion-revision-evaluacion-tecnica/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2EAB-0BAE-450C-A406-230BB6B9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3567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4207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Desiree Navia Toro</cp:lastModifiedBy>
  <cp:revision>2</cp:revision>
  <cp:lastPrinted>2018-04-06T12:55:00Z</cp:lastPrinted>
  <dcterms:created xsi:type="dcterms:W3CDTF">2023-10-30T18:26:00Z</dcterms:created>
  <dcterms:modified xsi:type="dcterms:W3CDTF">2023-10-30T18:26:00Z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-681344316</vt:i4>
  </property>
</Properties>
</file>