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6D1A7B46" w:rsidR="0027633E" w:rsidRDefault="00CA6C7B" w:rsidP="004E030A">
      <w:pPr>
        <w:pStyle w:val="Ttulo1"/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CE1E51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BA2C18">
        <w:rPr>
          <w:sz w:val="28"/>
          <w:szCs w:val="28"/>
        </w:rPr>
        <w:t>788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BA2C18">
        <w:rPr>
          <w:sz w:val="28"/>
          <w:szCs w:val="28"/>
        </w:rPr>
        <w:t>septiembre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5629F16D" w14:textId="77777777" w:rsidR="004E030A" w:rsidRDefault="004E030A" w:rsidP="004E030A">
      <w:pPr>
        <w:pStyle w:val="Ttulo1"/>
        <w:tabs>
          <w:tab w:val="left" w:pos="0"/>
        </w:tabs>
        <w:spacing w:after="0"/>
        <w:rPr>
          <w:sz w:val="28"/>
          <w:szCs w:val="28"/>
        </w:rPr>
      </w:pPr>
    </w:p>
    <w:p w14:paraId="13122C0B" w14:textId="7AE744AF" w:rsidR="0024108D" w:rsidRDefault="0028027D" w:rsidP="004E030A">
      <w:pPr>
        <w:pStyle w:val="Ttulo1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BA2C18">
        <w:rPr>
          <w:i/>
          <w:sz w:val="22"/>
        </w:rPr>
        <w:t>7</w:t>
      </w:r>
      <w:r w:rsidR="003101E4" w:rsidRPr="00C71BE6">
        <w:rPr>
          <w:i/>
          <w:sz w:val="22"/>
        </w:rPr>
        <w:t>.</w:t>
      </w:r>
      <w:r w:rsidR="00BA2C18">
        <w:rPr>
          <w:i/>
          <w:sz w:val="22"/>
        </w:rPr>
        <w:t>293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BA2C18">
        <w:rPr>
          <w:i/>
          <w:sz w:val="22"/>
        </w:rPr>
        <w:t>7</w:t>
      </w:r>
      <w:r w:rsidR="006C4644">
        <w:rPr>
          <w:i/>
          <w:sz w:val="22"/>
        </w:rPr>
        <w:t>.</w:t>
      </w:r>
      <w:r w:rsidR="00BA2C18">
        <w:rPr>
          <w:i/>
          <w:sz w:val="22"/>
        </w:rPr>
        <w:t>045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CE1E51">
        <w:rPr>
          <w:i/>
          <w:sz w:val="22"/>
        </w:rPr>
        <w:t>4</w:t>
      </w:r>
      <w:r w:rsidR="00BA2C18">
        <w:rPr>
          <w:i/>
          <w:sz w:val="22"/>
        </w:rPr>
        <w:t>5</w:t>
      </w:r>
      <w:r w:rsidR="00CE1E51">
        <w:rPr>
          <w:i/>
          <w:sz w:val="22"/>
        </w:rPr>
        <w:t>1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44D06BC0" w14:textId="77777777" w:rsidR="00124AA5" w:rsidRPr="0024108D" w:rsidRDefault="00124AA5" w:rsidP="00124AA5">
      <w:pPr>
        <w:pStyle w:val="Ttulo1"/>
        <w:tabs>
          <w:tab w:val="left" w:pos="0"/>
        </w:tabs>
        <w:spacing w:after="0"/>
        <w:ind w:left="284"/>
        <w:rPr>
          <w:i/>
          <w:sz w:val="22"/>
        </w:rPr>
      </w:pPr>
    </w:p>
    <w:p w14:paraId="1AEDE057" w14:textId="650E14FA" w:rsidR="0024108D" w:rsidRPr="0024108D" w:rsidRDefault="00BA2C18" w:rsidP="004E030A">
      <w:pPr>
        <w:pStyle w:val="Ttulo1"/>
        <w:numPr>
          <w:ilvl w:val="0"/>
          <w:numId w:val="6"/>
        </w:numPr>
        <w:tabs>
          <w:tab w:val="left" w:pos="0"/>
        </w:tabs>
        <w:spacing w:after="0"/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="0024108D" w:rsidRPr="00C71BE6">
        <w:rPr>
          <w:i/>
          <w:sz w:val="22"/>
        </w:rPr>
        <w:t xml:space="preserve">os </w:t>
      </w:r>
      <w:r w:rsidR="0024108D">
        <w:rPr>
          <w:i/>
          <w:sz w:val="22"/>
        </w:rPr>
        <w:t>25 casinos de juego que operan en el país registraron ingresos brutos del juego (win) por $4</w:t>
      </w:r>
      <w:r>
        <w:rPr>
          <w:i/>
          <w:sz w:val="22"/>
        </w:rPr>
        <w:t>7</w:t>
      </w:r>
      <w:r w:rsidR="0024108D">
        <w:rPr>
          <w:i/>
          <w:sz w:val="22"/>
        </w:rPr>
        <w:t>.</w:t>
      </w:r>
      <w:r>
        <w:rPr>
          <w:i/>
          <w:sz w:val="22"/>
        </w:rPr>
        <w:t>506</w:t>
      </w:r>
      <w:r w:rsidR="0024108D">
        <w:rPr>
          <w:i/>
          <w:sz w:val="22"/>
        </w:rPr>
        <w:t xml:space="preserve"> </w:t>
      </w:r>
      <w:r w:rsidR="00491BDE">
        <w:rPr>
          <w:i/>
          <w:sz w:val="22"/>
        </w:rPr>
        <w:t xml:space="preserve">millones </w:t>
      </w:r>
      <w:r w:rsidR="0024108D">
        <w:rPr>
          <w:i/>
          <w:sz w:val="22"/>
        </w:rPr>
        <w:t xml:space="preserve">en </w:t>
      </w:r>
      <w:r>
        <w:rPr>
          <w:i/>
          <w:sz w:val="22"/>
        </w:rPr>
        <w:t>septiembre</w:t>
      </w:r>
      <w:r w:rsidR="0024108D">
        <w:rPr>
          <w:i/>
          <w:sz w:val="22"/>
        </w:rPr>
        <w:t xml:space="preserve"> de 2023, los que, en términos reales, fueron un </w:t>
      </w:r>
      <w:r>
        <w:rPr>
          <w:i/>
          <w:sz w:val="22"/>
        </w:rPr>
        <w:t>0</w:t>
      </w:r>
      <w:r w:rsidR="0024108D">
        <w:rPr>
          <w:i/>
          <w:sz w:val="22"/>
        </w:rPr>
        <w:t>,</w:t>
      </w:r>
      <w:r>
        <w:rPr>
          <w:i/>
          <w:sz w:val="22"/>
        </w:rPr>
        <w:t>8</w:t>
      </w:r>
      <w:r w:rsidR="0024108D">
        <w:rPr>
          <w:i/>
          <w:sz w:val="22"/>
        </w:rPr>
        <w:t>% m</w:t>
      </w:r>
      <w:r>
        <w:rPr>
          <w:i/>
          <w:sz w:val="22"/>
        </w:rPr>
        <w:t>ayore</w:t>
      </w:r>
      <w:r w:rsidR="0024108D">
        <w:rPr>
          <w:i/>
          <w:sz w:val="22"/>
        </w:rPr>
        <w:t xml:space="preserve">s a los obtenidos en </w:t>
      </w:r>
      <w:r>
        <w:rPr>
          <w:i/>
          <w:sz w:val="22"/>
        </w:rPr>
        <w:t>septiembre</w:t>
      </w:r>
      <w:r w:rsidR="0024108D">
        <w:rPr>
          <w:i/>
          <w:sz w:val="22"/>
        </w:rPr>
        <w:t xml:space="preserve"> de 2022.</w:t>
      </w:r>
    </w:p>
    <w:bookmarkEnd w:id="0"/>
    <w:p w14:paraId="39B5FAA9" w14:textId="6426A09D" w:rsidR="00496A03" w:rsidRDefault="00496A03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4E030A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1C80B147" w:rsidR="00C04A81" w:rsidRDefault="00CC2C3C" w:rsidP="004E030A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CE1E51">
        <w:rPr>
          <w:rFonts w:cstheme="minorHAnsi"/>
        </w:rPr>
        <w:t>6</w:t>
      </w:r>
      <w:r>
        <w:rPr>
          <w:rFonts w:cstheme="minorHAnsi"/>
        </w:rPr>
        <w:t>.</w:t>
      </w:r>
      <w:r w:rsidR="00BA2C18">
        <w:rPr>
          <w:rFonts w:cstheme="minorHAnsi"/>
        </w:rPr>
        <w:t xml:space="preserve">788 </w:t>
      </w:r>
      <w:r w:rsidRPr="009C3A3E">
        <w:rPr>
          <w:rFonts w:cstheme="minorHAnsi"/>
        </w:rPr>
        <w:t>millones en impuestos</w:t>
      </w:r>
      <w:r>
        <w:rPr>
          <w:rFonts w:cstheme="minorHAnsi"/>
        </w:rPr>
        <w:t xml:space="preserve"> en el mes de </w:t>
      </w:r>
      <w:r w:rsidR="00BA2C18">
        <w:rPr>
          <w:rFonts w:cstheme="minorHAnsi"/>
        </w:rPr>
        <w:t>septiembre</w:t>
      </w:r>
      <w:r>
        <w:rPr>
          <w:rFonts w:cstheme="minorHAnsi"/>
        </w:rPr>
        <w:t xml:space="preserve">, </w:t>
      </w:r>
      <w:r w:rsidR="00CE1E51">
        <w:rPr>
          <w:rFonts w:cstheme="minorHAnsi"/>
        </w:rPr>
        <w:t>aumentando</w:t>
      </w:r>
      <w:r>
        <w:rPr>
          <w:rFonts w:cstheme="minorHAnsi"/>
        </w:rPr>
        <w:t xml:space="preserve"> en un </w:t>
      </w:r>
      <w:r w:rsidR="00BA2C18">
        <w:rPr>
          <w:rFonts w:cstheme="minorHAnsi"/>
        </w:rPr>
        <w:t>3</w:t>
      </w:r>
      <w:r w:rsidR="00CE1E51">
        <w:rPr>
          <w:rFonts w:cstheme="minorHAnsi"/>
        </w:rPr>
        <w:t>,</w:t>
      </w:r>
      <w:r w:rsidR="00BA2C18">
        <w:rPr>
          <w:rFonts w:cstheme="minorHAnsi"/>
        </w:rPr>
        <w:t>9</w:t>
      </w:r>
      <w:r>
        <w:rPr>
          <w:rFonts w:cstheme="minorHAnsi"/>
        </w:rPr>
        <w:t xml:space="preserve">% los impuestos aportados en </w:t>
      </w:r>
      <w:r w:rsidR="00BA2C18">
        <w:rPr>
          <w:rFonts w:cstheme="minorHAnsi"/>
        </w:rPr>
        <w:t>septiembre</w:t>
      </w:r>
      <w:r w:rsidR="00CE1E51">
        <w:rPr>
          <w:rFonts w:cstheme="minorHAnsi"/>
        </w:rPr>
        <w:t xml:space="preserve"> </w:t>
      </w:r>
      <w:r>
        <w:rPr>
          <w:rFonts w:cstheme="minorHAnsi"/>
        </w:rPr>
        <w:t>2022 en términos reales.</w:t>
      </w:r>
    </w:p>
    <w:p w14:paraId="2B1C471C" w14:textId="77777777" w:rsidR="00C04A81" w:rsidRDefault="00C04A81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6D002FF5" w:rsidR="00C04A81" w:rsidRPr="009C3A3E" w:rsidRDefault="00C04A81" w:rsidP="004E030A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BA2C18">
        <w:rPr>
          <w:rFonts w:cstheme="minorHAnsi"/>
        </w:rPr>
        <w:t>7</w:t>
      </w:r>
      <w:r w:rsidR="00FF6157">
        <w:rPr>
          <w:rFonts w:cstheme="minorHAnsi"/>
        </w:rPr>
        <w:t>.</w:t>
      </w:r>
      <w:r w:rsidR="00BA2C18">
        <w:rPr>
          <w:rFonts w:cstheme="minorHAnsi"/>
        </w:rPr>
        <w:t>293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BA2C18">
        <w:rPr>
          <w:rFonts w:cstheme="minorHAnsi"/>
        </w:rPr>
        <w:t>7</w:t>
      </w:r>
      <w:r>
        <w:rPr>
          <w:rFonts w:cstheme="minorHAnsi"/>
        </w:rPr>
        <w:t>.</w:t>
      </w:r>
      <w:r w:rsidR="00BA2C18">
        <w:rPr>
          <w:rFonts w:cstheme="minorHAnsi"/>
        </w:rPr>
        <w:t>045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CE1E51">
        <w:rPr>
          <w:rFonts w:cstheme="minorHAnsi"/>
        </w:rPr>
        <w:t>4</w:t>
      </w:r>
      <w:r w:rsidR="00BA2C18">
        <w:rPr>
          <w:rFonts w:cstheme="minorHAnsi"/>
        </w:rPr>
        <w:t>5</w:t>
      </w:r>
      <w:r w:rsidR="00CE1E51">
        <w:rPr>
          <w:rFonts w:cstheme="minorHAnsi"/>
        </w:rPr>
        <w:t>1</w:t>
      </w:r>
      <w:r w:rsidR="00664DC9"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5BABC5" w14:textId="4B5977E2" w:rsidR="00C04A81" w:rsidRDefault="00C04A81" w:rsidP="004E030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BA2C18">
        <w:rPr>
          <w:rFonts w:cstheme="minorHAnsi"/>
        </w:rPr>
        <w:t>dic</w:t>
      </w:r>
      <w:r w:rsidR="00CE1E51">
        <w:rPr>
          <w:rFonts w:cstheme="minorHAnsi"/>
        </w:rPr>
        <w:t>iem</w:t>
      </w:r>
      <w:r w:rsidR="00FF6157">
        <w:rPr>
          <w:rFonts w:cstheme="minorHAnsi"/>
        </w:rPr>
        <w:t>bre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9C3A3E">
        <w:rPr>
          <w:rFonts w:cstheme="minorHAnsi"/>
        </w:rPr>
        <w:t>.</w:t>
      </w:r>
    </w:p>
    <w:p w14:paraId="342BCCE1" w14:textId="77777777" w:rsidR="004D084F" w:rsidRDefault="004D084F" w:rsidP="004E030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320EC9AD" w14:textId="77777777" w:rsidR="00124AA5" w:rsidRDefault="00124AA5" w:rsidP="00124AA5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La distribución de los impuestos recaudados </w:t>
      </w:r>
      <w:r>
        <w:rPr>
          <w:rFonts w:cstheme="minorHAnsi"/>
        </w:rPr>
        <w:t xml:space="preserve">por la operación del mes de agosto de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tabla:</w:t>
      </w:r>
    </w:p>
    <w:p w14:paraId="4CE42AF2" w14:textId="77777777" w:rsidR="004E030A" w:rsidRDefault="004E030A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54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1"/>
        <w:gridCol w:w="1275"/>
        <w:gridCol w:w="1279"/>
        <w:gridCol w:w="997"/>
        <w:gridCol w:w="1133"/>
        <w:gridCol w:w="1128"/>
      </w:tblGrid>
      <w:tr w:rsidR="00124AA5" w:rsidRPr="00BA2C18" w14:paraId="4ECB0007" w14:textId="77777777" w:rsidTr="001F035D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5472AFB1" w14:textId="108E93FF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r w:rsidR="001F035D"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septiembre</w:t>
            </w: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2023 ($ Millones)</w:t>
            </w:r>
          </w:p>
        </w:tc>
      </w:tr>
      <w:tr w:rsidR="00124AA5" w:rsidRPr="00BA2C18" w14:paraId="7AC2734A" w14:textId="77777777" w:rsidTr="001F035D">
        <w:trPr>
          <w:trHeight w:val="97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CCCE781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BDA2D5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C09FE2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668FE8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64FA713D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6D72153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61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6266A2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124AA5" w:rsidRPr="00BA2C18" w14:paraId="5A36E9F9" w14:textId="77777777" w:rsidTr="001F035D"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0CDCF07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8BFDCF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94C5D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96,5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779D0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96,5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D0FFE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183,4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F5DDE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4F3F29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476,5</w:t>
            </w:r>
          </w:p>
        </w:tc>
      </w:tr>
      <w:tr w:rsidR="00124AA5" w:rsidRPr="00BA2C18" w14:paraId="68A5101A" w14:textId="77777777" w:rsidTr="001F035D"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7BAECD2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1BF554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9F647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DDE17F9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4A972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94A793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54,3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EDA37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372,5</w:t>
            </w:r>
          </w:p>
        </w:tc>
      </w:tr>
      <w:tr w:rsidR="00124AA5" w:rsidRPr="00BA2C18" w14:paraId="6DB9FA24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F67A9A9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6E487AB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358BB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243,0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3D576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243,0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4ECA2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461,8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AF36A7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D08CE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1.110,0</w:t>
            </w:r>
          </w:p>
        </w:tc>
      </w:tr>
      <w:tr w:rsidR="00124AA5" w:rsidRPr="00BA2C18" w14:paraId="677F0BB0" w14:textId="77777777" w:rsidTr="001F035D"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BE25D3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BDD51D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A57B9F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84648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1203E9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191,0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2CCC3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A2901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480,6</w:t>
            </w:r>
          </w:p>
        </w:tc>
      </w:tr>
      <w:tr w:rsidR="00124AA5" w:rsidRPr="00BA2C18" w14:paraId="4FCEE30A" w14:textId="77777777" w:rsidTr="001F035D"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F03B67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239771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75864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ADC69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A82C1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CAFCEF7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A3891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182,6</w:t>
            </w:r>
          </w:p>
        </w:tc>
      </w:tr>
      <w:tr w:rsidR="00124AA5" w:rsidRPr="00BA2C18" w14:paraId="3EA2B147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EE8CC80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3FA2A7B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3CA4A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221,2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863B3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221,2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9A99E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420,2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20FF6FB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2EBF3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1.034,2</w:t>
            </w:r>
          </w:p>
        </w:tc>
      </w:tr>
      <w:tr w:rsidR="00124AA5" w:rsidRPr="00BA2C18" w14:paraId="52DA985D" w14:textId="77777777" w:rsidTr="001F035D"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77CF22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lastRenderedPageBreak/>
              <w:t>De Valparaíso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951F2C3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DB118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3BA3EF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0CDD6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962FCD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B4A99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370,2</w:t>
            </w:r>
          </w:p>
        </w:tc>
      </w:tr>
      <w:tr w:rsidR="00124AA5" w:rsidRPr="00BA2C18" w14:paraId="6FDB13D6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713FC75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C8D1B8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22690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434,4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24A5B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434,4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F6F5DD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825,5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42ED9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234,0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A1663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1.928,4</w:t>
            </w:r>
          </w:p>
        </w:tc>
      </w:tr>
      <w:tr w:rsidR="00124AA5" w:rsidRPr="00BA2C18" w14:paraId="61DACE53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294DA00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7C0325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9197C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247,6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78985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247,6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7A174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470,4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DBE36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4B07DE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1.123,4</w:t>
            </w:r>
          </w:p>
        </w:tc>
      </w:tr>
      <w:tr w:rsidR="00124AA5" w:rsidRPr="00BA2C18" w14:paraId="61CF4C5E" w14:textId="77777777" w:rsidTr="001F035D"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22A23F7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B27E17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9C1D8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846,7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24E64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846,7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A435B3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1.653,4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ACD511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387,4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76BA21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3.734,2</w:t>
            </w:r>
          </w:p>
        </w:tc>
      </w:tr>
      <w:tr w:rsidR="00124AA5" w:rsidRPr="00BA2C18" w14:paraId="7B49D30F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8B19DD1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005BCE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CEB18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7C2FCD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42A89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112,1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499C23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F7E647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262,9</w:t>
            </w:r>
          </w:p>
        </w:tc>
      </w:tr>
      <w:tr w:rsidR="00124AA5" w:rsidRPr="00BA2C18" w14:paraId="5AA77B5D" w14:textId="77777777" w:rsidTr="001F035D"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A32D92A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BC2149E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9DF4F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9CBCCC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7C8DD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135,1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5B5CBB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015F0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338,8</w:t>
            </w:r>
          </w:p>
        </w:tc>
      </w:tr>
      <w:tr w:rsidR="00124AA5" w:rsidRPr="00BA2C18" w14:paraId="0DB47ABE" w14:textId="77777777" w:rsidTr="001F035D"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634873C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34EA95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180B2D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271AE4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37365B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72CF7C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32997E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378,9</w:t>
            </w:r>
          </w:p>
        </w:tc>
      </w:tr>
      <w:tr w:rsidR="00124AA5" w:rsidRPr="00BA2C18" w14:paraId="7029954A" w14:textId="77777777" w:rsidTr="001F035D"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FD582FE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D0F3E6A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DA30D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321,6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8F804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321,6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388F5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651,4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DFBFE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221,6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D16C0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1.516,2</w:t>
            </w:r>
          </w:p>
        </w:tc>
      </w:tr>
      <w:tr w:rsidR="00124AA5" w:rsidRPr="00BA2C18" w14:paraId="2E5F09DA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6512ECC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37D05C6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53699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49,2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0614E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49,2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5DB0D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564C1F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B33E0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232,7</w:t>
            </w:r>
          </w:p>
        </w:tc>
      </w:tr>
      <w:tr w:rsidR="00124AA5" w:rsidRPr="00BA2C18" w14:paraId="026235EB" w14:textId="77777777" w:rsidTr="001F035D"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09C757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31119A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7CEEE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E4EE7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9D95C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324,1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68732B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133,9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B10D9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795,8</w:t>
            </w:r>
          </w:p>
        </w:tc>
      </w:tr>
      <w:tr w:rsidR="00124AA5" w:rsidRPr="00BA2C18" w14:paraId="3F3E6C35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CBB1B5E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1591F6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8D464D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CECE8B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1D68F64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176,1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47A5E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AB3653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426,4</w:t>
            </w:r>
          </w:p>
        </w:tc>
      </w:tr>
      <w:tr w:rsidR="00124AA5" w:rsidRPr="00BA2C18" w14:paraId="4C74C261" w14:textId="77777777" w:rsidTr="001F035D"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8CA11CE" w14:textId="1DD181D0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r w:rsidR="000D55C0"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Ríos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B1A02E5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EDFD1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115,0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12EC11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115,0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8F70F0F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222,2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90985D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D608FAE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547,5</w:t>
            </w:r>
          </w:p>
        </w:tc>
      </w:tr>
      <w:tr w:rsidR="00124AA5" w:rsidRPr="00BA2C18" w14:paraId="68682CA8" w14:textId="77777777" w:rsidTr="001F035D"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51D79C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C94360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02AB38F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1374E31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1BF6E1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177,7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EF3C59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EB13ED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427,7</w:t>
            </w:r>
          </w:p>
        </w:tc>
      </w:tr>
      <w:tr w:rsidR="00124AA5" w:rsidRPr="00BA2C18" w14:paraId="0C0C0BC6" w14:textId="77777777" w:rsidTr="001F035D"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F8626C2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889D8BC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4C92AB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A372F5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7DC366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BDE1D7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28,4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8DE161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158,3</w:t>
            </w:r>
          </w:p>
        </w:tc>
      </w:tr>
      <w:tr w:rsidR="00124AA5" w:rsidRPr="00BA2C18" w14:paraId="05588DCC" w14:textId="77777777" w:rsidTr="001F035D"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52C73FC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56A6835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2C950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F5E8E07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7B83E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7F0058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3CECE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182,7</w:t>
            </w:r>
          </w:p>
        </w:tc>
      </w:tr>
      <w:tr w:rsidR="00124AA5" w:rsidRPr="00BA2C18" w14:paraId="434616A2" w14:textId="77777777" w:rsidTr="001F035D"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44809C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06AEAC" w14:textId="77777777" w:rsidR="00124AA5" w:rsidRPr="00BA2C18" w:rsidRDefault="00124AA5" w:rsidP="00C26090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767D9B3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149,4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175A02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149,4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8E4B81F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287,8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785C59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121,3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7B891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707,9</w:t>
            </w:r>
          </w:p>
        </w:tc>
      </w:tr>
      <w:tr w:rsidR="00124AA5" w:rsidRPr="00BA2C18" w14:paraId="753D5D4B" w14:textId="77777777" w:rsidTr="001F035D">
        <w:trPr>
          <w:trHeight w:val="315"/>
        </w:trPr>
        <w:tc>
          <w:tcPr>
            <w:tcW w:w="1846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2DF2D4C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6D9C4C0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3.646,3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B5DFB9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3.646,3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F8A148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7.045,1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F42EAEA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2.450,5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53B0BB7" w14:textId="77777777" w:rsidR="00124AA5" w:rsidRPr="00BA2C18" w:rsidRDefault="00124AA5" w:rsidP="00C260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A2C1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16.788,2</w:t>
            </w:r>
          </w:p>
        </w:tc>
      </w:tr>
    </w:tbl>
    <w:p w14:paraId="3DDDF293" w14:textId="77777777" w:rsidR="00124AA5" w:rsidRDefault="00124AA5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3B651F4" w14:textId="77777777" w:rsidR="00124AA5" w:rsidRDefault="00124AA5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505303" w14:textId="77777777" w:rsidR="004E030A" w:rsidRPr="009C3A3E" w:rsidRDefault="004E030A" w:rsidP="004E030A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6C8D96C5" w14:textId="77777777" w:rsidR="004E030A" w:rsidRPr="009C3A3E" w:rsidRDefault="004E030A" w:rsidP="004E030A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0EDDE700" w14:textId="3ADE15D9" w:rsidR="004E030A" w:rsidRDefault="004E030A" w:rsidP="004E030A">
      <w:pPr>
        <w:tabs>
          <w:tab w:val="left" w:pos="0"/>
        </w:tabs>
        <w:spacing w:after="0" w:line="240" w:lineRule="auto"/>
      </w:pPr>
      <w:r>
        <w:t>Los</w:t>
      </w:r>
      <w:r w:rsidRPr="0024108D">
        <w:t xml:space="preserve"> 25 casinos de juego que operan en el país registraron ingresos brutos del juego (win) por $4</w:t>
      </w:r>
      <w:r>
        <w:t>7</w:t>
      </w:r>
      <w:r w:rsidRPr="0024108D">
        <w:t>.</w:t>
      </w:r>
      <w:r>
        <w:t>506</w:t>
      </w:r>
      <w:r w:rsidRPr="0024108D">
        <w:t xml:space="preserve"> </w:t>
      </w:r>
      <w:r>
        <w:t xml:space="preserve">millones </w:t>
      </w:r>
      <w:r w:rsidRPr="0024108D">
        <w:t xml:space="preserve">en </w:t>
      </w:r>
      <w:r>
        <w:t>septiembre</w:t>
      </w:r>
      <w:r w:rsidRPr="0024108D">
        <w:t xml:space="preserve"> de 2023, los que, en términos reales, fueron un </w:t>
      </w:r>
      <w:r>
        <w:t>0</w:t>
      </w:r>
      <w:r w:rsidRPr="0024108D">
        <w:t>,</w:t>
      </w:r>
      <w:r w:rsidR="000D55C0">
        <w:t>8</w:t>
      </w:r>
      <w:r w:rsidRPr="0024108D">
        <w:t>% m</w:t>
      </w:r>
      <w:r>
        <w:t>ay</w:t>
      </w:r>
      <w:r w:rsidRPr="0024108D">
        <w:t xml:space="preserve">ores a los obtenidos en </w:t>
      </w:r>
      <w:r>
        <w:t>septiembre</w:t>
      </w:r>
      <w:r w:rsidRPr="0024108D">
        <w:t xml:space="preserve"> de 2022.</w:t>
      </w:r>
    </w:p>
    <w:p w14:paraId="71F39FF9" w14:textId="77777777" w:rsidR="004E030A" w:rsidRPr="004C5EE7" w:rsidRDefault="004E030A" w:rsidP="004E030A">
      <w:pPr>
        <w:tabs>
          <w:tab w:val="left" w:pos="0"/>
        </w:tabs>
        <w:spacing w:after="0" w:line="240" w:lineRule="auto"/>
      </w:pPr>
    </w:p>
    <w:p w14:paraId="2A4CFD68" w14:textId="77777777" w:rsidR="004E030A" w:rsidRDefault="004E030A" w:rsidP="004E030A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>
        <w:t>583.005</w:t>
      </w:r>
      <w:r w:rsidRPr="004C5EE7">
        <w:t xml:space="preserve"> personas que ingresaron a los </w:t>
      </w:r>
      <w:r>
        <w:t>25</w:t>
      </w:r>
      <w:r w:rsidRPr="004C5EE7">
        <w:t xml:space="preserve"> casinos </w:t>
      </w:r>
      <w:r>
        <w:t>en operación, lo que equivale a un aumento de un 10% respecto de septiembre de 2022.</w:t>
      </w:r>
    </w:p>
    <w:p w14:paraId="66A252A0" w14:textId="77777777" w:rsidR="004E030A" w:rsidRDefault="004E030A" w:rsidP="004E030A">
      <w:pPr>
        <w:tabs>
          <w:tab w:val="left" w:pos="0"/>
        </w:tabs>
        <w:spacing w:after="0" w:line="240" w:lineRule="auto"/>
      </w:pPr>
    </w:p>
    <w:p w14:paraId="3CD184E5" w14:textId="75A633DB" w:rsidR="004E030A" w:rsidRPr="004E030A" w:rsidRDefault="004E030A" w:rsidP="004E030A">
      <w:pPr>
        <w:spacing w:after="0" w:line="259" w:lineRule="auto"/>
      </w:pPr>
      <w:r>
        <w:t xml:space="preserve">Además, </w:t>
      </w:r>
      <w:r w:rsidRPr="004C5EE7">
        <w:t xml:space="preserve">durante </w:t>
      </w:r>
      <w:r>
        <w:t>septiembre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>
        <w:t xml:space="preserve">79.977 </w:t>
      </w:r>
      <w:r w:rsidRPr="009C3A3E">
        <w:t>por visita, lo que implica u</w:t>
      </w:r>
      <w:r>
        <w:t>na disminución en términos reales de un 9% comparado con septiembre de 2022.</w:t>
      </w:r>
    </w:p>
    <w:p w14:paraId="38A38E4E" w14:textId="77777777" w:rsidR="004E030A" w:rsidRDefault="004E030A" w:rsidP="004E030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461FAA2" w14:textId="77777777" w:rsidR="004D084F" w:rsidRDefault="004D084F" w:rsidP="004E030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51A23B1" w14:textId="77777777" w:rsidR="004E030A" w:rsidRDefault="004E030A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632D61F" w14:textId="474D5860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B23B9CD" w14:textId="565749A3" w:rsidR="003C4909" w:rsidRDefault="003C4909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1E48E85" w14:textId="77777777" w:rsidR="003C4909" w:rsidRDefault="003C4909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18E7B0C" w14:textId="77777777" w:rsidR="003C4909" w:rsidRDefault="003C4909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A1629EA" w14:textId="5F52A848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10ECDCB" w14:textId="77777777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47BF7DF" w14:textId="2C703703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sectPr w:rsidR="00C04A81" w:rsidSect="00DC7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24BF" w14:textId="77777777" w:rsidR="00D97A3D" w:rsidRDefault="00D97A3D" w:rsidP="00FD382C">
      <w:r>
        <w:separator/>
      </w:r>
    </w:p>
  </w:endnote>
  <w:endnote w:type="continuationSeparator" w:id="0">
    <w:p w14:paraId="38C24381" w14:textId="77777777" w:rsidR="00D97A3D" w:rsidRDefault="00D97A3D" w:rsidP="00FD382C">
      <w:r>
        <w:continuationSeparator/>
      </w:r>
    </w:p>
  </w:endnote>
  <w:endnote w:type="continuationNotice" w:id="1">
    <w:p w14:paraId="32688191" w14:textId="77777777" w:rsidR="00D97A3D" w:rsidRDefault="00D97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8899" w14:textId="77777777" w:rsidR="009B4724" w:rsidRDefault="009B47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A7F0" w14:textId="77777777" w:rsidR="009B4724" w:rsidRDefault="009B4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3983" w14:textId="77777777" w:rsidR="00D97A3D" w:rsidRDefault="00D97A3D" w:rsidP="00FD382C">
      <w:r>
        <w:separator/>
      </w:r>
    </w:p>
  </w:footnote>
  <w:footnote w:type="continuationSeparator" w:id="0">
    <w:p w14:paraId="3273139F" w14:textId="77777777" w:rsidR="00D97A3D" w:rsidRDefault="00D97A3D" w:rsidP="00FD382C">
      <w:r>
        <w:continuationSeparator/>
      </w:r>
    </w:p>
  </w:footnote>
  <w:footnote w:type="continuationNotice" w:id="1">
    <w:p w14:paraId="2335DB48" w14:textId="77777777" w:rsidR="00D97A3D" w:rsidRDefault="00D97A3D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6453" w14:textId="77777777" w:rsidR="009B4724" w:rsidRDefault="009B47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53BDDA18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BA2C18">
      <w:rPr>
        <w:b/>
      </w:rPr>
      <w:t xml:space="preserve">Martes </w:t>
    </w:r>
    <w:r w:rsidR="009B4724">
      <w:rPr>
        <w:b/>
      </w:rPr>
      <w:t>8</w:t>
    </w:r>
    <w:r w:rsidR="00BA2C18">
      <w:rPr>
        <w:b/>
      </w:rPr>
      <w:t xml:space="preserve"> de noviembre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9BB" w14:textId="77777777" w:rsidR="009B4724" w:rsidRDefault="009B47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5D8"/>
    <w:rsid w:val="000B16EA"/>
    <w:rsid w:val="000B17B6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55C0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1845"/>
    <w:rsid w:val="00112F13"/>
    <w:rsid w:val="001152D3"/>
    <w:rsid w:val="00124AA5"/>
    <w:rsid w:val="00130C0E"/>
    <w:rsid w:val="00134171"/>
    <w:rsid w:val="00146B1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1F035D"/>
    <w:rsid w:val="00200053"/>
    <w:rsid w:val="0020351D"/>
    <w:rsid w:val="002075E8"/>
    <w:rsid w:val="00211790"/>
    <w:rsid w:val="002140C9"/>
    <w:rsid w:val="00231FE9"/>
    <w:rsid w:val="00234145"/>
    <w:rsid w:val="002406D6"/>
    <w:rsid w:val="0024108D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4909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1BDE"/>
    <w:rsid w:val="004942E1"/>
    <w:rsid w:val="00496A03"/>
    <w:rsid w:val="004A620A"/>
    <w:rsid w:val="004B3B37"/>
    <w:rsid w:val="004C5EE7"/>
    <w:rsid w:val="004C761E"/>
    <w:rsid w:val="004D084F"/>
    <w:rsid w:val="004D351E"/>
    <w:rsid w:val="004D3E92"/>
    <w:rsid w:val="004D3F62"/>
    <w:rsid w:val="004D4205"/>
    <w:rsid w:val="004D618C"/>
    <w:rsid w:val="004E030A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1221"/>
    <w:rsid w:val="005D4916"/>
    <w:rsid w:val="005E3C1F"/>
    <w:rsid w:val="005F0263"/>
    <w:rsid w:val="005F17F7"/>
    <w:rsid w:val="005F2731"/>
    <w:rsid w:val="005F7BC7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64DC9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101FA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8F6621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4724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2C18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E1E51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62DFB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Desiree Navia Toro</cp:lastModifiedBy>
  <cp:revision>5</cp:revision>
  <cp:lastPrinted>2019-08-27T13:47:00Z</cp:lastPrinted>
  <dcterms:created xsi:type="dcterms:W3CDTF">2023-11-07T16:56:00Z</dcterms:created>
  <dcterms:modified xsi:type="dcterms:W3CDTF">2023-11-08T13:32:00Z</dcterms:modified>
</cp:coreProperties>
</file>