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6E35" w14:textId="77777777" w:rsidR="008375BD" w:rsidRPr="0088282F" w:rsidRDefault="008375BD" w:rsidP="005E4252">
      <w:pPr>
        <w:rPr>
          <w:rFonts w:cstheme="minorHAnsi"/>
          <w:lang w:val="es-ES"/>
        </w:rPr>
      </w:pPr>
    </w:p>
    <w:p w14:paraId="5C0DC5A3" w14:textId="74E9D3C6" w:rsidR="008375BD" w:rsidRPr="0088282F" w:rsidRDefault="008375BD" w:rsidP="005E4252">
      <w:pPr>
        <w:jc w:val="center"/>
        <w:rPr>
          <w:rFonts w:cstheme="minorHAnsi"/>
          <w:b/>
          <w:sz w:val="22"/>
          <w:szCs w:val="22"/>
          <w:lang w:val="es-ES"/>
        </w:rPr>
      </w:pPr>
    </w:p>
    <w:p w14:paraId="791274BB" w14:textId="77777777" w:rsidR="00424ACE" w:rsidRDefault="003B3D4A" w:rsidP="00587F11">
      <w:pPr>
        <w:jc w:val="center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>Casino de Juego de Talca informó que continuará operando su permiso de operación</w:t>
      </w:r>
      <w:r w:rsidR="002A2A32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</w:p>
    <w:p w14:paraId="15845F8D" w14:textId="77777777" w:rsidR="00DB6BEB" w:rsidRPr="0088282F" w:rsidRDefault="00DB6BEB" w:rsidP="005E4252">
      <w:pPr>
        <w:jc w:val="center"/>
        <w:rPr>
          <w:rFonts w:cstheme="minorHAnsi"/>
          <w:b/>
          <w:sz w:val="32"/>
          <w:szCs w:val="32"/>
          <w:lang w:val="es-ES"/>
        </w:rPr>
      </w:pPr>
    </w:p>
    <w:p w14:paraId="24A06823" w14:textId="5EB2CFCF" w:rsidR="008C0D9D" w:rsidRDefault="003B6ADF" w:rsidP="00554E97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El martes </w:t>
      </w:r>
      <w:r w:rsidR="00495E5D">
        <w:rPr>
          <w:rFonts w:cstheme="minorHAnsi"/>
          <w:sz w:val="23"/>
          <w:szCs w:val="23"/>
          <w:lang w:val="es-ES"/>
        </w:rPr>
        <w:t xml:space="preserve">26 </w:t>
      </w:r>
      <w:r w:rsidR="000F2BD9">
        <w:rPr>
          <w:rFonts w:cstheme="minorHAnsi"/>
          <w:sz w:val="23"/>
          <w:szCs w:val="23"/>
          <w:lang w:val="es-ES"/>
        </w:rPr>
        <w:t>de diciembre</w:t>
      </w:r>
      <w:r>
        <w:rPr>
          <w:rFonts w:cstheme="minorHAnsi"/>
          <w:sz w:val="23"/>
          <w:szCs w:val="23"/>
          <w:lang w:val="es-ES"/>
        </w:rPr>
        <w:t xml:space="preserve"> </w:t>
      </w:r>
      <w:r w:rsidRPr="00424ACE">
        <w:rPr>
          <w:rFonts w:cstheme="minorHAnsi"/>
          <w:sz w:val="23"/>
          <w:szCs w:val="23"/>
          <w:lang w:val="es-ES"/>
        </w:rPr>
        <w:t>pasado</w:t>
      </w:r>
      <w:r>
        <w:rPr>
          <w:rFonts w:cstheme="minorHAnsi"/>
          <w:sz w:val="23"/>
          <w:szCs w:val="23"/>
          <w:lang w:val="es-ES"/>
        </w:rPr>
        <w:t xml:space="preserve">, </w:t>
      </w:r>
      <w:r w:rsidR="008C0D9D">
        <w:rPr>
          <w:rFonts w:cstheme="minorHAnsi"/>
          <w:sz w:val="23"/>
          <w:szCs w:val="23"/>
          <w:lang w:val="es-ES"/>
        </w:rPr>
        <w:t>a través de la Resolución Exenta N°</w:t>
      </w:r>
      <w:r w:rsidR="00495E5D">
        <w:rPr>
          <w:rFonts w:cstheme="minorHAnsi"/>
          <w:sz w:val="23"/>
          <w:szCs w:val="23"/>
          <w:lang w:val="es-ES"/>
        </w:rPr>
        <w:t>1099</w:t>
      </w:r>
      <w:r w:rsidR="00554E97">
        <w:rPr>
          <w:rFonts w:cstheme="minorHAnsi"/>
          <w:sz w:val="23"/>
          <w:szCs w:val="23"/>
          <w:lang w:val="es-ES"/>
        </w:rPr>
        <w:t xml:space="preserve">, </w:t>
      </w:r>
      <w:r>
        <w:rPr>
          <w:rFonts w:cstheme="minorHAnsi"/>
          <w:sz w:val="23"/>
          <w:szCs w:val="23"/>
          <w:lang w:val="es-ES"/>
        </w:rPr>
        <w:t xml:space="preserve">y de acuerdo con lo establecido </w:t>
      </w:r>
      <w:r w:rsidR="006A7F32" w:rsidRPr="006A7F32">
        <w:rPr>
          <w:rFonts w:cstheme="minorHAnsi"/>
          <w:sz w:val="23"/>
          <w:szCs w:val="23"/>
          <w:lang w:val="es-ES"/>
        </w:rPr>
        <w:t xml:space="preserve">en </w:t>
      </w:r>
      <w:r w:rsidR="002A2A32">
        <w:rPr>
          <w:rFonts w:cstheme="minorHAnsi"/>
          <w:sz w:val="23"/>
          <w:szCs w:val="23"/>
          <w:lang w:val="es-ES"/>
        </w:rPr>
        <w:t xml:space="preserve">el nuevo artículo 26 bis de la Ley N°19.995 y en </w:t>
      </w:r>
      <w:r w:rsidR="006A7F32">
        <w:rPr>
          <w:rFonts w:cstheme="minorHAnsi"/>
          <w:sz w:val="23"/>
          <w:szCs w:val="23"/>
          <w:lang w:val="es-ES"/>
        </w:rPr>
        <w:t>la</w:t>
      </w:r>
      <w:r w:rsidR="006A7F32" w:rsidRPr="006A7F32">
        <w:rPr>
          <w:rFonts w:cstheme="minorHAnsi"/>
          <w:sz w:val="23"/>
          <w:szCs w:val="23"/>
          <w:lang w:val="es-ES"/>
        </w:rPr>
        <w:t xml:space="preserve"> Circular N°148, de</w:t>
      </w:r>
      <w:r>
        <w:rPr>
          <w:rFonts w:cstheme="minorHAnsi"/>
          <w:sz w:val="23"/>
          <w:szCs w:val="23"/>
          <w:lang w:val="es-ES"/>
        </w:rPr>
        <w:t xml:space="preserve"> la misma fecha, </w:t>
      </w:r>
      <w:r w:rsidR="006A7F32">
        <w:rPr>
          <w:rFonts w:cstheme="minorHAnsi"/>
          <w:sz w:val="23"/>
          <w:szCs w:val="23"/>
          <w:lang w:val="es-ES"/>
        </w:rPr>
        <w:t>la</w:t>
      </w:r>
      <w:r>
        <w:rPr>
          <w:rFonts w:cstheme="minorHAnsi"/>
          <w:sz w:val="23"/>
          <w:szCs w:val="23"/>
          <w:lang w:val="es-ES"/>
        </w:rPr>
        <w:t xml:space="preserve"> Superintendencia tomó conocimiento del interés de la </w:t>
      </w:r>
      <w:r w:rsidR="006A7F32">
        <w:rPr>
          <w:rFonts w:cstheme="minorHAnsi"/>
          <w:sz w:val="23"/>
          <w:szCs w:val="23"/>
          <w:lang w:val="es-ES"/>
        </w:rPr>
        <w:t xml:space="preserve">sociedad operadora Casino de Juego de Talca S.A. </w:t>
      </w:r>
      <w:r>
        <w:rPr>
          <w:rFonts w:cstheme="minorHAnsi"/>
          <w:sz w:val="23"/>
          <w:szCs w:val="23"/>
          <w:lang w:val="es-ES"/>
        </w:rPr>
        <w:t xml:space="preserve">de continuar </w:t>
      </w:r>
      <w:r w:rsidR="00554E97">
        <w:rPr>
          <w:rFonts w:cstheme="minorHAnsi"/>
          <w:sz w:val="23"/>
          <w:szCs w:val="23"/>
          <w:lang w:val="es-ES"/>
        </w:rPr>
        <w:t>con la operación</w:t>
      </w:r>
      <w:r>
        <w:rPr>
          <w:rFonts w:cstheme="minorHAnsi"/>
          <w:sz w:val="23"/>
          <w:szCs w:val="23"/>
          <w:lang w:val="es-ES"/>
        </w:rPr>
        <w:t xml:space="preserve"> de</w:t>
      </w:r>
      <w:r w:rsidR="00554E97">
        <w:rPr>
          <w:rFonts w:cstheme="minorHAnsi"/>
          <w:sz w:val="23"/>
          <w:szCs w:val="23"/>
          <w:lang w:val="es-ES"/>
        </w:rPr>
        <w:t xml:space="preserve"> su </w:t>
      </w:r>
      <w:r w:rsidR="002A2A32">
        <w:rPr>
          <w:rFonts w:cstheme="minorHAnsi"/>
          <w:sz w:val="23"/>
          <w:szCs w:val="23"/>
          <w:lang w:val="es-ES"/>
        </w:rPr>
        <w:t xml:space="preserve">respectivo </w:t>
      </w:r>
      <w:r>
        <w:rPr>
          <w:rFonts w:cstheme="minorHAnsi"/>
          <w:sz w:val="23"/>
          <w:szCs w:val="23"/>
          <w:lang w:val="es-ES"/>
        </w:rPr>
        <w:t>permiso</w:t>
      </w:r>
      <w:r w:rsidR="00554E97">
        <w:rPr>
          <w:rFonts w:cstheme="minorHAnsi"/>
          <w:sz w:val="23"/>
          <w:szCs w:val="23"/>
          <w:lang w:val="es-ES"/>
        </w:rPr>
        <w:t>, a contar de</w:t>
      </w:r>
      <w:r w:rsidR="00424ACE">
        <w:rPr>
          <w:rFonts w:cstheme="minorHAnsi"/>
          <w:sz w:val="23"/>
          <w:szCs w:val="23"/>
          <w:lang w:val="es-ES"/>
        </w:rPr>
        <w:t xml:space="preserve"> hoy </w:t>
      </w:r>
      <w:r w:rsidR="002A2A32">
        <w:rPr>
          <w:rFonts w:cstheme="minorHAnsi"/>
          <w:sz w:val="23"/>
          <w:szCs w:val="23"/>
          <w:lang w:val="es-ES"/>
        </w:rPr>
        <w:t xml:space="preserve">27 de diciembre </w:t>
      </w:r>
      <w:r w:rsidR="00554E97">
        <w:rPr>
          <w:rFonts w:cstheme="minorHAnsi"/>
          <w:sz w:val="23"/>
          <w:szCs w:val="23"/>
          <w:lang w:val="es-ES"/>
        </w:rPr>
        <w:t xml:space="preserve">y hasta </w:t>
      </w:r>
      <w:r w:rsidR="00554E97" w:rsidRPr="00554E97">
        <w:rPr>
          <w:rFonts w:cstheme="minorHAnsi"/>
          <w:sz w:val="23"/>
          <w:szCs w:val="23"/>
          <w:lang w:val="es-ES"/>
        </w:rPr>
        <w:t xml:space="preserve">la fecha </w:t>
      </w:r>
      <w:r w:rsidR="00554E97">
        <w:rPr>
          <w:rFonts w:cstheme="minorHAnsi"/>
          <w:sz w:val="23"/>
          <w:szCs w:val="23"/>
          <w:lang w:val="es-ES"/>
        </w:rPr>
        <w:t xml:space="preserve">en que comience a funcionar el nuevo casino de juego autorizado en la Región del Maule, </w:t>
      </w:r>
      <w:r w:rsidR="002A2A32">
        <w:rPr>
          <w:rFonts w:cstheme="minorHAnsi"/>
          <w:sz w:val="23"/>
          <w:szCs w:val="23"/>
          <w:lang w:val="es-ES"/>
        </w:rPr>
        <w:t xml:space="preserve">cuyo permiso de operación fue otorgado </w:t>
      </w:r>
      <w:r w:rsidR="00554E97">
        <w:rPr>
          <w:rFonts w:cstheme="minorHAnsi"/>
          <w:sz w:val="23"/>
          <w:szCs w:val="23"/>
          <w:lang w:val="es-ES"/>
        </w:rPr>
        <w:t xml:space="preserve">a la </w:t>
      </w:r>
      <w:r w:rsidR="006A7F32" w:rsidRPr="006A7F32">
        <w:rPr>
          <w:rFonts w:cstheme="minorHAnsi"/>
          <w:sz w:val="23"/>
          <w:szCs w:val="23"/>
          <w:lang w:val="es-ES"/>
        </w:rPr>
        <w:t>Sociedad de Ríos Claros S.A</w:t>
      </w:r>
      <w:r w:rsidR="00424ACE">
        <w:rPr>
          <w:rFonts w:cstheme="minorHAnsi"/>
          <w:sz w:val="23"/>
          <w:szCs w:val="23"/>
          <w:lang w:val="es-ES"/>
        </w:rPr>
        <w:t>.</w:t>
      </w:r>
    </w:p>
    <w:p w14:paraId="63470410" w14:textId="3498998E" w:rsidR="008C0D9D" w:rsidRDefault="008C0D9D" w:rsidP="0018679C">
      <w:pPr>
        <w:spacing w:line="342" w:lineRule="atLeast"/>
        <w:jc w:val="both"/>
        <w:rPr>
          <w:rFonts w:cstheme="minorHAnsi"/>
          <w:sz w:val="23"/>
          <w:szCs w:val="23"/>
          <w:lang w:val="es-ES"/>
        </w:rPr>
      </w:pPr>
    </w:p>
    <w:p w14:paraId="49E61E63" w14:textId="2F8E699F" w:rsidR="00CC739D" w:rsidRDefault="00554E97" w:rsidP="00941A1F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Para ello, </w:t>
      </w:r>
      <w:r w:rsidR="006A7F32">
        <w:rPr>
          <w:rFonts w:cstheme="minorHAnsi"/>
          <w:sz w:val="23"/>
          <w:szCs w:val="23"/>
          <w:lang w:val="es-ES"/>
        </w:rPr>
        <w:t xml:space="preserve">Casino de Juego de Talca S.A., </w:t>
      </w:r>
      <w:r w:rsidR="00495E5D">
        <w:rPr>
          <w:rFonts w:cstheme="minorHAnsi"/>
          <w:sz w:val="23"/>
          <w:szCs w:val="23"/>
          <w:lang w:val="es-ES"/>
        </w:rPr>
        <w:t xml:space="preserve">deberá </w:t>
      </w:r>
      <w:r w:rsidR="006A7F32" w:rsidRPr="006A7F32">
        <w:rPr>
          <w:rFonts w:cstheme="minorHAnsi"/>
          <w:sz w:val="23"/>
          <w:szCs w:val="23"/>
          <w:lang w:val="es-ES"/>
        </w:rPr>
        <w:t xml:space="preserve">dar estricto cumplimiento a las instrucciones impartidas a través de la </w:t>
      </w:r>
      <w:r>
        <w:rPr>
          <w:rFonts w:cstheme="minorHAnsi"/>
          <w:sz w:val="23"/>
          <w:szCs w:val="23"/>
          <w:lang w:val="es-ES"/>
        </w:rPr>
        <w:t>referida c</w:t>
      </w:r>
      <w:r w:rsidR="006A7F32" w:rsidRPr="006A7F32">
        <w:rPr>
          <w:rFonts w:cstheme="minorHAnsi"/>
          <w:sz w:val="23"/>
          <w:szCs w:val="23"/>
          <w:lang w:val="es-ES"/>
        </w:rPr>
        <w:t>ircular</w:t>
      </w:r>
      <w:r>
        <w:rPr>
          <w:rFonts w:cstheme="minorHAnsi"/>
          <w:sz w:val="23"/>
          <w:szCs w:val="23"/>
          <w:lang w:val="es-ES"/>
        </w:rPr>
        <w:t xml:space="preserve">, </w:t>
      </w:r>
      <w:r w:rsidR="00CC739D">
        <w:rPr>
          <w:rFonts w:cstheme="minorHAnsi"/>
          <w:sz w:val="23"/>
          <w:szCs w:val="23"/>
          <w:lang w:val="es-ES"/>
        </w:rPr>
        <w:t>en particular</w:t>
      </w:r>
      <w:r>
        <w:rPr>
          <w:rFonts w:cstheme="minorHAnsi"/>
          <w:sz w:val="23"/>
          <w:szCs w:val="23"/>
          <w:lang w:val="es-ES"/>
        </w:rPr>
        <w:t xml:space="preserve"> respecto del </w:t>
      </w:r>
      <w:r w:rsidR="00CC739D" w:rsidRPr="00CC739D">
        <w:rPr>
          <w:rFonts w:cstheme="minorHAnsi"/>
          <w:sz w:val="23"/>
          <w:szCs w:val="23"/>
          <w:lang w:val="es-ES"/>
        </w:rPr>
        <w:t>pago a beneficio fiscal equivalente al 5% sobre el promedio mensual de los ingresos brutos, considerando para estos efectos los doce meses previos a la extensión.</w:t>
      </w:r>
    </w:p>
    <w:p w14:paraId="4D54E592" w14:textId="77777777" w:rsidR="00CC739D" w:rsidRDefault="00CC739D" w:rsidP="00941A1F">
      <w:pPr>
        <w:jc w:val="both"/>
        <w:rPr>
          <w:rFonts w:cstheme="minorHAnsi"/>
          <w:sz w:val="23"/>
          <w:szCs w:val="23"/>
          <w:lang w:val="es-ES"/>
        </w:rPr>
      </w:pPr>
    </w:p>
    <w:p w14:paraId="59305B0F" w14:textId="3C4A9830" w:rsidR="00E62735" w:rsidRPr="0088282F" w:rsidRDefault="00495E5D" w:rsidP="00CC739D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 </w:t>
      </w:r>
    </w:p>
    <w:sectPr w:rsidR="00E62735" w:rsidRPr="0088282F" w:rsidSect="006749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CB73" w14:textId="77777777" w:rsidR="006E2BF6" w:rsidRDefault="006E2BF6" w:rsidP="008375BD">
      <w:r>
        <w:separator/>
      </w:r>
    </w:p>
  </w:endnote>
  <w:endnote w:type="continuationSeparator" w:id="0">
    <w:p w14:paraId="634B07AB" w14:textId="77777777" w:rsidR="006E2BF6" w:rsidRDefault="006E2BF6" w:rsidP="0083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FE35" w14:textId="77777777" w:rsidR="006E2BF6" w:rsidRDefault="006E2BF6" w:rsidP="008375BD">
      <w:r>
        <w:separator/>
      </w:r>
    </w:p>
  </w:footnote>
  <w:footnote w:type="continuationSeparator" w:id="0">
    <w:p w14:paraId="456A5C5D" w14:textId="77777777" w:rsidR="006E2BF6" w:rsidRDefault="006E2BF6" w:rsidP="0083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F04" w14:textId="77777777" w:rsidR="008375BD" w:rsidRDefault="008375BD" w:rsidP="008375BD">
    <w:pPr>
      <w:pStyle w:val="Encabezado"/>
      <w:jc w:val="right"/>
    </w:pPr>
    <w:r w:rsidRPr="000F2490">
      <w:rPr>
        <w:noProof/>
        <w:lang w:eastAsia="es-CL"/>
      </w:rPr>
      <w:drawing>
        <wp:inline distT="0" distB="0" distL="0" distR="0" wp14:anchorId="061CAD96" wp14:editId="153BFE21">
          <wp:extent cx="2453640" cy="661035"/>
          <wp:effectExtent l="0" t="0" r="0" b="0"/>
          <wp:docPr id="2101693652" name="Imagen 2101693652" descr="SCJ_marca_principal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72E"/>
    <w:multiLevelType w:val="hybridMultilevel"/>
    <w:tmpl w:val="C5305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5FD"/>
    <w:multiLevelType w:val="hybridMultilevel"/>
    <w:tmpl w:val="8A7AE3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E6D"/>
    <w:multiLevelType w:val="hybridMultilevel"/>
    <w:tmpl w:val="6FF8E4BA"/>
    <w:lvl w:ilvl="0" w:tplc="1466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10BE0"/>
    <w:multiLevelType w:val="hybridMultilevel"/>
    <w:tmpl w:val="E8882AF0"/>
    <w:lvl w:ilvl="0" w:tplc="9B580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01463"/>
    <w:multiLevelType w:val="hybridMultilevel"/>
    <w:tmpl w:val="7B34F78E"/>
    <w:lvl w:ilvl="0" w:tplc="2EEC8D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61342">
    <w:abstractNumId w:val="4"/>
  </w:num>
  <w:num w:numId="2" w16cid:durableId="200024471">
    <w:abstractNumId w:val="1"/>
  </w:num>
  <w:num w:numId="3" w16cid:durableId="829490559">
    <w:abstractNumId w:val="3"/>
  </w:num>
  <w:num w:numId="4" w16cid:durableId="1323776744">
    <w:abstractNumId w:val="2"/>
  </w:num>
  <w:num w:numId="5" w16cid:durableId="5963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2"/>
    <w:rsid w:val="00022599"/>
    <w:rsid w:val="000536EA"/>
    <w:rsid w:val="00074075"/>
    <w:rsid w:val="000A5D1B"/>
    <w:rsid w:val="000B4973"/>
    <w:rsid w:val="000F2BD9"/>
    <w:rsid w:val="0010065C"/>
    <w:rsid w:val="0018679C"/>
    <w:rsid w:val="00186B17"/>
    <w:rsid w:val="001975D0"/>
    <w:rsid w:val="001E4324"/>
    <w:rsid w:val="00213DBA"/>
    <w:rsid w:val="0028416F"/>
    <w:rsid w:val="00287E18"/>
    <w:rsid w:val="002905E0"/>
    <w:rsid w:val="002A2A32"/>
    <w:rsid w:val="002D3B2F"/>
    <w:rsid w:val="002E1D95"/>
    <w:rsid w:val="002F1EE5"/>
    <w:rsid w:val="002F4AAD"/>
    <w:rsid w:val="0030656B"/>
    <w:rsid w:val="00362C82"/>
    <w:rsid w:val="003638BA"/>
    <w:rsid w:val="003747A5"/>
    <w:rsid w:val="003A52AE"/>
    <w:rsid w:val="003B3D4A"/>
    <w:rsid w:val="003B6ADF"/>
    <w:rsid w:val="003C39B6"/>
    <w:rsid w:val="003E5688"/>
    <w:rsid w:val="003F697E"/>
    <w:rsid w:val="00420B74"/>
    <w:rsid w:val="00423BA0"/>
    <w:rsid w:val="00424ACE"/>
    <w:rsid w:val="00437776"/>
    <w:rsid w:val="00456C9B"/>
    <w:rsid w:val="00495E5D"/>
    <w:rsid w:val="004B4CA3"/>
    <w:rsid w:val="00500DC7"/>
    <w:rsid w:val="00517B0E"/>
    <w:rsid w:val="00554E97"/>
    <w:rsid w:val="00587F11"/>
    <w:rsid w:val="005A7CEC"/>
    <w:rsid w:val="005E4252"/>
    <w:rsid w:val="005F3E90"/>
    <w:rsid w:val="00621797"/>
    <w:rsid w:val="00674961"/>
    <w:rsid w:val="006917D5"/>
    <w:rsid w:val="006A7F32"/>
    <w:rsid w:val="006E2BF6"/>
    <w:rsid w:val="007C358A"/>
    <w:rsid w:val="007C6091"/>
    <w:rsid w:val="008375BD"/>
    <w:rsid w:val="0088282F"/>
    <w:rsid w:val="008A0E5F"/>
    <w:rsid w:val="008C0D9D"/>
    <w:rsid w:val="00922E2D"/>
    <w:rsid w:val="00941A1F"/>
    <w:rsid w:val="00960571"/>
    <w:rsid w:val="009725E3"/>
    <w:rsid w:val="009B3739"/>
    <w:rsid w:val="009B5CC9"/>
    <w:rsid w:val="009C7D38"/>
    <w:rsid w:val="00A115EB"/>
    <w:rsid w:val="00AF7D5F"/>
    <w:rsid w:val="00B37B51"/>
    <w:rsid w:val="00B85266"/>
    <w:rsid w:val="00B95852"/>
    <w:rsid w:val="00BA623B"/>
    <w:rsid w:val="00BF3034"/>
    <w:rsid w:val="00C041E8"/>
    <w:rsid w:val="00C26F35"/>
    <w:rsid w:val="00C27434"/>
    <w:rsid w:val="00C50476"/>
    <w:rsid w:val="00C57EF1"/>
    <w:rsid w:val="00C97A60"/>
    <w:rsid w:val="00CB6337"/>
    <w:rsid w:val="00CB668E"/>
    <w:rsid w:val="00CC739D"/>
    <w:rsid w:val="00D117DC"/>
    <w:rsid w:val="00D240B0"/>
    <w:rsid w:val="00DB6BEB"/>
    <w:rsid w:val="00E03977"/>
    <w:rsid w:val="00E62735"/>
    <w:rsid w:val="00E64245"/>
    <w:rsid w:val="00EA048B"/>
    <w:rsid w:val="00EA6F24"/>
    <w:rsid w:val="00F11CB7"/>
    <w:rsid w:val="00F9706C"/>
    <w:rsid w:val="00FA2EA3"/>
    <w:rsid w:val="00FA7327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E4E7F"/>
  <w15:chartTrackingRefBased/>
  <w15:docId w15:val="{B3350FCB-F8E8-F14E-A29C-AB7D6F3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5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5BD"/>
  </w:style>
  <w:style w:type="paragraph" w:styleId="Piedepgina">
    <w:name w:val="footer"/>
    <w:basedOn w:val="Normal"/>
    <w:link w:val="PiedepginaCar"/>
    <w:uiPriority w:val="99"/>
    <w:unhideWhenUsed/>
    <w:rsid w:val="008375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5BD"/>
  </w:style>
  <w:style w:type="paragraph" w:styleId="Prrafodelista">
    <w:name w:val="List Paragraph"/>
    <w:basedOn w:val="Normal"/>
    <w:uiPriority w:val="34"/>
    <w:qFormat/>
    <w:rsid w:val="001975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7D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D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D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5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0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Gatica</dc:creator>
  <cp:keywords/>
  <dc:description/>
  <cp:lastModifiedBy>Desiree Navia Toro</cp:lastModifiedBy>
  <cp:revision>2</cp:revision>
  <dcterms:created xsi:type="dcterms:W3CDTF">2023-12-27T13:00:00Z</dcterms:created>
  <dcterms:modified xsi:type="dcterms:W3CDTF">2023-12-27T13:00:00Z</dcterms:modified>
</cp:coreProperties>
</file>