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200F7C13" w:rsidR="0027633E" w:rsidRDefault="00B67DE2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EA469B">
        <w:rPr>
          <w:sz w:val="28"/>
          <w:szCs w:val="28"/>
        </w:rPr>
        <w:t>alcanzó a $</w:t>
      </w:r>
      <w:r w:rsidR="00360DC9">
        <w:rPr>
          <w:sz w:val="28"/>
          <w:szCs w:val="28"/>
        </w:rPr>
        <w:t>195.724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7C0654">
        <w:rPr>
          <w:sz w:val="28"/>
          <w:szCs w:val="28"/>
        </w:rPr>
        <w:t xml:space="preserve">en </w:t>
      </w:r>
      <w:r w:rsidR="00787820" w:rsidRPr="009C3A3E">
        <w:rPr>
          <w:sz w:val="28"/>
          <w:szCs w:val="28"/>
        </w:rPr>
        <w:t>20</w:t>
      </w:r>
      <w:r w:rsidR="00EA469B">
        <w:rPr>
          <w:sz w:val="28"/>
          <w:szCs w:val="28"/>
        </w:rPr>
        <w:t>2</w:t>
      </w:r>
      <w:r w:rsidR="00360DC9">
        <w:rPr>
          <w:sz w:val="28"/>
          <w:szCs w:val="28"/>
        </w:rPr>
        <w:t>3</w:t>
      </w:r>
    </w:p>
    <w:p w14:paraId="671B6DB7" w14:textId="7EA222FB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La recaudación </w:t>
      </w:r>
      <w:r w:rsidR="007C0654">
        <w:rPr>
          <w:i/>
          <w:sz w:val="22"/>
        </w:rPr>
        <w:t xml:space="preserve">anual </w:t>
      </w:r>
      <w:r w:rsidRPr="009C3A3E">
        <w:rPr>
          <w:i/>
          <w:sz w:val="22"/>
        </w:rPr>
        <w:t>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360DC9">
        <w:rPr>
          <w:i/>
          <w:sz w:val="22"/>
        </w:rPr>
        <w:t>83</w:t>
      </w:r>
      <w:r w:rsidR="00EA469B">
        <w:rPr>
          <w:i/>
          <w:sz w:val="22"/>
        </w:rPr>
        <w:t>.</w:t>
      </w:r>
      <w:r w:rsidR="00360DC9">
        <w:rPr>
          <w:i/>
          <w:sz w:val="22"/>
        </w:rPr>
        <w:t>928</w:t>
      </w:r>
      <w:r w:rsidR="001914DF" w:rsidRPr="009C3A3E">
        <w:rPr>
          <w:i/>
          <w:sz w:val="22"/>
        </w:rPr>
        <w:t xml:space="preserve"> millones pagados por los casinos 19.995 que se d</w:t>
      </w:r>
      <w:r w:rsidR="00CF73CD" w:rsidRPr="009C3A3E">
        <w:rPr>
          <w:i/>
          <w:sz w:val="22"/>
        </w:rPr>
        <w:t>estinados a las</w:t>
      </w:r>
      <w:r w:rsidR="001914DF" w:rsidRPr="009C3A3E">
        <w:rPr>
          <w:i/>
          <w:sz w:val="22"/>
        </w:rPr>
        <w:t xml:space="preserve"> comunas y gobierno regionales en que se ubican</w:t>
      </w:r>
      <w:r w:rsidR="00186B7F" w:rsidRPr="009C3A3E">
        <w:rPr>
          <w:i/>
          <w:sz w:val="22"/>
        </w:rPr>
        <w:t>, $</w:t>
      </w:r>
      <w:r w:rsidR="00360DC9">
        <w:rPr>
          <w:i/>
          <w:sz w:val="22"/>
        </w:rPr>
        <w:t>82</w:t>
      </w:r>
      <w:r w:rsidR="000E1640">
        <w:rPr>
          <w:i/>
          <w:sz w:val="22"/>
        </w:rPr>
        <w:t>.</w:t>
      </w:r>
      <w:r w:rsidR="00360DC9">
        <w:rPr>
          <w:i/>
          <w:sz w:val="22"/>
        </w:rPr>
        <w:t>016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EA469B">
        <w:rPr>
          <w:i/>
          <w:sz w:val="22"/>
        </w:rPr>
        <w:t>2</w:t>
      </w:r>
      <w:r w:rsidR="00360DC9">
        <w:rPr>
          <w:i/>
          <w:sz w:val="22"/>
        </w:rPr>
        <w:t>9</w:t>
      </w:r>
      <w:r w:rsidR="00EA469B">
        <w:rPr>
          <w:i/>
          <w:sz w:val="22"/>
        </w:rPr>
        <w:t>.</w:t>
      </w:r>
      <w:r w:rsidR="00360DC9">
        <w:rPr>
          <w:i/>
          <w:sz w:val="22"/>
        </w:rPr>
        <w:t>780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19F0A512" w14:textId="547EB374" w:rsidR="00360DC9" w:rsidRDefault="00360DC9" w:rsidP="00360DC9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bookmarkStart w:id="0" w:name="_Hlk148046808"/>
      <w:r>
        <w:rPr>
          <w:i/>
          <w:sz w:val="22"/>
        </w:rPr>
        <w:t>L</w:t>
      </w:r>
      <w:r w:rsidRPr="00C71BE6">
        <w:rPr>
          <w:i/>
          <w:sz w:val="22"/>
        </w:rPr>
        <w:t xml:space="preserve">os </w:t>
      </w:r>
      <w:r>
        <w:rPr>
          <w:i/>
          <w:sz w:val="22"/>
        </w:rPr>
        <w:t>25 casinos de juego que operan en el país registraron ingresos brutos del juego (</w:t>
      </w:r>
      <w:proofErr w:type="spellStart"/>
      <w:r>
        <w:rPr>
          <w:i/>
          <w:sz w:val="22"/>
        </w:rPr>
        <w:t>win</w:t>
      </w:r>
      <w:proofErr w:type="spellEnd"/>
      <w:r>
        <w:rPr>
          <w:i/>
          <w:sz w:val="22"/>
        </w:rPr>
        <w:t>) por $</w:t>
      </w:r>
      <w:r w:rsidR="009238F3" w:rsidRPr="009238F3">
        <w:rPr>
          <w:i/>
          <w:sz w:val="22"/>
        </w:rPr>
        <w:t xml:space="preserve">513.681 </w:t>
      </w:r>
      <w:r>
        <w:rPr>
          <w:i/>
          <w:sz w:val="22"/>
        </w:rPr>
        <w:t xml:space="preserve">millones en 2023, los que, en términos reales, fueron un </w:t>
      </w:r>
      <w:r w:rsidR="00B96CFB">
        <w:rPr>
          <w:i/>
          <w:sz w:val="22"/>
        </w:rPr>
        <w:t xml:space="preserve">9,1 superiores a </w:t>
      </w:r>
      <w:r>
        <w:rPr>
          <w:i/>
          <w:sz w:val="22"/>
        </w:rPr>
        <w:t>los obtenidos en 2022.</w:t>
      </w:r>
    </w:p>
    <w:p w14:paraId="7C73E01A" w14:textId="5D7DB393" w:rsidR="007D6C65" w:rsidRPr="0024108D" w:rsidRDefault="007D6C65" w:rsidP="00360DC9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 xml:space="preserve">Respecto de diciembre 2023 la recaudación alcanzo a $15.669 millones, siendo, en términos reales, un 4,7% menores a los de diciembre 2022. </w:t>
      </w:r>
    </w:p>
    <w:bookmarkEnd w:id="0"/>
    <w:p w14:paraId="554E6C99" w14:textId="7777777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5FC403CA" w14:textId="77777777" w:rsidR="00496A03" w:rsidRDefault="00496A03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D65A82" w14:textId="6A134720" w:rsidR="000B16EA" w:rsidRDefault="003A4081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Los </w:t>
      </w:r>
      <w:r w:rsidR="00F96FD7">
        <w:rPr>
          <w:rFonts w:cstheme="minorHAnsi"/>
        </w:rPr>
        <w:t>2</w:t>
      </w:r>
      <w:r w:rsidR="00554F65">
        <w:rPr>
          <w:rFonts w:cstheme="minorHAnsi"/>
        </w:rPr>
        <w:t>2</w:t>
      </w:r>
      <w:r>
        <w:rPr>
          <w:rFonts w:cstheme="minorHAnsi"/>
        </w:rPr>
        <w:t xml:space="preserve"> casinos 19.995 </w:t>
      </w:r>
      <w:r w:rsidR="00731D61">
        <w:rPr>
          <w:rFonts w:cstheme="minorHAnsi"/>
        </w:rPr>
        <w:t>a</w:t>
      </w:r>
      <w:r w:rsidR="00B14621" w:rsidRPr="009C3A3E">
        <w:rPr>
          <w:rFonts w:cstheme="minorHAnsi"/>
        </w:rPr>
        <w:t xml:space="preserve">portaron </w:t>
      </w:r>
      <w:r w:rsidR="007C0654">
        <w:rPr>
          <w:rFonts w:cstheme="minorHAnsi"/>
        </w:rPr>
        <w:t xml:space="preserve">en 2023 </w:t>
      </w:r>
      <w:r w:rsidR="00B14621" w:rsidRPr="009C3A3E">
        <w:rPr>
          <w:rFonts w:cstheme="minorHAnsi"/>
        </w:rPr>
        <w:t xml:space="preserve">un </w:t>
      </w:r>
      <w:r w:rsidR="006F7CA6" w:rsidRPr="009C3A3E">
        <w:rPr>
          <w:rFonts w:cstheme="minorHAnsi"/>
        </w:rPr>
        <w:t xml:space="preserve">total </w:t>
      </w:r>
      <w:r w:rsidR="00B14621" w:rsidRPr="009C3A3E">
        <w:rPr>
          <w:rFonts w:cstheme="minorHAnsi"/>
        </w:rPr>
        <w:t>de $</w:t>
      </w:r>
      <w:r w:rsidR="00554F65">
        <w:rPr>
          <w:rFonts w:cstheme="minorHAnsi"/>
        </w:rPr>
        <w:t>1</w:t>
      </w:r>
      <w:r w:rsidR="00360DC9">
        <w:rPr>
          <w:rFonts w:cstheme="minorHAnsi"/>
        </w:rPr>
        <w:t>95</w:t>
      </w:r>
      <w:r w:rsidR="00554F65">
        <w:rPr>
          <w:rFonts w:cstheme="minorHAnsi"/>
        </w:rPr>
        <w:t>.</w:t>
      </w:r>
      <w:r w:rsidR="00360DC9">
        <w:rPr>
          <w:rFonts w:cstheme="minorHAnsi"/>
        </w:rPr>
        <w:t>724</w:t>
      </w:r>
      <w:r w:rsidR="00B14621" w:rsidRPr="009C3A3E">
        <w:rPr>
          <w:rFonts w:cstheme="minorHAnsi"/>
        </w:rPr>
        <w:t xml:space="preserve"> millones en impuestos</w:t>
      </w:r>
      <w:r w:rsidR="00B40D75">
        <w:rPr>
          <w:rFonts w:cstheme="minorHAnsi"/>
        </w:rPr>
        <w:t>,</w:t>
      </w:r>
      <w:r w:rsidR="00B40D75" w:rsidDel="004A7031">
        <w:rPr>
          <w:rFonts w:cstheme="minorHAnsi"/>
        </w:rPr>
        <w:t xml:space="preserve"> </w:t>
      </w:r>
      <w:r w:rsidR="00BB6F98">
        <w:rPr>
          <w:rFonts w:cstheme="minorHAnsi"/>
        </w:rPr>
        <w:t xml:space="preserve">superando el aporte realizado </w:t>
      </w:r>
      <w:r w:rsidR="004A7031">
        <w:rPr>
          <w:rFonts w:cstheme="minorHAnsi"/>
        </w:rPr>
        <w:t>en</w:t>
      </w:r>
      <w:r w:rsidR="00BB6F98">
        <w:rPr>
          <w:rFonts w:cstheme="minorHAnsi"/>
        </w:rPr>
        <w:t xml:space="preserve"> 202</w:t>
      </w:r>
      <w:r w:rsidR="00B61C2D">
        <w:rPr>
          <w:rFonts w:cstheme="minorHAnsi"/>
        </w:rPr>
        <w:t>2</w:t>
      </w:r>
      <w:r w:rsidR="00BB6F98">
        <w:rPr>
          <w:rFonts w:cstheme="minorHAnsi"/>
        </w:rPr>
        <w:t xml:space="preserve"> </w:t>
      </w:r>
      <w:r w:rsidR="00554F65">
        <w:rPr>
          <w:rFonts w:cstheme="minorHAnsi"/>
        </w:rPr>
        <w:t xml:space="preserve">en </w:t>
      </w:r>
      <w:r w:rsidR="00B61C2D">
        <w:rPr>
          <w:rFonts w:cstheme="minorHAnsi"/>
        </w:rPr>
        <w:t>un 4,5% en términos reales</w:t>
      </w:r>
      <w:r w:rsidR="004A7031">
        <w:rPr>
          <w:rFonts w:cstheme="minorHAnsi"/>
        </w:rPr>
        <w:t>. Esto último se explica principalmente porque en 2023 operaron durante todo el año tres casinos que en 2022 pasaron desde el régimen municipal al de la ley 19.995 y comenzaron a funcionar en distintas fechas</w:t>
      </w:r>
      <w:r w:rsidR="00B61C2D">
        <w:rPr>
          <w:rFonts w:cstheme="minorHAnsi"/>
        </w:rPr>
        <w:t xml:space="preserve"> (Coquimbo y Pucón</w:t>
      </w:r>
      <w:r w:rsidR="004A7031">
        <w:rPr>
          <w:rFonts w:cstheme="minorHAnsi"/>
        </w:rPr>
        <w:t>,</w:t>
      </w:r>
      <w:r w:rsidR="00B61C2D">
        <w:rPr>
          <w:rFonts w:cstheme="minorHAnsi"/>
        </w:rPr>
        <w:t xml:space="preserve"> en enero y junio de 2022</w:t>
      </w:r>
      <w:r w:rsidR="004A7031">
        <w:rPr>
          <w:rFonts w:cstheme="minorHAnsi"/>
        </w:rPr>
        <w:t>,</w:t>
      </w:r>
      <w:r w:rsidR="00B61C2D">
        <w:rPr>
          <w:rFonts w:cstheme="minorHAnsi"/>
        </w:rPr>
        <w:t xml:space="preserve"> respectivamente)</w:t>
      </w:r>
      <w:r w:rsidR="00554F65">
        <w:rPr>
          <w:rFonts w:cstheme="minorHAnsi"/>
        </w:rPr>
        <w:t xml:space="preserve">. </w:t>
      </w:r>
      <w:r w:rsidR="007D6C65">
        <w:rPr>
          <w:rFonts w:cstheme="minorHAnsi"/>
        </w:rPr>
        <w:t>No obstante, en el mes de diciembre, los impuestos generados fueron un 2,5% menores a los de igual mes de 2022.</w:t>
      </w:r>
    </w:p>
    <w:p w14:paraId="7B3B9794" w14:textId="77777777" w:rsidR="000B16EA" w:rsidRDefault="000B16EA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01FA082B" w:rsidR="00B14621" w:rsidRPr="009C3A3E" w:rsidRDefault="00F96FD7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</w:t>
      </w:r>
      <w:r w:rsidR="003A4081">
        <w:rPr>
          <w:rFonts w:cstheme="minorHAnsi"/>
        </w:rPr>
        <w:t xml:space="preserve"> </w:t>
      </w:r>
      <w:r>
        <w:rPr>
          <w:rFonts w:cstheme="minorHAnsi"/>
        </w:rPr>
        <w:t xml:space="preserve">a nivel de industria </w:t>
      </w:r>
      <w:r w:rsidR="003A4081">
        <w:rPr>
          <w:rFonts w:cstheme="minorHAnsi"/>
        </w:rPr>
        <w:t>se dividen en</w:t>
      </w:r>
      <w:r w:rsidR="00B14621" w:rsidRPr="009C3A3E">
        <w:rPr>
          <w:rFonts w:cstheme="minorHAnsi"/>
        </w:rPr>
        <w:t xml:space="preserve"> $</w:t>
      </w:r>
      <w:r w:rsidR="00B61C2D">
        <w:rPr>
          <w:rFonts w:cstheme="minorHAnsi"/>
        </w:rPr>
        <w:t>83</w:t>
      </w:r>
      <w:r w:rsidR="00554F65">
        <w:rPr>
          <w:rFonts w:cstheme="minorHAnsi"/>
        </w:rPr>
        <w:t>.</w:t>
      </w:r>
      <w:r w:rsidR="00B61C2D">
        <w:rPr>
          <w:rFonts w:cstheme="minorHAnsi"/>
        </w:rPr>
        <w:t>928</w:t>
      </w:r>
      <w:r w:rsidR="00B14621" w:rsidRPr="009C3A3E">
        <w:rPr>
          <w:rFonts w:cstheme="minorHAnsi"/>
        </w:rPr>
        <w:t xml:space="preserve"> millones </w:t>
      </w:r>
      <w:r w:rsidR="003A4081">
        <w:rPr>
          <w:rFonts w:cstheme="minorHAnsi"/>
        </w:rPr>
        <w:t xml:space="preserve">que </w:t>
      </w:r>
      <w:r w:rsidR="00B14621" w:rsidRPr="009C3A3E">
        <w:rPr>
          <w:rFonts w:cstheme="minorHAnsi"/>
        </w:rPr>
        <w:t xml:space="preserve">corresponden al impuesto específico al juego destinados a los </w:t>
      </w:r>
      <w:r w:rsidR="00CD5340">
        <w:rPr>
          <w:rFonts w:cstheme="minorHAnsi"/>
        </w:rPr>
        <w:t>g</w:t>
      </w:r>
      <w:r w:rsidR="00B14621" w:rsidRPr="009C3A3E">
        <w:rPr>
          <w:rFonts w:cstheme="minorHAnsi"/>
        </w:rPr>
        <w:t xml:space="preserve">obiernos </w:t>
      </w:r>
      <w:r w:rsidR="00CD5340">
        <w:rPr>
          <w:rFonts w:cstheme="minorHAnsi"/>
        </w:rPr>
        <w:t>r</w:t>
      </w:r>
      <w:r w:rsidR="00B14621" w:rsidRPr="009C3A3E">
        <w:rPr>
          <w:rFonts w:cstheme="minorHAnsi"/>
        </w:rPr>
        <w:t xml:space="preserve">egionales y </w:t>
      </w:r>
      <w:r w:rsidR="00CD5340">
        <w:rPr>
          <w:rFonts w:cstheme="minorHAnsi"/>
        </w:rPr>
        <w:t>m</w:t>
      </w:r>
      <w:r w:rsidR="00B14621" w:rsidRPr="009C3A3E">
        <w:rPr>
          <w:rFonts w:cstheme="minorHAnsi"/>
        </w:rPr>
        <w:t>unicipalidades para el financiamiento de obras de desarrollo, además de $</w:t>
      </w:r>
      <w:r w:rsidR="00B61C2D">
        <w:rPr>
          <w:rFonts w:cstheme="minorHAnsi"/>
        </w:rPr>
        <w:t>82</w:t>
      </w:r>
      <w:r w:rsidR="00554F65">
        <w:rPr>
          <w:rFonts w:cstheme="minorHAnsi"/>
        </w:rPr>
        <w:t>.</w:t>
      </w:r>
      <w:r w:rsidR="00B61C2D">
        <w:rPr>
          <w:rFonts w:cstheme="minorHAnsi"/>
        </w:rPr>
        <w:t>016</w:t>
      </w:r>
      <w:r w:rsidR="00B14621"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="00B14621" w:rsidRPr="009C3A3E">
        <w:rPr>
          <w:rFonts w:cstheme="minorHAnsi"/>
        </w:rPr>
        <w:t xml:space="preserve"> y $</w:t>
      </w:r>
      <w:r w:rsidR="00554F65">
        <w:rPr>
          <w:rFonts w:cstheme="minorHAnsi"/>
        </w:rPr>
        <w:t>2</w:t>
      </w:r>
      <w:r w:rsidR="00B61C2D">
        <w:rPr>
          <w:rFonts w:cstheme="minorHAnsi"/>
        </w:rPr>
        <w:t>9</w:t>
      </w:r>
      <w:r w:rsidR="00554F65">
        <w:rPr>
          <w:rFonts w:cstheme="minorHAnsi"/>
        </w:rPr>
        <w:t>.</w:t>
      </w:r>
      <w:r w:rsidR="00B61C2D">
        <w:rPr>
          <w:rFonts w:cstheme="minorHAnsi"/>
        </w:rPr>
        <w:t>780</w:t>
      </w:r>
      <w:r w:rsidR="000B16EA">
        <w:rPr>
          <w:rFonts w:cstheme="minorHAnsi"/>
        </w:rPr>
        <w:t xml:space="preserve"> </w:t>
      </w:r>
      <w:r w:rsidR="00B14621"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0D4956B0" w14:textId="77777777" w:rsidR="00673AE7" w:rsidRDefault="00673AE7" w:rsidP="00F96FD7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036F17B9" w14:textId="46672D65" w:rsidR="001A00AC" w:rsidRDefault="001A00AC" w:rsidP="00B40D75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Por otra parte, </w:t>
      </w:r>
      <w:r w:rsidR="00B40D75">
        <w:rPr>
          <w:rFonts w:cstheme="minorHAnsi"/>
        </w:rPr>
        <w:t xml:space="preserve">en diciembre de 2023, </w:t>
      </w:r>
      <w:r>
        <w:rPr>
          <w:rFonts w:cstheme="minorHAnsi"/>
        </w:rPr>
        <w:t>el Casino Marina del Sol</w:t>
      </w:r>
      <w:r w:rsidR="00B40D75">
        <w:rPr>
          <w:rFonts w:cstheme="minorHAnsi"/>
        </w:rPr>
        <w:t xml:space="preserve"> -que comenzó a funcionar en noviembre del año pasado-, </w:t>
      </w:r>
      <w:r>
        <w:rPr>
          <w:rFonts w:cstheme="minorHAnsi"/>
        </w:rPr>
        <w:t xml:space="preserve">pagó </w:t>
      </w:r>
      <w:r w:rsidR="009238F3">
        <w:rPr>
          <w:rFonts w:cstheme="minorHAnsi"/>
        </w:rPr>
        <w:t>a</w:t>
      </w:r>
      <w:r w:rsidR="00B40D75">
        <w:rPr>
          <w:rFonts w:cstheme="minorHAnsi"/>
        </w:rPr>
        <w:t xml:space="preserve"> la Municipalidad </w:t>
      </w:r>
      <w:r w:rsidR="009238F3">
        <w:rPr>
          <w:rFonts w:cstheme="minorHAnsi"/>
        </w:rPr>
        <w:t xml:space="preserve">de Talcahuano $53 millones por concepto de oferta económica, </w:t>
      </w:r>
      <w:r w:rsidR="00B40D75">
        <w:rPr>
          <w:rFonts w:cstheme="minorHAnsi"/>
        </w:rPr>
        <w:t xml:space="preserve">lo que corresponde a la proporción del monto total ofertado (13% aproximadamente) y mediante el que se adjudicó su permiso de operación. </w:t>
      </w:r>
    </w:p>
    <w:p w14:paraId="57EDCC1A" w14:textId="77777777" w:rsidR="001A00AC" w:rsidRDefault="001A00AC" w:rsidP="001A00AC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7BF979B2" w14:textId="77777777" w:rsidR="00673AE7" w:rsidRDefault="00673AE7" w:rsidP="00271D71">
      <w:pPr>
        <w:tabs>
          <w:tab w:val="left" w:pos="0"/>
        </w:tabs>
        <w:spacing w:after="0" w:line="240" w:lineRule="auto"/>
      </w:pPr>
      <w:r w:rsidRPr="00B2527C">
        <w:t>Est</w:t>
      </w:r>
      <w:r>
        <w:t>e</w:t>
      </w:r>
      <w:r w:rsidRPr="00B2527C">
        <w:t xml:space="preserve"> pago </w:t>
      </w:r>
      <w:r>
        <w:t>es</w:t>
      </w:r>
      <w:r w:rsidRPr="00B2527C">
        <w:t xml:space="preserve"> efectuado a la Tesorería General de la República, la que en el mismo plazo que el impuesto específico al juego, lo debe traspasar al municipio respectivo.</w:t>
      </w:r>
      <w:r>
        <w:t xml:space="preserve"> Esto es en marzo de 2024.</w:t>
      </w:r>
      <w:r w:rsidRPr="00B2527C">
        <w:t xml:space="preserve"> </w:t>
      </w:r>
    </w:p>
    <w:p w14:paraId="28E44CEE" w14:textId="77777777" w:rsidR="00673AE7" w:rsidRDefault="00673AE7">
      <w:pPr>
        <w:spacing w:line="259" w:lineRule="auto"/>
        <w:jc w:val="left"/>
      </w:pPr>
      <w:r>
        <w:br w:type="page"/>
      </w:r>
    </w:p>
    <w:p w14:paraId="0EFD4423" w14:textId="27307262" w:rsidR="00360DC9" w:rsidRDefault="006C49D0" w:rsidP="00271D71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lastRenderedPageBreak/>
        <w:t xml:space="preserve">La distribución de los impuestos recaudados </w:t>
      </w:r>
      <w:r>
        <w:rPr>
          <w:rFonts w:cstheme="minorHAnsi"/>
        </w:rPr>
        <w:t xml:space="preserve">en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</w:t>
      </w:r>
      <w:r w:rsidR="00271D71">
        <w:rPr>
          <w:rFonts w:cstheme="minorHAnsi"/>
        </w:rPr>
        <w:t xml:space="preserve"> en la</w:t>
      </w:r>
      <w:r w:rsidR="00B40D75">
        <w:rPr>
          <w:rFonts w:cstheme="minorHAnsi"/>
        </w:rPr>
        <w:t xml:space="preserve"> </w:t>
      </w:r>
      <w:r w:rsidR="00B61C2D">
        <w:rPr>
          <w:rFonts w:cstheme="minorHAnsi"/>
        </w:rPr>
        <w:t xml:space="preserve">siguiente </w:t>
      </w:r>
      <w:r w:rsidR="00271D71">
        <w:rPr>
          <w:rFonts w:cstheme="minorHAnsi"/>
        </w:rPr>
        <w:t>tabla</w:t>
      </w:r>
      <w:r w:rsidR="00B40D75">
        <w:rPr>
          <w:rFonts w:cstheme="minorHAnsi"/>
        </w:rPr>
        <w:t>:</w:t>
      </w:r>
    </w:p>
    <w:p w14:paraId="1B53064E" w14:textId="77777777" w:rsidR="00B40D75" w:rsidRDefault="00B40D75" w:rsidP="00271D71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508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252"/>
        <w:gridCol w:w="883"/>
        <w:gridCol w:w="1211"/>
        <w:gridCol w:w="782"/>
        <w:gridCol w:w="1026"/>
        <w:gridCol w:w="874"/>
      </w:tblGrid>
      <w:tr w:rsidR="00B40D75" w:rsidRPr="00B61C2D" w14:paraId="30D2B9A0" w14:textId="77777777" w:rsidTr="007A7ADE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65D82A11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Año 2023 ($ Millones)</w:t>
            </w:r>
          </w:p>
        </w:tc>
      </w:tr>
      <w:tr w:rsidR="00B40D75" w:rsidRPr="00B61C2D" w14:paraId="22F4C16F" w14:textId="77777777" w:rsidTr="007A7ADE">
        <w:trPr>
          <w:trHeight w:val="970"/>
        </w:trPr>
        <w:tc>
          <w:tcPr>
            <w:tcW w:w="95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F27F4B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AE4A05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FE74355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60EC9A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705BDBB8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0F0914F0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576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A74EEA9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B40D75" w:rsidRPr="00B61C2D" w14:paraId="385AA50E" w14:textId="77777777" w:rsidTr="007A7ADE">
        <w:trPr>
          <w:trHeight w:val="300"/>
        </w:trPr>
        <w:tc>
          <w:tcPr>
            <w:tcW w:w="95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2AD725A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308B4EB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Casino </w:t>
            </w:r>
            <w:proofErr w:type="spellStart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Luckia</w:t>
            </w:r>
            <w:proofErr w:type="spellEnd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Arica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0118D7D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1.158,3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6DC077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1.158,3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7D56B9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2.200,7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874A13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5A9D8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5.733,2</w:t>
            </w:r>
          </w:p>
        </w:tc>
      </w:tr>
      <w:tr w:rsidR="00B40D75" w:rsidRPr="00B61C2D" w14:paraId="34B06E9F" w14:textId="77777777" w:rsidTr="007A7ADE">
        <w:trPr>
          <w:trHeight w:val="300"/>
        </w:trPr>
        <w:tc>
          <w:tcPr>
            <w:tcW w:w="95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87ACF79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A761013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E538EC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978,7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69A4FDF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978,7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8F71274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1.878,3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98BAA1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670,8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E09AFF7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4.506,4</w:t>
            </w:r>
          </w:p>
        </w:tc>
      </w:tr>
      <w:tr w:rsidR="00B40D75" w:rsidRPr="00B61C2D" w14:paraId="3190F1B8" w14:textId="77777777" w:rsidTr="007A7ADE">
        <w:trPr>
          <w:trHeight w:val="300"/>
        </w:trPr>
        <w:tc>
          <w:tcPr>
            <w:tcW w:w="95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F90A612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B3FF85A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Antofagasta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027594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2.527,3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097F42D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2.527,3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07F027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4.801,9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38F8111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1.821,8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3572771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11.678,4</w:t>
            </w:r>
          </w:p>
        </w:tc>
      </w:tr>
      <w:tr w:rsidR="00B40D75" w:rsidRPr="00B61C2D" w14:paraId="7A00E891" w14:textId="77777777" w:rsidTr="007A7ADE">
        <w:trPr>
          <w:trHeight w:val="300"/>
        </w:trPr>
        <w:tc>
          <w:tcPr>
            <w:tcW w:w="95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95E741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D56010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</w:t>
            </w:r>
            <w:proofErr w:type="spellEnd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Casino &amp; Hotel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D3092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1.158,6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13C22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1.158,6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0B9AC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2.369,6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3E551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1.090,6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53D436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5.777,5</w:t>
            </w:r>
          </w:p>
        </w:tc>
      </w:tr>
      <w:tr w:rsidR="00B40D75" w:rsidRPr="00B61C2D" w14:paraId="102ED60A" w14:textId="77777777" w:rsidTr="007A7ADE">
        <w:trPr>
          <w:trHeight w:val="300"/>
        </w:trPr>
        <w:tc>
          <w:tcPr>
            <w:tcW w:w="95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FE6F16C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9C881B2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C244BC1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449,5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77AE688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449,5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0EACAD1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854,1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A73A4D7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421,6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187C21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2.174,7</w:t>
            </w:r>
          </w:p>
        </w:tc>
      </w:tr>
      <w:tr w:rsidR="00B40D75" w:rsidRPr="00B61C2D" w14:paraId="43005ED1" w14:textId="77777777" w:rsidTr="007A7ADE">
        <w:trPr>
          <w:trHeight w:val="300"/>
        </w:trPr>
        <w:tc>
          <w:tcPr>
            <w:tcW w:w="95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FD5E8A4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C4ABF74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Coquimbo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A9FCA49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2.819,4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F204A2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2.819,4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4CAA39F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5.356,9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CF3ED97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2.307,5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4EEAA19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13.303,4</w:t>
            </w:r>
          </w:p>
        </w:tc>
      </w:tr>
      <w:tr w:rsidR="00B40D75" w:rsidRPr="00B61C2D" w14:paraId="203FEB4F" w14:textId="77777777" w:rsidTr="007A7ADE">
        <w:trPr>
          <w:trHeight w:val="300"/>
        </w:trPr>
        <w:tc>
          <w:tcPr>
            <w:tcW w:w="95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0425AAF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9DAE7D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3BACC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910,6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5F4AEF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910,6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CA93D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1.731,7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495AB1D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815,4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D270D8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4.368,3</w:t>
            </w:r>
          </w:p>
        </w:tc>
      </w:tr>
      <w:tr w:rsidR="00B40D75" w:rsidRPr="00B61C2D" w14:paraId="453C4DE4" w14:textId="77777777" w:rsidTr="007A7ADE">
        <w:trPr>
          <w:trHeight w:val="300"/>
        </w:trPr>
        <w:tc>
          <w:tcPr>
            <w:tcW w:w="95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F32EB33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F75D186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Viña del Mar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F4054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5.090,0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D7A66F4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5.090,0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CC7E66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9.671,1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F19EE24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3.076,6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0D1A1E3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22.927,8</w:t>
            </w:r>
          </w:p>
        </w:tc>
      </w:tr>
      <w:tr w:rsidR="00B40D75" w:rsidRPr="00B61C2D" w14:paraId="0D3352AC" w14:textId="77777777" w:rsidTr="007A7ADE">
        <w:trPr>
          <w:trHeight w:val="300"/>
        </w:trPr>
        <w:tc>
          <w:tcPr>
            <w:tcW w:w="95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5850828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96C8B0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Santiago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9DDFD3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3.121,9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DA0A454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3.121,9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CCFBF7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5.931,7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0EAF738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1.888,2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1AD391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14.063,7</w:t>
            </w:r>
          </w:p>
        </w:tc>
      </w:tr>
      <w:tr w:rsidR="00B40D75" w:rsidRPr="00B61C2D" w14:paraId="66DE4B34" w14:textId="77777777" w:rsidTr="007A7ADE">
        <w:trPr>
          <w:trHeight w:val="300"/>
        </w:trPr>
        <w:tc>
          <w:tcPr>
            <w:tcW w:w="95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F74C22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E3057F2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FAA9D1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8.913,5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F59E58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8.913,5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6C677C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18.175,0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6ED048D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4.446,3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DD45C1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40.448,2</w:t>
            </w:r>
          </w:p>
        </w:tc>
      </w:tr>
      <w:tr w:rsidR="00B40D75" w:rsidRPr="00B61C2D" w14:paraId="0F495B2C" w14:textId="77777777" w:rsidTr="007A7ADE">
        <w:trPr>
          <w:trHeight w:val="300"/>
        </w:trPr>
        <w:tc>
          <w:tcPr>
            <w:tcW w:w="95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8F7EA18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9DCA39D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07D927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626,5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C69475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626,5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DE363A0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1.208,8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771AFF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364,3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F7965F6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2.826,2</w:t>
            </w:r>
          </w:p>
        </w:tc>
      </w:tr>
      <w:tr w:rsidR="00B40D75" w:rsidRPr="00B61C2D" w14:paraId="116AE34F" w14:textId="77777777" w:rsidTr="007A7ADE">
        <w:trPr>
          <w:trHeight w:val="300"/>
        </w:trPr>
        <w:tc>
          <w:tcPr>
            <w:tcW w:w="95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C3B616F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D158683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D6295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843,3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BFD52C3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843,3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05CE05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1.618,4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17AA8D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715,9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F68C2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4.020,9</w:t>
            </w:r>
          </w:p>
        </w:tc>
      </w:tr>
      <w:tr w:rsidR="00B40D75" w:rsidRPr="00B61C2D" w14:paraId="28D35CCC" w14:textId="77777777" w:rsidTr="007A7ADE">
        <w:trPr>
          <w:trHeight w:val="300"/>
        </w:trPr>
        <w:tc>
          <w:tcPr>
            <w:tcW w:w="95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C9F110F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D5E519B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66D6306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940,9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D7CD477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940,9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8EFB9AA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1.805,8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FB27FD5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835,5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DDED663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4.523,1</w:t>
            </w:r>
          </w:p>
        </w:tc>
      </w:tr>
      <w:tr w:rsidR="00B40D75" w:rsidRPr="00B61C2D" w14:paraId="03E6DEE1" w14:textId="77777777" w:rsidTr="007A7ADE">
        <w:trPr>
          <w:trHeight w:val="300"/>
        </w:trPr>
        <w:tc>
          <w:tcPr>
            <w:tcW w:w="95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F9BC6DD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628F470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363299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3.766,4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3FDD1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3.766,4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B1290F5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7.596,5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4FBE4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2.701,1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8446BC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17.830,3</w:t>
            </w:r>
          </w:p>
        </w:tc>
      </w:tr>
      <w:tr w:rsidR="00B40D75" w:rsidRPr="00B61C2D" w14:paraId="6AECD13D" w14:textId="77777777" w:rsidTr="007A7ADE">
        <w:trPr>
          <w:trHeight w:val="300"/>
        </w:trPr>
        <w:tc>
          <w:tcPr>
            <w:tcW w:w="95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B010959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1D06A3C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883D8A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589,9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ADA464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589,9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883ED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1.120,8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1E0500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533,7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6B92D5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2.834,4</w:t>
            </w:r>
          </w:p>
        </w:tc>
      </w:tr>
      <w:tr w:rsidR="00B40D75" w:rsidRPr="00B61C2D" w14:paraId="5B2C3335" w14:textId="77777777" w:rsidTr="007A7ADE">
        <w:trPr>
          <w:trHeight w:val="300"/>
        </w:trPr>
        <w:tc>
          <w:tcPr>
            <w:tcW w:w="95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A240587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F4C2F6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2E85D0A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2.021,9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7462446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2.021,9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8EA4A86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3.880,5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F39E041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1.615,5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A5CF4E7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9.539,9</w:t>
            </w:r>
          </w:p>
        </w:tc>
      </w:tr>
      <w:tr w:rsidR="00B40D75" w:rsidRPr="00B61C2D" w14:paraId="58814A0B" w14:textId="77777777" w:rsidTr="007A7ADE">
        <w:trPr>
          <w:trHeight w:val="300"/>
        </w:trPr>
        <w:tc>
          <w:tcPr>
            <w:tcW w:w="95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9B56AAB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FCA09F9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Pucón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4ED65D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1.308,4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695893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1.308,4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E77ED5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2.485,9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9D84E9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1.035,5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A4C9F20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6.138,2</w:t>
            </w:r>
          </w:p>
        </w:tc>
      </w:tr>
      <w:tr w:rsidR="00B40D75" w:rsidRPr="00B61C2D" w14:paraId="2702B041" w14:textId="77777777" w:rsidTr="007A7ADE">
        <w:trPr>
          <w:trHeight w:val="300"/>
        </w:trPr>
        <w:tc>
          <w:tcPr>
            <w:tcW w:w="95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3026368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proofErr w:type="spellStart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Rios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DAC7DB3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5F0BA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1.215,9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4FC8E8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1.215,9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DB5D0D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2.345,9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F8D7D5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1.185,4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20F10C1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5.963,1</w:t>
            </w:r>
          </w:p>
        </w:tc>
      </w:tr>
      <w:tr w:rsidR="00B40D75" w:rsidRPr="00B61C2D" w14:paraId="3A6405EA" w14:textId="77777777" w:rsidTr="007A7ADE">
        <w:trPr>
          <w:trHeight w:val="300"/>
        </w:trPr>
        <w:tc>
          <w:tcPr>
            <w:tcW w:w="955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D3075EC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7289D13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C1EC08A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1.006,2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2CD316B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1.006,2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EDB40F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1.931,2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E21634A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790,8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1EADE6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4.734,5</w:t>
            </w:r>
          </w:p>
        </w:tc>
      </w:tr>
      <w:tr w:rsidR="00B40D75" w:rsidRPr="00B61C2D" w14:paraId="403BE776" w14:textId="77777777" w:rsidTr="007A7ADE">
        <w:trPr>
          <w:trHeight w:val="300"/>
        </w:trPr>
        <w:tc>
          <w:tcPr>
            <w:tcW w:w="955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A43C7B0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5507113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Chiloé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A0E99F9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413,4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D35EEE1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413,4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919E64F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785,5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1A543D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C291CA0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1.979,8</w:t>
            </w:r>
          </w:p>
        </w:tc>
      </w:tr>
      <w:tr w:rsidR="00B40D75" w:rsidRPr="00B61C2D" w14:paraId="33908DE6" w14:textId="77777777" w:rsidTr="007A7ADE">
        <w:trPr>
          <w:trHeight w:val="300"/>
        </w:trPr>
        <w:tc>
          <w:tcPr>
            <w:tcW w:w="95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52B82B1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1419E91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D6CC11F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434,1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0398EB0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434,1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23E5BC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824,7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31111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468CD16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2.088,9</w:t>
            </w:r>
          </w:p>
        </w:tc>
      </w:tr>
      <w:tr w:rsidR="00B40D75" w:rsidRPr="00B61C2D" w14:paraId="630F61F1" w14:textId="77777777" w:rsidTr="007A7ADE">
        <w:trPr>
          <w:trHeight w:val="300"/>
        </w:trPr>
        <w:tc>
          <w:tcPr>
            <w:tcW w:w="955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BA08047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76607D2" w14:textId="77777777" w:rsidR="00B40D75" w:rsidRPr="00B61C2D" w:rsidRDefault="00B40D75" w:rsidP="007A7AD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046EFEF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1.669,1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C6F8C33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1.669,1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E625B57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3.441,4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E56F823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1.483,5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97A4754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8.263,1</w:t>
            </w:r>
          </w:p>
        </w:tc>
      </w:tr>
      <w:tr w:rsidR="00B40D75" w:rsidRPr="00B61C2D" w14:paraId="64B38093" w14:textId="77777777" w:rsidTr="007A7ADE">
        <w:trPr>
          <w:trHeight w:val="300"/>
        </w:trPr>
        <w:tc>
          <w:tcPr>
            <w:tcW w:w="2223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602D4147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32E1BC2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41.964,0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AEBA895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41.964,0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DAF446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82.016,3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7E103C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29.779,5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E5BD97E" w14:textId="77777777" w:rsidR="00B40D75" w:rsidRPr="00B61C2D" w:rsidRDefault="00B40D75" w:rsidP="007A7A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1C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195.723,7</w:t>
            </w:r>
          </w:p>
        </w:tc>
      </w:tr>
    </w:tbl>
    <w:p w14:paraId="2A81456D" w14:textId="77777777" w:rsidR="00B40D75" w:rsidRDefault="00B40D75" w:rsidP="00271D7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B2D4F52" w14:textId="2E5BA75B" w:rsidR="00B40D75" w:rsidRPr="00673AE7" w:rsidRDefault="00B40D75" w:rsidP="00271D71">
      <w:pPr>
        <w:tabs>
          <w:tab w:val="left" w:pos="0"/>
        </w:tabs>
        <w:spacing w:after="0" w:line="240" w:lineRule="auto"/>
        <w:rPr>
          <w:b/>
          <w:bCs/>
        </w:rPr>
      </w:pPr>
      <w:r w:rsidRPr="00673AE7">
        <w:rPr>
          <w:b/>
          <w:bCs/>
        </w:rPr>
        <w:t>Ingresos y visitas</w:t>
      </w:r>
      <w:r>
        <w:rPr>
          <w:b/>
          <w:bCs/>
        </w:rPr>
        <w:t xml:space="preserve"> 2023</w:t>
      </w:r>
    </w:p>
    <w:p w14:paraId="0783D801" w14:textId="77777777" w:rsidR="00B40D75" w:rsidRDefault="00B40D75" w:rsidP="00271D71">
      <w:pPr>
        <w:tabs>
          <w:tab w:val="left" w:pos="0"/>
        </w:tabs>
        <w:spacing w:after="0" w:line="240" w:lineRule="auto"/>
      </w:pPr>
    </w:p>
    <w:p w14:paraId="765DAB91" w14:textId="7D630B97" w:rsidR="00FE0689" w:rsidRPr="00FE0689" w:rsidRDefault="00B40D75" w:rsidP="00FE0689">
      <w:pPr>
        <w:tabs>
          <w:tab w:val="left" w:pos="0"/>
        </w:tabs>
        <w:spacing w:after="0" w:line="240" w:lineRule="auto"/>
      </w:pPr>
      <w:r w:rsidRPr="00FE0689">
        <w:t xml:space="preserve">Los </w:t>
      </w:r>
      <w:r w:rsidR="00FE0689" w:rsidRPr="00FE0689">
        <w:t xml:space="preserve">25 </w:t>
      </w:r>
      <w:r w:rsidRPr="00FE0689">
        <w:t xml:space="preserve">casinos de juego </w:t>
      </w:r>
      <w:r w:rsidR="00FE0689" w:rsidRPr="00FE0689">
        <w:t xml:space="preserve">que operan en el país </w:t>
      </w:r>
      <w:r w:rsidRPr="00FE0689">
        <w:t>registraron ingresos brutos del juego (</w:t>
      </w:r>
      <w:proofErr w:type="spellStart"/>
      <w:r w:rsidRPr="00FE0689">
        <w:t>win</w:t>
      </w:r>
      <w:proofErr w:type="spellEnd"/>
      <w:r w:rsidRPr="00FE0689">
        <w:t xml:space="preserve">) por $513.681 millones </w:t>
      </w:r>
      <w:r w:rsidR="00FE0689" w:rsidRPr="00FE0689">
        <w:t xml:space="preserve">en </w:t>
      </w:r>
      <w:r w:rsidRPr="00FE0689">
        <w:t>2023</w:t>
      </w:r>
      <w:r w:rsidR="00FE0689" w:rsidRPr="00FE0689">
        <w:t xml:space="preserve">, los que, en términos reales, fueron un </w:t>
      </w:r>
      <w:r w:rsidR="00FE0689" w:rsidRPr="00673AE7">
        <w:t>9,1% superiores</w:t>
      </w:r>
      <w:r w:rsidR="00FE0689" w:rsidRPr="00FE0689">
        <w:t xml:space="preserve"> </w:t>
      </w:r>
      <w:r w:rsidR="00FE0689" w:rsidRPr="00673AE7">
        <w:t>respecto de 2022</w:t>
      </w:r>
      <w:r w:rsidR="00FE0689" w:rsidRPr="00FE0689">
        <w:t>.</w:t>
      </w:r>
      <w:r w:rsidR="007D6C65">
        <w:t xml:space="preserve"> En tanto, en el mes de diciembre, los ingresos fueron un 4,7% menores a los de diciembre 2022.</w:t>
      </w:r>
    </w:p>
    <w:p w14:paraId="39DC3133" w14:textId="77777777" w:rsidR="00B40D75" w:rsidRDefault="00B40D75" w:rsidP="00FE0689">
      <w:pPr>
        <w:tabs>
          <w:tab w:val="left" w:pos="0"/>
        </w:tabs>
        <w:spacing w:after="0" w:line="240" w:lineRule="auto"/>
        <w:rPr>
          <w:b/>
          <w:bCs/>
        </w:rPr>
      </w:pPr>
    </w:p>
    <w:p w14:paraId="04714705" w14:textId="1A51BD1B" w:rsidR="00B40D75" w:rsidRDefault="00FE0689" w:rsidP="00FE0689">
      <w:pPr>
        <w:tabs>
          <w:tab w:val="left" w:pos="0"/>
        </w:tabs>
        <w:spacing w:after="0" w:line="240" w:lineRule="auto"/>
        <w:rPr>
          <w:b/>
          <w:bCs/>
        </w:rPr>
      </w:pPr>
      <w:r w:rsidRPr="004C5EE7">
        <w:t xml:space="preserve">En cuanto a las visitas, se registraron </w:t>
      </w:r>
      <w:r>
        <w:t>7,12 millones de</w:t>
      </w:r>
      <w:r w:rsidRPr="004C5EE7">
        <w:t xml:space="preserve"> personas que ingresaron a los </w:t>
      </w:r>
      <w:r>
        <w:t xml:space="preserve">25 </w:t>
      </w:r>
      <w:r w:rsidRPr="004C5EE7">
        <w:t xml:space="preserve">casinos </w:t>
      </w:r>
      <w:r>
        <w:t>en operación, lo que equivale a un aumento de 12% con respecto a las de 2022.</w:t>
      </w:r>
    </w:p>
    <w:p w14:paraId="70E08390" w14:textId="77777777" w:rsidR="00FE0689" w:rsidRDefault="00FE0689" w:rsidP="00FE0689">
      <w:pPr>
        <w:tabs>
          <w:tab w:val="left" w:pos="0"/>
        </w:tabs>
        <w:spacing w:after="0" w:line="240" w:lineRule="auto"/>
        <w:rPr>
          <w:b/>
          <w:bCs/>
        </w:rPr>
      </w:pPr>
    </w:p>
    <w:p w14:paraId="7B05DE13" w14:textId="7B0D74D5" w:rsidR="00FE0689" w:rsidRDefault="00FE0689" w:rsidP="00FE0689">
      <w:pPr>
        <w:spacing w:line="259" w:lineRule="auto"/>
        <w:rPr>
          <w:b/>
          <w:bCs/>
        </w:rPr>
      </w:pPr>
      <w:r>
        <w:t xml:space="preserve">Además, </w:t>
      </w:r>
      <w:r w:rsidRPr="004C5EE7">
        <w:t xml:space="preserve">durante </w:t>
      </w:r>
      <w:r>
        <w:t>2023 se</w:t>
      </w:r>
      <w:r w:rsidRPr="009C3A3E">
        <w:t xml:space="preserve"> registró un gasto promedio </w:t>
      </w:r>
      <w:r>
        <w:t>de</w:t>
      </w:r>
      <w:r w:rsidRPr="009C3A3E">
        <w:t xml:space="preserve"> $</w:t>
      </w:r>
      <w:r>
        <w:t xml:space="preserve">76.042 </w:t>
      </w:r>
      <w:r w:rsidRPr="009C3A3E">
        <w:t xml:space="preserve">por visita, </w:t>
      </w:r>
      <w:r w:rsidRPr="00FE0689">
        <w:t>lo que implica una disminución de un 12% en términos reales del gasto promedio por visita del año 2022</w:t>
      </w:r>
      <w:r>
        <w:t>.</w:t>
      </w:r>
    </w:p>
    <w:p w14:paraId="3674E344" w14:textId="77777777" w:rsidR="00FE0689" w:rsidRDefault="00FE0689" w:rsidP="00271D71">
      <w:pPr>
        <w:tabs>
          <w:tab w:val="left" w:pos="0"/>
        </w:tabs>
        <w:spacing w:after="0" w:line="240" w:lineRule="auto"/>
        <w:rPr>
          <w:b/>
          <w:bCs/>
        </w:rPr>
      </w:pPr>
    </w:p>
    <w:p w14:paraId="3EFD91EF" w14:textId="5BC0A5E7" w:rsidR="00360DC9" w:rsidRDefault="00FE0689" w:rsidP="00EA5C85">
      <w:pPr>
        <w:tabs>
          <w:tab w:val="left" w:pos="0"/>
        </w:tabs>
        <w:spacing w:after="0" w:line="240" w:lineRule="auto"/>
      </w:pPr>
      <w:r>
        <w:rPr>
          <w:b/>
          <w:bCs/>
        </w:rPr>
        <w:t xml:space="preserve">NOTA: </w:t>
      </w:r>
      <w:r w:rsidRPr="00673AE7">
        <w:t xml:space="preserve">El detalle de los resultados operacionales de los casinos de juego de diciembre de 2023 se encuentran disponibles en el Boletín </w:t>
      </w:r>
      <w:r w:rsidR="00B96CFB" w:rsidRPr="00673AE7">
        <w:t>Estadísticos de la SCJ.</w:t>
      </w:r>
    </w:p>
    <w:sectPr w:rsidR="00360DC9" w:rsidSect="00017EB4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577C" w14:textId="77777777" w:rsidR="00017EB4" w:rsidRDefault="00017EB4" w:rsidP="00FD382C">
      <w:r>
        <w:separator/>
      </w:r>
    </w:p>
  </w:endnote>
  <w:endnote w:type="continuationSeparator" w:id="0">
    <w:p w14:paraId="2BDACE5A" w14:textId="77777777" w:rsidR="00017EB4" w:rsidRDefault="00017EB4" w:rsidP="00FD382C">
      <w:r>
        <w:continuationSeparator/>
      </w:r>
    </w:p>
  </w:endnote>
  <w:endnote w:type="continuationNotice" w:id="1">
    <w:p w14:paraId="04A6747C" w14:textId="77777777" w:rsidR="00017EB4" w:rsidRDefault="00017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5542" w14:textId="77777777" w:rsidR="00017EB4" w:rsidRDefault="00017EB4" w:rsidP="00FD382C">
      <w:r>
        <w:separator/>
      </w:r>
    </w:p>
  </w:footnote>
  <w:footnote w:type="continuationSeparator" w:id="0">
    <w:p w14:paraId="55046632" w14:textId="77777777" w:rsidR="00017EB4" w:rsidRDefault="00017EB4" w:rsidP="00FD382C">
      <w:r>
        <w:continuationSeparator/>
      </w:r>
    </w:p>
  </w:footnote>
  <w:footnote w:type="continuationNotice" w:id="1">
    <w:p w14:paraId="0FB34C81" w14:textId="77777777" w:rsidR="00017EB4" w:rsidRDefault="00017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3C36BAAD" w14:textId="02194B8D" w:rsidR="00360DC9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FC6018">
      <w:rPr>
        <w:b/>
      </w:rPr>
      <w:t>Martes 13</w:t>
    </w:r>
    <w:r w:rsidR="00731D61">
      <w:rPr>
        <w:b/>
      </w:rPr>
      <w:t xml:space="preserve"> </w:t>
    </w:r>
    <w:r>
      <w:rPr>
        <w:b/>
      </w:rPr>
      <w:t xml:space="preserve">de </w:t>
    </w:r>
    <w:r w:rsidR="000E1640">
      <w:rPr>
        <w:b/>
      </w:rPr>
      <w:t>febrero</w:t>
    </w:r>
    <w:r w:rsidR="008659CE">
      <w:rPr>
        <w:b/>
      </w:rPr>
      <w:t xml:space="preserve"> </w:t>
    </w:r>
    <w:r>
      <w:rPr>
        <w:b/>
      </w:rPr>
      <w:t>de 202</w:t>
    </w:r>
    <w:r w:rsidR="00360DC9">
      <w:rPr>
        <w:b/>
      </w:rPr>
      <w:t>4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135520661">
    <w:abstractNumId w:val="3"/>
  </w:num>
  <w:num w:numId="2" w16cid:durableId="960652207">
    <w:abstractNumId w:val="5"/>
  </w:num>
  <w:num w:numId="3" w16cid:durableId="987249900">
    <w:abstractNumId w:val="0"/>
  </w:num>
  <w:num w:numId="4" w16cid:durableId="280578368">
    <w:abstractNumId w:val="6"/>
  </w:num>
  <w:num w:numId="5" w16cid:durableId="660279485">
    <w:abstractNumId w:val="2"/>
  </w:num>
  <w:num w:numId="6" w16cid:durableId="1807510445">
    <w:abstractNumId w:val="4"/>
  </w:num>
  <w:num w:numId="7" w16cid:durableId="31136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17EB4"/>
    <w:rsid w:val="00020099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6EA"/>
    <w:rsid w:val="000B22E7"/>
    <w:rsid w:val="000B2B6C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4DA1"/>
    <w:rsid w:val="0018689C"/>
    <w:rsid w:val="00186B7F"/>
    <w:rsid w:val="001914DF"/>
    <w:rsid w:val="00196290"/>
    <w:rsid w:val="001A00AC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2AF5"/>
    <w:rsid w:val="00253DA5"/>
    <w:rsid w:val="002542B1"/>
    <w:rsid w:val="00255940"/>
    <w:rsid w:val="00265A30"/>
    <w:rsid w:val="00271062"/>
    <w:rsid w:val="00271B88"/>
    <w:rsid w:val="00271D71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0DC9"/>
    <w:rsid w:val="00361FF2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26C10"/>
    <w:rsid w:val="00427615"/>
    <w:rsid w:val="00433F84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A7031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5C9D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4F65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5B1C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6107D"/>
    <w:rsid w:val="00670528"/>
    <w:rsid w:val="00670C50"/>
    <w:rsid w:val="006717A5"/>
    <w:rsid w:val="00673AE7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C2E93"/>
    <w:rsid w:val="006C49D0"/>
    <w:rsid w:val="006C4C1B"/>
    <w:rsid w:val="006D0D1F"/>
    <w:rsid w:val="006D340C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0654"/>
    <w:rsid w:val="007C4E85"/>
    <w:rsid w:val="007C6AB3"/>
    <w:rsid w:val="007D18AC"/>
    <w:rsid w:val="007D1CD3"/>
    <w:rsid w:val="007D2B56"/>
    <w:rsid w:val="007D6C07"/>
    <w:rsid w:val="007D6C65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38F3"/>
    <w:rsid w:val="009265AF"/>
    <w:rsid w:val="009303C5"/>
    <w:rsid w:val="00932D63"/>
    <w:rsid w:val="00936EAE"/>
    <w:rsid w:val="00943C82"/>
    <w:rsid w:val="0094407B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41A3"/>
    <w:rsid w:val="00A55386"/>
    <w:rsid w:val="00A63E30"/>
    <w:rsid w:val="00A667EF"/>
    <w:rsid w:val="00A71A63"/>
    <w:rsid w:val="00A729EA"/>
    <w:rsid w:val="00A73100"/>
    <w:rsid w:val="00A74B36"/>
    <w:rsid w:val="00A80753"/>
    <w:rsid w:val="00A8087D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2B12"/>
    <w:rsid w:val="00B3402A"/>
    <w:rsid w:val="00B344C1"/>
    <w:rsid w:val="00B36B82"/>
    <w:rsid w:val="00B37C0F"/>
    <w:rsid w:val="00B40D75"/>
    <w:rsid w:val="00B41AFC"/>
    <w:rsid w:val="00B4362A"/>
    <w:rsid w:val="00B440B7"/>
    <w:rsid w:val="00B45B9F"/>
    <w:rsid w:val="00B54238"/>
    <w:rsid w:val="00B57C17"/>
    <w:rsid w:val="00B57DCD"/>
    <w:rsid w:val="00B57FF1"/>
    <w:rsid w:val="00B61C2D"/>
    <w:rsid w:val="00B669F9"/>
    <w:rsid w:val="00B67DE2"/>
    <w:rsid w:val="00B67E4D"/>
    <w:rsid w:val="00B73927"/>
    <w:rsid w:val="00B8275E"/>
    <w:rsid w:val="00B82BFF"/>
    <w:rsid w:val="00B8365F"/>
    <w:rsid w:val="00B84B30"/>
    <w:rsid w:val="00B86E4A"/>
    <w:rsid w:val="00B93B36"/>
    <w:rsid w:val="00B96CFB"/>
    <w:rsid w:val="00BA3504"/>
    <w:rsid w:val="00BA4CC3"/>
    <w:rsid w:val="00BA7A93"/>
    <w:rsid w:val="00BB6F98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E04"/>
    <w:rsid w:val="00C17937"/>
    <w:rsid w:val="00C2062A"/>
    <w:rsid w:val="00C253AC"/>
    <w:rsid w:val="00C27DE5"/>
    <w:rsid w:val="00C44D28"/>
    <w:rsid w:val="00C5279C"/>
    <w:rsid w:val="00C547FE"/>
    <w:rsid w:val="00C60FC7"/>
    <w:rsid w:val="00C62C46"/>
    <w:rsid w:val="00C64155"/>
    <w:rsid w:val="00C708EE"/>
    <w:rsid w:val="00C73FD0"/>
    <w:rsid w:val="00C742BA"/>
    <w:rsid w:val="00C8471D"/>
    <w:rsid w:val="00C85945"/>
    <w:rsid w:val="00C85F49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6392"/>
    <w:rsid w:val="00CD4712"/>
    <w:rsid w:val="00CD5340"/>
    <w:rsid w:val="00CE05DF"/>
    <w:rsid w:val="00CE60DC"/>
    <w:rsid w:val="00CF05B4"/>
    <w:rsid w:val="00CF2067"/>
    <w:rsid w:val="00CF3270"/>
    <w:rsid w:val="00CF5C17"/>
    <w:rsid w:val="00CF66DC"/>
    <w:rsid w:val="00CF73CD"/>
    <w:rsid w:val="00D0204A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143C"/>
    <w:rsid w:val="00DC75C9"/>
    <w:rsid w:val="00DD0B06"/>
    <w:rsid w:val="00DD33E1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69B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199D"/>
    <w:rsid w:val="00F3483A"/>
    <w:rsid w:val="00F35AD0"/>
    <w:rsid w:val="00F35E80"/>
    <w:rsid w:val="00F41C39"/>
    <w:rsid w:val="00F449A7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C6018"/>
    <w:rsid w:val="00FC76DD"/>
    <w:rsid w:val="00FD0394"/>
    <w:rsid w:val="00FD382C"/>
    <w:rsid w:val="00FE0689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B66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 Acosta</cp:lastModifiedBy>
  <cp:revision>3</cp:revision>
  <cp:lastPrinted>2019-08-27T13:47:00Z</cp:lastPrinted>
  <dcterms:created xsi:type="dcterms:W3CDTF">2024-02-13T19:18:00Z</dcterms:created>
  <dcterms:modified xsi:type="dcterms:W3CDTF">2024-02-13T19:18:00Z</dcterms:modified>
</cp:coreProperties>
</file>