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84B43" w14:textId="158D2D22" w:rsidR="009736D6" w:rsidRDefault="00841503" w:rsidP="00CE3E25">
      <w:pPr>
        <w:rPr>
          <w:rFonts w:ascii="Calibri" w:hAnsi="Calibri" w:cs="Arial"/>
          <w:b/>
          <w:sz w:val="35"/>
          <w:szCs w:val="35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B22F3" wp14:editId="3AF885EA">
                <wp:simplePos x="0" y="0"/>
                <wp:positionH relativeFrom="margin">
                  <wp:align>right</wp:align>
                </wp:positionH>
                <wp:positionV relativeFrom="paragraph">
                  <wp:posOffset>-574675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EA74A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00D6B486" w14:textId="69ACBB73" w:rsidR="007C01C3" w:rsidRPr="002E2F19" w:rsidRDefault="007C01C3" w:rsidP="005A1281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062037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30 de abril de 2024</w:t>
                            </w:r>
                            <w:r w:rsid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</w:p>
                          <w:p w14:paraId="47D830A7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BCF4472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B2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5.2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" strokecolor="white">
                <v:textbox>
                  <w:txbxContent>
                    <w:p w14:paraId="15EEA74A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00D6B486" w14:textId="69ACBB73" w:rsidR="007C01C3" w:rsidRPr="002E2F19" w:rsidRDefault="007C01C3" w:rsidP="005A1281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062037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30 de abril de 2024</w:t>
                      </w:r>
                      <w:r w:rsid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</w:p>
                    <w:p w14:paraId="47D830A7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BCF4472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0B437" w14:textId="53FFCBF6" w:rsidR="00CB7014" w:rsidRDefault="00CB7014" w:rsidP="00CB7014">
      <w:pPr>
        <w:jc w:val="both"/>
        <w:rPr>
          <w:rFonts w:ascii="Calibri" w:hAnsi="Calibri" w:cs="Arial"/>
          <w:b/>
          <w:sz w:val="35"/>
          <w:szCs w:val="35"/>
        </w:rPr>
      </w:pPr>
      <w:r>
        <w:rPr>
          <w:rFonts w:ascii="Calibri" w:hAnsi="Calibri" w:cs="Arial"/>
          <w:b/>
          <w:sz w:val="35"/>
          <w:szCs w:val="35"/>
        </w:rPr>
        <w:t>SCJ convoca a audiencia de apertura de oferta</w:t>
      </w:r>
      <w:r w:rsidR="00062037">
        <w:rPr>
          <w:rFonts w:ascii="Calibri" w:hAnsi="Calibri" w:cs="Arial"/>
          <w:b/>
          <w:sz w:val="35"/>
          <w:szCs w:val="35"/>
        </w:rPr>
        <w:t xml:space="preserve"> </w:t>
      </w:r>
      <w:r>
        <w:rPr>
          <w:rFonts w:ascii="Calibri" w:hAnsi="Calibri" w:cs="Arial"/>
          <w:b/>
          <w:sz w:val="35"/>
          <w:szCs w:val="35"/>
        </w:rPr>
        <w:t>económica</w:t>
      </w:r>
      <w:r w:rsidR="00E17649">
        <w:rPr>
          <w:rFonts w:ascii="Calibri" w:hAnsi="Calibri" w:cs="Arial"/>
          <w:b/>
          <w:sz w:val="35"/>
          <w:szCs w:val="35"/>
        </w:rPr>
        <w:t xml:space="preserve"> para casino de </w:t>
      </w:r>
      <w:r w:rsidR="00062037">
        <w:rPr>
          <w:rFonts w:ascii="Calibri" w:hAnsi="Calibri" w:cs="Arial"/>
          <w:b/>
          <w:sz w:val="35"/>
          <w:szCs w:val="35"/>
        </w:rPr>
        <w:t>juego en Natales</w:t>
      </w:r>
      <w:r>
        <w:rPr>
          <w:rFonts w:ascii="Calibri" w:hAnsi="Calibri" w:cs="Arial"/>
          <w:b/>
          <w:sz w:val="35"/>
          <w:szCs w:val="35"/>
        </w:rPr>
        <w:t xml:space="preserve"> </w:t>
      </w:r>
    </w:p>
    <w:p w14:paraId="32B0E40E" w14:textId="4729C2F4" w:rsidR="004D406D" w:rsidRDefault="004D406D" w:rsidP="009736D6">
      <w:pPr>
        <w:jc w:val="both"/>
        <w:rPr>
          <w:rFonts w:ascii="Calibri" w:hAnsi="Calibri" w:cs="Arial"/>
          <w:b/>
          <w:sz w:val="35"/>
          <w:szCs w:val="35"/>
        </w:rPr>
      </w:pPr>
    </w:p>
    <w:p w14:paraId="6BDB872C" w14:textId="3FE629B0" w:rsidR="00B51E1E" w:rsidRPr="00B51E1E" w:rsidRDefault="00AD499B" w:rsidP="00B51E1E">
      <w:pPr>
        <w:jc w:val="both"/>
        <w:rPr>
          <w:rFonts w:asciiTheme="majorHAnsi" w:hAnsiTheme="majorHAnsi" w:cstheme="majorHAnsi"/>
          <w:sz w:val="22"/>
          <w:szCs w:val="22"/>
        </w:rPr>
      </w:pPr>
      <w:r w:rsidRPr="00B51E1E">
        <w:rPr>
          <w:rFonts w:asciiTheme="majorHAnsi" w:hAnsiTheme="majorHAnsi" w:cstheme="majorHAnsi"/>
          <w:sz w:val="22"/>
          <w:szCs w:val="22"/>
        </w:rPr>
        <w:t>La Superintendencia de Casinos de Juego (SCJ) informa que</w:t>
      </w:r>
      <w:r w:rsidR="00F86909" w:rsidRPr="00B51E1E">
        <w:rPr>
          <w:rFonts w:asciiTheme="majorHAnsi" w:hAnsiTheme="majorHAnsi" w:cstheme="majorHAnsi"/>
          <w:sz w:val="22"/>
          <w:szCs w:val="22"/>
        </w:rPr>
        <w:t xml:space="preserve"> en la sesión realizada el </w:t>
      </w:r>
      <w:r w:rsidR="00062037">
        <w:rPr>
          <w:rFonts w:asciiTheme="majorHAnsi" w:hAnsiTheme="majorHAnsi" w:cstheme="majorHAnsi"/>
          <w:sz w:val="22"/>
          <w:szCs w:val="22"/>
        </w:rPr>
        <w:t>29 de abril de 2024</w:t>
      </w:r>
      <w:r w:rsidR="00B42965" w:rsidRPr="00B51E1E">
        <w:rPr>
          <w:rFonts w:asciiTheme="majorHAnsi" w:hAnsiTheme="majorHAnsi" w:cstheme="majorHAnsi"/>
          <w:sz w:val="22"/>
          <w:szCs w:val="22"/>
        </w:rPr>
        <w:t xml:space="preserve">, </w:t>
      </w:r>
      <w:r w:rsidR="00BD1047">
        <w:rPr>
          <w:rFonts w:asciiTheme="majorHAnsi" w:hAnsiTheme="majorHAnsi" w:cstheme="majorHAnsi"/>
          <w:sz w:val="22"/>
          <w:szCs w:val="22"/>
        </w:rPr>
        <w:t>su</w:t>
      </w:r>
      <w:r w:rsidRPr="00B51E1E">
        <w:rPr>
          <w:rFonts w:asciiTheme="majorHAnsi" w:hAnsiTheme="majorHAnsi" w:cstheme="majorHAnsi"/>
          <w:sz w:val="22"/>
          <w:szCs w:val="22"/>
        </w:rPr>
        <w:t xml:space="preserve"> Consejo Resolutivo</w:t>
      </w:r>
      <w:r w:rsidR="00E10B1A" w:rsidRPr="00B51E1E">
        <w:rPr>
          <w:rFonts w:asciiTheme="majorHAnsi" w:hAnsiTheme="majorHAnsi" w:cstheme="majorHAnsi"/>
          <w:sz w:val="22"/>
          <w:szCs w:val="22"/>
        </w:rPr>
        <w:t xml:space="preserve"> </w:t>
      </w:r>
      <w:r w:rsidRPr="00B51E1E">
        <w:rPr>
          <w:rFonts w:asciiTheme="majorHAnsi" w:hAnsiTheme="majorHAnsi" w:cstheme="majorHAnsi"/>
          <w:sz w:val="22"/>
          <w:szCs w:val="22"/>
        </w:rPr>
        <w:t>ratificó</w:t>
      </w:r>
      <w:r w:rsidR="00F86909" w:rsidRPr="00B51E1E">
        <w:rPr>
          <w:rFonts w:asciiTheme="majorHAnsi" w:hAnsiTheme="majorHAnsi" w:cstheme="majorHAnsi"/>
          <w:sz w:val="22"/>
          <w:szCs w:val="22"/>
        </w:rPr>
        <w:t xml:space="preserve"> por unanimidad</w:t>
      </w:r>
      <w:r w:rsidR="00B51E1E" w:rsidRPr="00B51E1E">
        <w:rPr>
          <w:rFonts w:asciiTheme="majorHAnsi" w:hAnsiTheme="majorHAnsi" w:cstheme="majorHAnsi"/>
          <w:sz w:val="22"/>
          <w:szCs w:val="22"/>
        </w:rPr>
        <w:t xml:space="preserve"> </w:t>
      </w:r>
      <w:r w:rsidR="00B51E1E">
        <w:rPr>
          <w:rFonts w:asciiTheme="majorHAnsi" w:hAnsiTheme="majorHAnsi" w:cstheme="majorHAnsi"/>
          <w:sz w:val="22"/>
          <w:szCs w:val="22"/>
        </w:rPr>
        <w:t>la propuesta de evaluación técnica presentada</w:t>
      </w:r>
      <w:r w:rsidR="00062037">
        <w:rPr>
          <w:rFonts w:asciiTheme="majorHAnsi" w:hAnsiTheme="majorHAnsi" w:cstheme="majorHAnsi"/>
          <w:sz w:val="22"/>
          <w:szCs w:val="22"/>
        </w:rPr>
        <w:t xml:space="preserve"> </w:t>
      </w:r>
      <w:r w:rsidR="00B51E1E">
        <w:rPr>
          <w:rFonts w:asciiTheme="majorHAnsi" w:hAnsiTheme="majorHAnsi" w:cstheme="majorHAnsi"/>
          <w:sz w:val="22"/>
          <w:szCs w:val="22"/>
        </w:rPr>
        <w:t>por este organismo regulador, determinándose el puntaje de</w:t>
      </w:r>
      <w:r w:rsidR="00062037">
        <w:rPr>
          <w:rFonts w:asciiTheme="majorHAnsi" w:hAnsiTheme="majorHAnsi" w:cstheme="majorHAnsi"/>
          <w:sz w:val="22"/>
          <w:szCs w:val="22"/>
        </w:rPr>
        <w:t xml:space="preserve">l </w:t>
      </w:r>
      <w:r w:rsidR="00B51E1E">
        <w:rPr>
          <w:rFonts w:asciiTheme="majorHAnsi" w:hAnsiTheme="majorHAnsi" w:cstheme="majorHAnsi"/>
          <w:sz w:val="22"/>
          <w:szCs w:val="22"/>
        </w:rPr>
        <w:t>proyecto postulante a un permiso de operación para casino de juego</w:t>
      </w:r>
      <w:r w:rsidR="00E72D29">
        <w:rPr>
          <w:rFonts w:asciiTheme="majorHAnsi" w:hAnsiTheme="majorHAnsi" w:cstheme="majorHAnsi"/>
          <w:sz w:val="22"/>
          <w:szCs w:val="22"/>
        </w:rPr>
        <w:t xml:space="preserve"> </w:t>
      </w:r>
      <w:r w:rsidR="00156FC2">
        <w:rPr>
          <w:rFonts w:asciiTheme="majorHAnsi" w:hAnsiTheme="majorHAnsi" w:cstheme="majorHAnsi"/>
          <w:sz w:val="22"/>
          <w:szCs w:val="22"/>
        </w:rPr>
        <w:t xml:space="preserve">de la </w:t>
      </w:r>
      <w:r w:rsidR="00B51E1E" w:rsidRPr="00B51E1E">
        <w:rPr>
          <w:rFonts w:asciiTheme="majorHAnsi" w:hAnsiTheme="majorHAnsi" w:cstheme="majorHAnsi"/>
          <w:sz w:val="22"/>
          <w:szCs w:val="22"/>
        </w:rPr>
        <w:t>sociedad</w:t>
      </w:r>
      <w:r w:rsidR="00062037">
        <w:rPr>
          <w:rFonts w:asciiTheme="majorHAnsi" w:hAnsiTheme="majorHAnsi" w:cstheme="majorHAnsi"/>
          <w:sz w:val="22"/>
          <w:szCs w:val="22"/>
        </w:rPr>
        <w:t xml:space="preserve"> Casino Patagonia S.A., </w:t>
      </w:r>
      <w:r w:rsidR="00B51E1E">
        <w:rPr>
          <w:rFonts w:asciiTheme="majorHAnsi" w:hAnsiTheme="majorHAnsi" w:cstheme="majorHAnsi"/>
          <w:sz w:val="22"/>
          <w:szCs w:val="22"/>
        </w:rPr>
        <w:t xml:space="preserve">para la comuna </w:t>
      </w:r>
      <w:r w:rsidR="00062037">
        <w:rPr>
          <w:rFonts w:asciiTheme="majorHAnsi" w:hAnsiTheme="majorHAnsi" w:cstheme="majorHAnsi"/>
          <w:sz w:val="22"/>
          <w:szCs w:val="22"/>
        </w:rPr>
        <w:t>de Natales, Región de Magallanes</w:t>
      </w:r>
      <w:r w:rsidR="00460BA5">
        <w:rPr>
          <w:rFonts w:asciiTheme="majorHAnsi" w:hAnsiTheme="majorHAnsi" w:cstheme="majorHAnsi"/>
          <w:sz w:val="22"/>
          <w:szCs w:val="22"/>
        </w:rPr>
        <w:t xml:space="preserve"> y la Antártica Chilena</w:t>
      </w:r>
      <w:r w:rsidR="00062037">
        <w:rPr>
          <w:rFonts w:asciiTheme="majorHAnsi" w:hAnsiTheme="majorHAnsi" w:cstheme="majorHAnsi"/>
          <w:sz w:val="22"/>
          <w:szCs w:val="22"/>
        </w:rPr>
        <w:t xml:space="preserve">. </w:t>
      </w:r>
      <w:r w:rsidR="00B51E1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FDDA0F0" w14:textId="77777777" w:rsidR="00B51E1E" w:rsidRDefault="00B51E1E" w:rsidP="00B51E1E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</w:p>
    <w:p w14:paraId="0768BDCD" w14:textId="1B1092EB" w:rsidR="00F86909" w:rsidRPr="00964B2F" w:rsidRDefault="00CE698E" w:rsidP="000B6D6F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Ratificada</w:t>
      </w:r>
      <w:r w:rsidRPr="00733D7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86909">
        <w:rPr>
          <w:rFonts w:asciiTheme="majorHAnsi" w:hAnsiTheme="majorHAnsi" w:cstheme="majorHAnsi"/>
          <w:color w:val="000000"/>
          <w:sz w:val="22"/>
          <w:szCs w:val="22"/>
        </w:rPr>
        <w:t xml:space="preserve">dicha </w:t>
      </w:r>
      <w:r w:rsidR="00F86909" w:rsidRPr="00733D71">
        <w:rPr>
          <w:rFonts w:asciiTheme="majorHAnsi" w:hAnsiTheme="majorHAnsi" w:cstheme="majorHAnsi"/>
          <w:color w:val="000000"/>
          <w:sz w:val="22"/>
          <w:szCs w:val="22"/>
        </w:rPr>
        <w:t>evaluación</w:t>
      </w:r>
      <w:r w:rsidR="00F86909">
        <w:rPr>
          <w:rFonts w:asciiTheme="majorHAnsi" w:hAnsiTheme="majorHAnsi" w:cstheme="majorHAnsi"/>
          <w:color w:val="000000"/>
          <w:sz w:val="22"/>
          <w:szCs w:val="22"/>
        </w:rPr>
        <w:t xml:space="preserve"> técnica</w:t>
      </w:r>
      <w:r w:rsidR="00156FC2">
        <w:rPr>
          <w:rFonts w:asciiTheme="majorHAnsi" w:hAnsiTheme="majorHAnsi" w:cstheme="majorHAnsi"/>
          <w:color w:val="000000"/>
          <w:sz w:val="22"/>
          <w:szCs w:val="22"/>
        </w:rPr>
        <w:t xml:space="preserve">, la Superintendencia </w:t>
      </w:r>
      <w:r w:rsidR="00F86909">
        <w:rPr>
          <w:rFonts w:asciiTheme="majorHAnsi" w:hAnsiTheme="majorHAnsi" w:cstheme="majorHAnsi"/>
          <w:color w:val="000000"/>
          <w:sz w:val="22"/>
          <w:szCs w:val="22"/>
        </w:rPr>
        <w:t xml:space="preserve">emitió </w:t>
      </w:r>
      <w:r w:rsidR="005C07A8">
        <w:rPr>
          <w:rFonts w:asciiTheme="majorHAnsi" w:hAnsiTheme="majorHAnsi" w:cstheme="majorHAnsi"/>
          <w:color w:val="000000"/>
          <w:sz w:val="22"/>
          <w:szCs w:val="22"/>
        </w:rPr>
        <w:t>la Resolución Exenta N</w:t>
      </w:r>
      <w:r w:rsidR="00062037">
        <w:rPr>
          <w:rFonts w:asciiTheme="majorHAnsi" w:hAnsiTheme="majorHAnsi" w:cstheme="majorHAnsi"/>
          <w:color w:val="000000"/>
          <w:sz w:val="22"/>
          <w:szCs w:val="22"/>
        </w:rPr>
        <w:t>°</w:t>
      </w:r>
      <w:r w:rsidR="00062037" w:rsidRPr="00062037">
        <w:rPr>
          <w:rFonts w:asciiTheme="majorHAnsi" w:hAnsiTheme="majorHAnsi" w:cstheme="majorHAnsi"/>
          <w:color w:val="000000"/>
          <w:sz w:val="22"/>
          <w:szCs w:val="22"/>
        </w:rPr>
        <w:t>35</w:t>
      </w:r>
      <w:r w:rsidR="00062037">
        <w:rPr>
          <w:rFonts w:asciiTheme="majorHAnsi" w:hAnsiTheme="majorHAnsi" w:cstheme="majorHAnsi"/>
          <w:color w:val="000000"/>
          <w:sz w:val="22"/>
          <w:szCs w:val="22"/>
        </w:rPr>
        <w:t xml:space="preserve">6 </w:t>
      </w:r>
      <w:r w:rsidR="00EE7163">
        <w:rPr>
          <w:rFonts w:asciiTheme="majorHAnsi" w:hAnsiTheme="majorHAnsi" w:cstheme="majorHAnsi"/>
          <w:color w:val="000000"/>
          <w:sz w:val="22"/>
          <w:szCs w:val="22"/>
        </w:rPr>
        <w:t>–</w:t>
      </w:r>
      <w:r w:rsidR="00EE7163">
        <w:rPr>
          <w:rFonts w:asciiTheme="majorHAnsi" w:hAnsiTheme="majorHAnsi" w:cstheme="majorHAnsi"/>
          <w:sz w:val="22"/>
          <w:szCs w:val="22"/>
        </w:rPr>
        <w:t xml:space="preserve">que se </w:t>
      </w:r>
      <w:r w:rsidR="00DB6704">
        <w:rPr>
          <w:rFonts w:asciiTheme="majorHAnsi" w:hAnsiTheme="majorHAnsi" w:cstheme="majorHAnsi"/>
          <w:sz w:val="22"/>
          <w:szCs w:val="22"/>
        </w:rPr>
        <w:t>publica</w:t>
      </w:r>
      <w:r w:rsidR="00EE7163">
        <w:rPr>
          <w:rFonts w:asciiTheme="majorHAnsi" w:hAnsiTheme="majorHAnsi" w:cstheme="majorHAnsi"/>
          <w:sz w:val="22"/>
          <w:szCs w:val="22"/>
        </w:rPr>
        <w:t>rá e</w:t>
      </w:r>
      <w:r w:rsidR="00DB6704">
        <w:rPr>
          <w:rFonts w:asciiTheme="majorHAnsi" w:hAnsiTheme="majorHAnsi" w:cstheme="majorHAnsi"/>
          <w:sz w:val="22"/>
          <w:szCs w:val="22"/>
        </w:rPr>
        <w:t>n el Diario Oficial</w:t>
      </w:r>
      <w:r w:rsidR="00E17649">
        <w:rPr>
          <w:rFonts w:asciiTheme="majorHAnsi" w:hAnsiTheme="majorHAnsi" w:cstheme="majorHAnsi"/>
          <w:sz w:val="22"/>
          <w:szCs w:val="22"/>
        </w:rPr>
        <w:t>—</w:t>
      </w:r>
      <w:r w:rsidR="00DB6704">
        <w:rPr>
          <w:rFonts w:asciiTheme="majorHAnsi" w:hAnsiTheme="majorHAnsi" w:cstheme="majorHAnsi"/>
          <w:sz w:val="22"/>
          <w:szCs w:val="22"/>
        </w:rPr>
        <w:t xml:space="preserve">, </w:t>
      </w:r>
      <w:r w:rsidR="00F86909" w:rsidRPr="000B6D6F">
        <w:rPr>
          <w:rFonts w:asciiTheme="majorHAnsi" w:hAnsiTheme="majorHAnsi" w:cstheme="majorHAnsi"/>
          <w:sz w:val="22"/>
          <w:szCs w:val="22"/>
        </w:rPr>
        <w:t xml:space="preserve">informando </w:t>
      </w:r>
      <w:r w:rsidR="00062037">
        <w:rPr>
          <w:rFonts w:asciiTheme="majorHAnsi" w:hAnsiTheme="majorHAnsi" w:cstheme="majorHAnsi"/>
          <w:sz w:val="22"/>
          <w:szCs w:val="22"/>
        </w:rPr>
        <w:t xml:space="preserve">el </w:t>
      </w:r>
      <w:r w:rsidR="00F86909" w:rsidRPr="000B6D6F">
        <w:rPr>
          <w:rFonts w:asciiTheme="majorHAnsi" w:hAnsiTheme="majorHAnsi" w:cstheme="majorHAnsi"/>
          <w:sz w:val="22"/>
          <w:szCs w:val="22"/>
        </w:rPr>
        <w:t>puntaje de la sociedad postulante</w:t>
      </w:r>
      <w:r w:rsidR="00062037">
        <w:rPr>
          <w:rFonts w:asciiTheme="majorHAnsi" w:hAnsiTheme="majorHAnsi" w:cstheme="majorHAnsi"/>
          <w:sz w:val="22"/>
          <w:szCs w:val="22"/>
        </w:rPr>
        <w:t xml:space="preserve">, la que superó </w:t>
      </w:r>
      <w:r w:rsidR="000B6D6F" w:rsidRPr="000B6D6F">
        <w:rPr>
          <w:rFonts w:asciiTheme="majorHAnsi" w:hAnsiTheme="majorHAnsi" w:cstheme="majorHAnsi"/>
          <w:sz w:val="22"/>
          <w:szCs w:val="22"/>
        </w:rPr>
        <w:t xml:space="preserve">el puntaje mínimo ponderado </w:t>
      </w:r>
      <w:r w:rsidR="000B6D6F">
        <w:rPr>
          <w:rFonts w:asciiTheme="majorHAnsi" w:hAnsiTheme="majorHAnsi" w:cstheme="majorHAnsi"/>
          <w:sz w:val="22"/>
          <w:szCs w:val="22"/>
        </w:rPr>
        <w:t>establecido en la Ley N°</w:t>
      </w:r>
      <w:r w:rsidR="00011B0B">
        <w:rPr>
          <w:rFonts w:asciiTheme="majorHAnsi" w:hAnsiTheme="majorHAnsi" w:cstheme="majorHAnsi"/>
          <w:sz w:val="22"/>
          <w:szCs w:val="22"/>
        </w:rPr>
        <w:t>1</w:t>
      </w:r>
      <w:r w:rsidR="000B6D6F">
        <w:rPr>
          <w:rFonts w:asciiTheme="majorHAnsi" w:hAnsiTheme="majorHAnsi" w:cstheme="majorHAnsi"/>
          <w:sz w:val="22"/>
          <w:szCs w:val="22"/>
        </w:rPr>
        <w:t xml:space="preserve">9.995, </w:t>
      </w:r>
      <w:r w:rsidR="003D13CE">
        <w:rPr>
          <w:rFonts w:asciiTheme="majorHAnsi" w:hAnsiTheme="majorHAnsi" w:cstheme="majorHAnsi"/>
          <w:color w:val="000000"/>
          <w:sz w:val="22"/>
          <w:szCs w:val="22"/>
        </w:rPr>
        <w:t>que corresponde al</w:t>
      </w:r>
      <w:r w:rsidR="00F86909" w:rsidRPr="00733D71">
        <w:rPr>
          <w:rFonts w:asciiTheme="majorHAnsi" w:hAnsiTheme="majorHAnsi" w:cstheme="majorHAnsi"/>
          <w:color w:val="000000"/>
          <w:sz w:val="22"/>
          <w:szCs w:val="22"/>
        </w:rPr>
        <w:t xml:space="preserve"> 60% de la suma total de los puntajes, </w:t>
      </w:r>
      <w:r w:rsidR="000B6D6F">
        <w:rPr>
          <w:rFonts w:asciiTheme="majorHAnsi" w:hAnsiTheme="majorHAnsi" w:cstheme="majorHAnsi"/>
          <w:color w:val="000000"/>
          <w:sz w:val="22"/>
          <w:szCs w:val="22"/>
        </w:rPr>
        <w:t>lo que le permite pasar a la etapa de Apertura de Oferta Económica</w:t>
      </w:r>
      <w:r w:rsidR="000B6D6F" w:rsidRPr="00964B2F">
        <w:rPr>
          <w:rFonts w:asciiTheme="majorHAnsi" w:hAnsiTheme="majorHAnsi" w:cstheme="majorHAnsi"/>
          <w:b/>
          <w:color w:val="000000"/>
          <w:sz w:val="22"/>
          <w:szCs w:val="22"/>
        </w:rPr>
        <w:t>.</w:t>
      </w:r>
      <w:r w:rsidR="0004604B" w:rsidRPr="00964B2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7BE9A238" w14:textId="4D013E9F" w:rsidR="000B6D6F" w:rsidRPr="00011B0B" w:rsidRDefault="000B6D6F" w:rsidP="000B6D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4E4166C" w14:textId="55385DC5" w:rsidR="00156FC2" w:rsidRDefault="00F4788E" w:rsidP="00156FC2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este contexto, </w:t>
      </w:r>
      <w:r w:rsidR="00964B2F">
        <w:rPr>
          <w:rFonts w:asciiTheme="majorHAnsi" w:hAnsiTheme="majorHAnsi" w:cstheme="majorHAnsi"/>
          <w:sz w:val="22"/>
          <w:szCs w:val="22"/>
        </w:rPr>
        <w:t>el</w:t>
      </w:r>
      <w:r w:rsidR="000B6D6F" w:rsidRPr="000B6D6F">
        <w:rPr>
          <w:rFonts w:asciiTheme="majorHAnsi" w:hAnsiTheme="majorHAnsi" w:cstheme="majorHAnsi"/>
          <w:sz w:val="22"/>
          <w:szCs w:val="22"/>
        </w:rPr>
        <w:t xml:space="preserve"> </w:t>
      </w:r>
      <w:r w:rsidR="00062037">
        <w:rPr>
          <w:rFonts w:asciiTheme="majorHAnsi" w:hAnsiTheme="majorHAnsi" w:cstheme="majorHAnsi"/>
          <w:sz w:val="22"/>
          <w:szCs w:val="22"/>
        </w:rPr>
        <w:t>lunes 06 de mayo de 2024</w:t>
      </w:r>
      <w:r w:rsidR="00156FC2">
        <w:rPr>
          <w:rFonts w:asciiTheme="majorHAnsi" w:hAnsiTheme="majorHAnsi" w:cstheme="majorHAnsi"/>
          <w:sz w:val="22"/>
          <w:szCs w:val="22"/>
        </w:rPr>
        <w:t xml:space="preserve">, </w:t>
      </w:r>
      <w:r w:rsidR="00397152">
        <w:rPr>
          <w:rFonts w:asciiTheme="majorHAnsi" w:hAnsiTheme="majorHAnsi" w:cstheme="majorHAnsi"/>
          <w:sz w:val="22"/>
          <w:szCs w:val="22"/>
        </w:rPr>
        <w:t>a las 10:00 horas</w:t>
      </w:r>
      <w:r w:rsidR="00E178A7">
        <w:rPr>
          <w:rFonts w:asciiTheme="majorHAnsi" w:hAnsiTheme="majorHAnsi" w:cstheme="majorHAnsi"/>
          <w:sz w:val="22"/>
          <w:szCs w:val="22"/>
        </w:rPr>
        <w:t xml:space="preserve">, </w:t>
      </w:r>
      <w:r w:rsidR="00156FC2">
        <w:rPr>
          <w:rFonts w:asciiTheme="majorHAnsi" w:hAnsiTheme="majorHAnsi" w:cstheme="majorHAnsi"/>
          <w:sz w:val="22"/>
          <w:szCs w:val="22"/>
        </w:rPr>
        <w:t>se</w:t>
      </w:r>
      <w:r w:rsidR="00156FC2" w:rsidRPr="00011B0B">
        <w:rPr>
          <w:rFonts w:asciiTheme="majorHAnsi" w:hAnsiTheme="majorHAnsi" w:cstheme="majorHAnsi"/>
          <w:sz w:val="22"/>
          <w:szCs w:val="22"/>
        </w:rPr>
        <w:t xml:space="preserve"> realizará la Audiencia Pública de Apertura de la Oferta</w:t>
      </w:r>
      <w:r w:rsidR="00062037">
        <w:rPr>
          <w:rFonts w:asciiTheme="majorHAnsi" w:hAnsiTheme="majorHAnsi" w:cstheme="majorHAnsi"/>
          <w:sz w:val="22"/>
          <w:szCs w:val="22"/>
        </w:rPr>
        <w:t xml:space="preserve"> </w:t>
      </w:r>
      <w:r w:rsidR="00156FC2" w:rsidRPr="00011B0B">
        <w:rPr>
          <w:rFonts w:asciiTheme="majorHAnsi" w:hAnsiTheme="majorHAnsi" w:cstheme="majorHAnsi"/>
          <w:sz w:val="22"/>
          <w:szCs w:val="22"/>
        </w:rPr>
        <w:t>Económica</w:t>
      </w:r>
      <w:r w:rsidR="00062037">
        <w:rPr>
          <w:rFonts w:asciiTheme="majorHAnsi" w:hAnsiTheme="majorHAnsi" w:cstheme="majorHAnsi"/>
          <w:sz w:val="22"/>
          <w:szCs w:val="22"/>
        </w:rPr>
        <w:t xml:space="preserve"> </w:t>
      </w:r>
      <w:r w:rsidR="00156FC2" w:rsidRPr="00011B0B">
        <w:rPr>
          <w:rFonts w:asciiTheme="majorHAnsi" w:hAnsiTheme="majorHAnsi" w:cstheme="majorHAnsi"/>
          <w:sz w:val="22"/>
          <w:szCs w:val="22"/>
        </w:rPr>
        <w:t xml:space="preserve">de </w:t>
      </w:r>
      <w:r w:rsidR="009A727E">
        <w:rPr>
          <w:rFonts w:asciiTheme="majorHAnsi" w:hAnsiTheme="majorHAnsi" w:cstheme="majorHAnsi"/>
          <w:sz w:val="22"/>
          <w:szCs w:val="22"/>
        </w:rPr>
        <w:t>la citada sociedad</w:t>
      </w:r>
      <w:r w:rsidR="00E178A7">
        <w:rPr>
          <w:rFonts w:asciiTheme="majorHAnsi" w:hAnsiTheme="majorHAnsi" w:cstheme="majorHAnsi"/>
          <w:sz w:val="22"/>
          <w:szCs w:val="22"/>
        </w:rPr>
        <w:t xml:space="preserve">, </w:t>
      </w:r>
      <w:r w:rsidR="00E178A7" w:rsidRPr="00E178A7">
        <w:rPr>
          <w:rFonts w:asciiTheme="majorHAnsi" w:hAnsiTheme="majorHAnsi" w:cstheme="majorHAnsi"/>
          <w:sz w:val="22"/>
          <w:szCs w:val="22"/>
        </w:rPr>
        <w:t>en las dependencias de la Superintendencia de Casinos de Juego (Morandé N°360, cuarto piso, comuna de Santiago)</w:t>
      </w:r>
      <w:r w:rsidR="00E178A7">
        <w:rPr>
          <w:rFonts w:asciiTheme="majorHAnsi" w:hAnsiTheme="majorHAnsi" w:cstheme="majorHAnsi"/>
          <w:sz w:val="22"/>
          <w:szCs w:val="22"/>
        </w:rPr>
        <w:t>.</w:t>
      </w:r>
    </w:p>
    <w:p w14:paraId="43CC3267" w14:textId="14FE7EFE" w:rsidR="000B6D6F" w:rsidRPr="000B6D6F" w:rsidRDefault="000B6D6F" w:rsidP="000B6D6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C3E4051" w14:textId="41CB2075" w:rsidR="00AD499B" w:rsidRDefault="0004604B" w:rsidP="0076352B">
      <w:pPr>
        <w:ind w:right="5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4604B">
        <w:rPr>
          <w:rFonts w:asciiTheme="majorHAnsi" w:hAnsiTheme="majorHAnsi" w:cstheme="majorHAnsi"/>
          <w:b/>
          <w:sz w:val="22"/>
          <w:szCs w:val="22"/>
        </w:rPr>
        <w:t>Otorgamiento de Permiso de Operación para Casino de Juego</w:t>
      </w:r>
    </w:p>
    <w:p w14:paraId="28A8F59B" w14:textId="74E311A0" w:rsidR="0004604B" w:rsidRDefault="0004604B" w:rsidP="0076352B">
      <w:pPr>
        <w:ind w:right="51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F4F99CE" w14:textId="47A083B2" w:rsidR="0004604B" w:rsidRPr="00AB05F7" w:rsidRDefault="00CB268D" w:rsidP="0004604B">
      <w:pPr>
        <w:ind w:right="51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637BDB" w:rsidRPr="00AB05F7">
        <w:rPr>
          <w:rFonts w:asciiTheme="majorHAnsi" w:hAnsiTheme="majorHAnsi" w:cstheme="majorHAnsi"/>
          <w:sz w:val="22"/>
          <w:szCs w:val="22"/>
        </w:rPr>
        <w:t>egún lo e</w:t>
      </w:r>
      <w:r w:rsidR="0004604B" w:rsidRPr="00AB05F7">
        <w:rPr>
          <w:rFonts w:ascii="Calibri" w:hAnsi="Calibri" w:cs="Calibri"/>
          <w:color w:val="000000"/>
          <w:sz w:val="22"/>
          <w:szCs w:val="22"/>
        </w:rPr>
        <w:t>stablecido en el artículo 25 de la Ley N°19.995</w:t>
      </w:r>
      <w:r w:rsidR="00637BDB" w:rsidRPr="00AB05F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4604B" w:rsidRPr="00AB05F7">
        <w:rPr>
          <w:rFonts w:ascii="Calibri" w:hAnsi="Calibri" w:cs="Calibri"/>
          <w:color w:val="000000"/>
          <w:sz w:val="22"/>
          <w:szCs w:val="22"/>
        </w:rPr>
        <w:t>“</w:t>
      </w:r>
      <w:r w:rsidR="00E17649">
        <w:rPr>
          <w:rFonts w:ascii="Calibri" w:hAnsi="Calibri" w:cs="Calibri"/>
          <w:i/>
          <w:color w:val="000000"/>
          <w:sz w:val="22"/>
          <w:szCs w:val="22"/>
        </w:rPr>
        <w:t>p</w:t>
      </w:r>
      <w:r w:rsidR="0004604B" w:rsidRPr="00AB05F7">
        <w:rPr>
          <w:rFonts w:ascii="Calibri" w:hAnsi="Calibri" w:cs="Calibri"/>
          <w:i/>
          <w:color w:val="000000"/>
          <w:sz w:val="22"/>
          <w:szCs w:val="22"/>
        </w:rPr>
        <w:t xml:space="preserve">ara obtener un permiso de operación se debe alcanzar, al menos, el 60% de la suma total de los puntajes ponderados establecidos en el reglamento y, a su vez, </w:t>
      </w:r>
      <w:r w:rsidR="0004604B" w:rsidRPr="00AB05F7">
        <w:rPr>
          <w:rFonts w:ascii="Calibri" w:hAnsi="Calibri" w:cs="Calibri"/>
          <w:bCs/>
          <w:i/>
          <w:color w:val="000000"/>
          <w:sz w:val="22"/>
          <w:szCs w:val="22"/>
        </w:rPr>
        <w:t>haber presentado la oferta económica más alta. El empate de las ofertas técnicas y económicas deberá ser dirimido conforme a lo establecido en el reglamento</w:t>
      </w:r>
      <w:r w:rsidR="0004604B" w:rsidRPr="00AB05F7">
        <w:rPr>
          <w:rFonts w:ascii="Calibri" w:hAnsi="Calibri" w:cs="Calibri"/>
          <w:bCs/>
          <w:color w:val="000000"/>
          <w:sz w:val="22"/>
          <w:szCs w:val="22"/>
        </w:rPr>
        <w:t>”</w:t>
      </w:r>
      <w:r w:rsidR="00F6093F">
        <w:rPr>
          <w:rFonts w:ascii="Calibri" w:hAnsi="Calibri" w:cs="Calibri"/>
          <w:bCs/>
          <w:color w:val="000000"/>
          <w:sz w:val="22"/>
          <w:szCs w:val="22"/>
        </w:rPr>
        <w:t xml:space="preserve">, teniendo presente asimismo </w:t>
      </w:r>
      <w:r w:rsidR="00F6093F">
        <w:rPr>
          <w:rFonts w:asciiTheme="majorHAnsi" w:hAnsiTheme="majorHAnsi" w:cstheme="majorHAnsi"/>
          <w:sz w:val="22"/>
          <w:szCs w:val="22"/>
        </w:rPr>
        <w:t xml:space="preserve">que </w:t>
      </w:r>
      <w:r w:rsidR="00F6093F" w:rsidRPr="00AB05F7">
        <w:rPr>
          <w:rFonts w:asciiTheme="majorHAnsi" w:hAnsiTheme="majorHAnsi" w:cstheme="majorHAnsi"/>
          <w:sz w:val="22"/>
          <w:szCs w:val="22"/>
        </w:rPr>
        <w:t>d</w:t>
      </w:r>
      <w:r w:rsidR="00F6093F" w:rsidRPr="00AB05F7">
        <w:rPr>
          <w:rFonts w:ascii="Calibri" w:hAnsi="Calibri" w:cs="Calibri"/>
          <w:color w:val="000000"/>
          <w:sz w:val="22"/>
          <w:szCs w:val="22"/>
        </w:rPr>
        <w:t xml:space="preserve">e acuerdo con el artículo 3° letra k) de la Ley N°19.995, </w:t>
      </w:r>
      <w:r w:rsidR="00F408EB">
        <w:rPr>
          <w:rFonts w:ascii="Calibri" w:hAnsi="Calibri" w:cs="Calibri"/>
          <w:color w:val="000000"/>
          <w:sz w:val="22"/>
          <w:szCs w:val="22"/>
        </w:rPr>
        <w:t xml:space="preserve">la oferta económica </w:t>
      </w:r>
      <w:r w:rsidR="00F6093F" w:rsidRPr="00AB05F7">
        <w:rPr>
          <w:rFonts w:ascii="Calibri" w:hAnsi="Calibri" w:cs="Calibri"/>
          <w:color w:val="000000"/>
          <w:sz w:val="22"/>
          <w:szCs w:val="22"/>
        </w:rPr>
        <w:t>corresponde al monto de dinero “</w:t>
      </w:r>
      <w:r w:rsidR="00F6093F" w:rsidRPr="00AB05F7">
        <w:rPr>
          <w:rFonts w:ascii="Calibri" w:hAnsi="Calibri" w:cs="Calibri"/>
          <w:i/>
          <w:color w:val="000000"/>
          <w:sz w:val="22"/>
          <w:szCs w:val="22"/>
        </w:rPr>
        <w:t>expresado en unidades de fomento, ofrecido por una sociedad postulante a un permiso de operación o renovación del mismo y recaudado por el Servicio de Tesorerías, que será pagado anualmente a la municipalidad correspondiente a la comuna en que se encuentre ubicado el casino</w:t>
      </w:r>
      <w:r w:rsidR="00F6093F" w:rsidRPr="00AB05F7">
        <w:rPr>
          <w:rFonts w:ascii="Calibri" w:hAnsi="Calibri" w:cs="Calibri"/>
          <w:color w:val="000000"/>
          <w:sz w:val="22"/>
          <w:szCs w:val="22"/>
        </w:rPr>
        <w:t>”</w:t>
      </w:r>
      <w:r w:rsidR="00F408EB">
        <w:rPr>
          <w:rFonts w:ascii="Calibri" w:hAnsi="Calibri" w:cs="Calibri"/>
          <w:color w:val="000000"/>
          <w:sz w:val="22"/>
          <w:szCs w:val="22"/>
        </w:rPr>
        <w:t>.</w:t>
      </w:r>
    </w:p>
    <w:p w14:paraId="469835C8" w14:textId="58541598" w:rsidR="00F4788E" w:rsidRDefault="00F4788E" w:rsidP="0004604B">
      <w:pPr>
        <w:ind w:right="51"/>
        <w:jc w:val="both"/>
        <w:rPr>
          <w:rFonts w:ascii="Calibri" w:hAnsi="Calibri" w:cs="Calibri"/>
          <w:bCs/>
          <w:color w:val="000000"/>
        </w:rPr>
      </w:pPr>
    </w:p>
    <w:p w14:paraId="3A8FA07D" w14:textId="6536F849" w:rsidR="00F4788E" w:rsidRPr="009A727E" w:rsidRDefault="009A727E" w:rsidP="0076352B">
      <w:pPr>
        <w:ind w:right="51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A727E">
        <w:rPr>
          <w:rFonts w:asciiTheme="majorHAnsi" w:hAnsiTheme="majorHAnsi" w:cstheme="majorHAnsi"/>
          <w:b/>
          <w:bCs/>
          <w:sz w:val="22"/>
          <w:szCs w:val="22"/>
        </w:rPr>
        <w:t>Puntaje de evaluación técnica de</w:t>
      </w:r>
      <w:r w:rsidR="00062037">
        <w:rPr>
          <w:rFonts w:asciiTheme="majorHAnsi" w:hAnsiTheme="majorHAnsi" w:cstheme="majorHAnsi"/>
          <w:b/>
          <w:bCs/>
          <w:sz w:val="22"/>
          <w:szCs w:val="22"/>
        </w:rPr>
        <w:t xml:space="preserve">l </w:t>
      </w:r>
      <w:r w:rsidRPr="009A727E">
        <w:rPr>
          <w:rFonts w:asciiTheme="majorHAnsi" w:hAnsiTheme="majorHAnsi" w:cstheme="majorHAnsi"/>
          <w:b/>
          <w:bCs/>
          <w:sz w:val="22"/>
          <w:szCs w:val="22"/>
        </w:rPr>
        <w:t>proyect</w:t>
      </w:r>
      <w:r w:rsidR="00062037">
        <w:rPr>
          <w:rFonts w:asciiTheme="majorHAnsi" w:hAnsiTheme="majorHAnsi" w:cstheme="majorHAnsi"/>
          <w:b/>
          <w:bCs/>
          <w:sz w:val="22"/>
          <w:szCs w:val="22"/>
        </w:rPr>
        <w:t xml:space="preserve">o </w:t>
      </w:r>
      <w:r w:rsidR="00460BA5">
        <w:rPr>
          <w:rFonts w:asciiTheme="majorHAnsi" w:hAnsiTheme="majorHAnsi" w:cstheme="majorHAnsi"/>
          <w:b/>
          <w:bCs/>
          <w:sz w:val="22"/>
          <w:szCs w:val="22"/>
        </w:rPr>
        <w:t>postulante</w:t>
      </w:r>
    </w:p>
    <w:p w14:paraId="24C2CDB0" w14:textId="77777777" w:rsidR="009A727E" w:rsidRDefault="009A727E" w:rsidP="0076352B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573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16"/>
        <w:gridCol w:w="2842"/>
        <w:gridCol w:w="1581"/>
      </w:tblGrid>
      <w:tr w:rsidR="009A727E" w:rsidRPr="009A727E" w14:paraId="014B268B" w14:textId="77777777" w:rsidTr="009A727E">
        <w:trPr>
          <w:trHeight w:val="39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1BB6B" w14:textId="77777777" w:rsidR="009A727E" w:rsidRPr="009A727E" w:rsidRDefault="009A727E" w:rsidP="006F0E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72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COMUNA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FD5FB" w14:textId="77777777" w:rsidR="009A727E" w:rsidRPr="009A727E" w:rsidRDefault="009A727E" w:rsidP="006F0E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72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SOCIEDAD POSTULANTE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0DD6A" w14:textId="77777777" w:rsidR="009A727E" w:rsidRPr="009A727E" w:rsidRDefault="009A727E" w:rsidP="006F0E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72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PUNTAJE TOTAL</w:t>
            </w:r>
          </w:p>
        </w:tc>
      </w:tr>
      <w:tr w:rsidR="009A727E" w:rsidRPr="009A727E" w14:paraId="0766F80A" w14:textId="77777777" w:rsidTr="00FB7050">
        <w:trPr>
          <w:trHeight w:val="49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25FB7" w14:textId="3A12BBB2" w:rsidR="009A727E" w:rsidRPr="009A727E" w:rsidRDefault="00062037" w:rsidP="00FB70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Natales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B251" w14:textId="52607046" w:rsidR="009A727E" w:rsidRPr="009A727E" w:rsidRDefault="00062037" w:rsidP="00FB7050">
            <w:pPr>
              <w:ind w:left="127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Casino Patagonia S.A.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BB3A1" w14:textId="521A7FDB" w:rsidR="009A727E" w:rsidRPr="009A727E" w:rsidRDefault="00062037" w:rsidP="002F5FF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695</w:t>
            </w:r>
          </w:p>
        </w:tc>
      </w:tr>
    </w:tbl>
    <w:p w14:paraId="110EFC4F" w14:textId="77777777" w:rsidR="00B2372A" w:rsidRDefault="00B2372A" w:rsidP="004100F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61F20BF" w14:textId="620EBE50" w:rsidR="009A0774" w:rsidRPr="00E178A7" w:rsidRDefault="00062037" w:rsidP="009945E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El </w:t>
      </w:r>
      <w:r w:rsidR="00DB6704" w:rsidRPr="009945E4">
        <w:rPr>
          <w:rFonts w:asciiTheme="majorHAnsi" w:hAnsiTheme="majorHAnsi" w:cstheme="majorHAnsi"/>
          <w:sz w:val="22"/>
          <w:szCs w:val="22"/>
        </w:rPr>
        <w:t>informe de evaluación técnica de</w:t>
      </w:r>
      <w:r w:rsidR="00E178A7">
        <w:rPr>
          <w:rFonts w:asciiTheme="majorHAnsi" w:hAnsiTheme="majorHAnsi" w:cstheme="majorHAnsi"/>
          <w:sz w:val="22"/>
          <w:szCs w:val="22"/>
        </w:rPr>
        <w:t xml:space="preserve">l </w:t>
      </w:r>
      <w:r w:rsidR="00DB6704" w:rsidRPr="009945E4">
        <w:rPr>
          <w:rFonts w:asciiTheme="majorHAnsi" w:hAnsiTheme="majorHAnsi" w:cstheme="majorHAnsi"/>
          <w:sz w:val="22"/>
          <w:szCs w:val="22"/>
        </w:rPr>
        <w:t>postulante a un permiso de operación se encuentra disponible en el sitio web de la Superintendencia</w:t>
      </w:r>
      <w:r w:rsidR="00E17649" w:rsidRPr="009945E4">
        <w:rPr>
          <w:rFonts w:asciiTheme="majorHAnsi" w:hAnsiTheme="majorHAnsi" w:cstheme="majorHAnsi"/>
          <w:sz w:val="22"/>
          <w:szCs w:val="22"/>
        </w:rPr>
        <w:t>:</w:t>
      </w:r>
      <w:r w:rsidR="00F62AA6" w:rsidRPr="009945E4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="00E178A7" w:rsidRPr="00E178A7">
          <w:rPr>
            <w:rStyle w:val="Hipervnculo"/>
            <w:rFonts w:asciiTheme="majorHAnsi" w:hAnsiTheme="majorHAnsi" w:cstheme="majorHAnsi"/>
          </w:rPr>
          <w:t>https://www.scj.gob.cl/procesos-de-la-industria/otorgamiento-de-permiso-de-operacion/evaluacion-de-proyectos/2024</w:t>
        </w:r>
      </w:hyperlink>
    </w:p>
    <w:p w14:paraId="79716B00" w14:textId="77777777" w:rsidR="00E178A7" w:rsidRPr="009945E4" w:rsidRDefault="00E178A7" w:rsidP="009945E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882471" w14:textId="1F20BA36" w:rsidR="009A0774" w:rsidRPr="009D4DC4" w:rsidRDefault="009A0774" w:rsidP="009D4DC4">
      <w:pPr>
        <w:rPr>
          <w:lang w:val="es-CL"/>
        </w:rPr>
      </w:pPr>
      <w:r w:rsidRPr="009945E4">
        <w:rPr>
          <w:rFonts w:asciiTheme="majorHAnsi" w:hAnsiTheme="majorHAnsi" w:cstheme="majorHAnsi"/>
          <w:sz w:val="22"/>
          <w:szCs w:val="22"/>
        </w:rPr>
        <w:t>Asimismo, la</w:t>
      </w:r>
      <w:r w:rsidR="00E178A7">
        <w:rPr>
          <w:rFonts w:asciiTheme="majorHAnsi" w:hAnsiTheme="majorHAnsi" w:cstheme="majorHAnsi"/>
          <w:sz w:val="22"/>
          <w:szCs w:val="22"/>
        </w:rPr>
        <w:t xml:space="preserve"> Resolución Exenta N°356 </w:t>
      </w:r>
      <w:r w:rsidRPr="009945E4">
        <w:rPr>
          <w:rFonts w:asciiTheme="majorHAnsi" w:hAnsiTheme="majorHAnsi" w:cstheme="majorHAnsi"/>
          <w:sz w:val="22"/>
          <w:szCs w:val="22"/>
        </w:rPr>
        <w:t xml:space="preserve">se encuentra publicada en el enlace: </w:t>
      </w:r>
      <w:hyperlink r:id="rId9" w:history="1">
        <w:r w:rsidR="009D4DC4">
          <w:rPr>
            <w:rStyle w:val="Hipervnculo"/>
          </w:rPr>
          <w:t>https://www.scj.gob.cl/procesos-de-la-industria/otorgamiento-de-permiso-de-operacion/ratificacion-revision-evaluacion-tecnica/2024</w:t>
        </w:r>
      </w:hyperlink>
    </w:p>
    <w:sectPr w:rsidR="009A0774" w:rsidRPr="009D4DC4" w:rsidSect="00DF43CB">
      <w:headerReference w:type="default" r:id="rId10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5DEF5" w14:textId="77777777" w:rsidR="00DF43CB" w:rsidRDefault="00DF43CB" w:rsidP="00B15F33">
      <w:r>
        <w:separator/>
      </w:r>
    </w:p>
  </w:endnote>
  <w:endnote w:type="continuationSeparator" w:id="0">
    <w:p w14:paraId="7E9FEF3F" w14:textId="77777777" w:rsidR="00DF43CB" w:rsidRDefault="00DF43CB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RC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388E0" w14:textId="77777777" w:rsidR="00DF43CB" w:rsidRDefault="00DF43CB" w:rsidP="00B15F33">
      <w:r>
        <w:separator/>
      </w:r>
    </w:p>
  </w:footnote>
  <w:footnote w:type="continuationSeparator" w:id="0">
    <w:p w14:paraId="46465847" w14:textId="77777777" w:rsidR="00DF43CB" w:rsidRDefault="00DF43CB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ACC7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ES_tradnl" w:eastAsia="es-ES_tradnl"/>
      </w:rPr>
      <w:drawing>
        <wp:inline distT="0" distB="0" distL="0" distR="0" wp14:anchorId="159F058C" wp14:editId="10A49B83">
          <wp:extent cx="2489200" cy="673100"/>
          <wp:effectExtent l="0" t="0" r="0" b="12700"/>
          <wp:docPr id="3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.5pt;height:4.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4D0AF5"/>
    <w:multiLevelType w:val="hybridMultilevel"/>
    <w:tmpl w:val="5A529732"/>
    <w:lvl w:ilvl="0" w:tplc="25045FA2">
      <w:start w:val="1"/>
      <w:numFmt w:val="lowerRoman"/>
      <w:lvlText w:val="%1."/>
      <w:lvlJc w:val="left"/>
      <w:pPr>
        <w:ind w:left="539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40" w:hanging="360"/>
      </w:pPr>
    </w:lvl>
    <w:lvl w:ilvl="2" w:tplc="340A001B" w:tentative="1">
      <w:start w:val="1"/>
      <w:numFmt w:val="lowerRoman"/>
      <w:lvlText w:val="%3."/>
      <w:lvlJc w:val="right"/>
      <w:pPr>
        <w:ind w:left="6060" w:hanging="180"/>
      </w:pPr>
    </w:lvl>
    <w:lvl w:ilvl="3" w:tplc="340A000F" w:tentative="1">
      <w:start w:val="1"/>
      <w:numFmt w:val="decimal"/>
      <w:lvlText w:val="%4."/>
      <w:lvlJc w:val="left"/>
      <w:pPr>
        <w:ind w:left="6780" w:hanging="360"/>
      </w:pPr>
    </w:lvl>
    <w:lvl w:ilvl="4" w:tplc="340A0019" w:tentative="1">
      <w:start w:val="1"/>
      <w:numFmt w:val="lowerLetter"/>
      <w:lvlText w:val="%5."/>
      <w:lvlJc w:val="left"/>
      <w:pPr>
        <w:ind w:left="7500" w:hanging="360"/>
      </w:pPr>
    </w:lvl>
    <w:lvl w:ilvl="5" w:tplc="340A001B" w:tentative="1">
      <w:start w:val="1"/>
      <w:numFmt w:val="lowerRoman"/>
      <w:lvlText w:val="%6."/>
      <w:lvlJc w:val="right"/>
      <w:pPr>
        <w:ind w:left="8220" w:hanging="180"/>
      </w:pPr>
    </w:lvl>
    <w:lvl w:ilvl="6" w:tplc="340A000F" w:tentative="1">
      <w:start w:val="1"/>
      <w:numFmt w:val="decimal"/>
      <w:lvlText w:val="%7."/>
      <w:lvlJc w:val="left"/>
      <w:pPr>
        <w:ind w:left="8940" w:hanging="360"/>
      </w:pPr>
    </w:lvl>
    <w:lvl w:ilvl="7" w:tplc="340A0019" w:tentative="1">
      <w:start w:val="1"/>
      <w:numFmt w:val="lowerLetter"/>
      <w:lvlText w:val="%8."/>
      <w:lvlJc w:val="left"/>
      <w:pPr>
        <w:ind w:left="9660" w:hanging="360"/>
      </w:pPr>
    </w:lvl>
    <w:lvl w:ilvl="8" w:tplc="340A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3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FF1354C"/>
    <w:multiLevelType w:val="hybridMultilevel"/>
    <w:tmpl w:val="A4109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F3329CB"/>
    <w:multiLevelType w:val="hybridMultilevel"/>
    <w:tmpl w:val="FFB08C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62560">
    <w:abstractNumId w:val="9"/>
  </w:num>
  <w:num w:numId="2" w16cid:durableId="13456699">
    <w:abstractNumId w:val="7"/>
  </w:num>
  <w:num w:numId="3" w16cid:durableId="1483352008">
    <w:abstractNumId w:val="5"/>
  </w:num>
  <w:num w:numId="4" w16cid:durableId="59401283">
    <w:abstractNumId w:val="12"/>
  </w:num>
  <w:num w:numId="5" w16cid:durableId="177084648">
    <w:abstractNumId w:val="8"/>
  </w:num>
  <w:num w:numId="6" w16cid:durableId="228855516">
    <w:abstractNumId w:val="1"/>
  </w:num>
  <w:num w:numId="7" w16cid:durableId="1923953673">
    <w:abstractNumId w:val="0"/>
  </w:num>
  <w:num w:numId="8" w16cid:durableId="887571406">
    <w:abstractNumId w:val="10"/>
  </w:num>
  <w:num w:numId="9" w16cid:durableId="1280796492">
    <w:abstractNumId w:val="3"/>
  </w:num>
  <w:num w:numId="10" w16cid:durableId="1885290239">
    <w:abstractNumId w:val="4"/>
  </w:num>
  <w:num w:numId="11" w16cid:durableId="1123616959">
    <w:abstractNumId w:val="6"/>
  </w:num>
  <w:num w:numId="12" w16cid:durableId="485905230">
    <w:abstractNumId w:val="11"/>
  </w:num>
  <w:num w:numId="13" w16cid:durableId="204532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B06"/>
    <w:rsid w:val="00011B0B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4604B"/>
    <w:rsid w:val="000519ED"/>
    <w:rsid w:val="00056A64"/>
    <w:rsid w:val="000601C6"/>
    <w:rsid w:val="00062037"/>
    <w:rsid w:val="000631C9"/>
    <w:rsid w:val="00063F53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40D4"/>
    <w:rsid w:val="0009533D"/>
    <w:rsid w:val="000973A9"/>
    <w:rsid w:val="000A075D"/>
    <w:rsid w:val="000A309C"/>
    <w:rsid w:val="000A3743"/>
    <w:rsid w:val="000A741C"/>
    <w:rsid w:val="000B0CBE"/>
    <w:rsid w:val="000B6D6F"/>
    <w:rsid w:val="000C00C7"/>
    <w:rsid w:val="000C19C6"/>
    <w:rsid w:val="000C2206"/>
    <w:rsid w:val="000C3D49"/>
    <w:rsid w:val="000C3DA6"/>
    <w:rsid w:val="000C45F8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E94"/>
    <w:rsid w:val="000F0BE5"/>
    <w:rsid w:val="000F3CA4"/>
    <w:rsid w:val="000F472C"/>
    <w:rsid w:val="000F5601"/>
    <w:rsid w:val="000F5780"/>
    <w:rsid w:val="000F726E"/>
    <w:rsid w:val="00101F8E"/>
    <w:rsid w:val="0010456A"/>
    <w:rsid w:val="00107E9D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549"/>
    <w:rsid w:val="001409C3"/>
    <w:rsid w:val="00143ADD"/>
    <w:rsid w:val="001447CC"/>
    <w:rsid w:val="00151994"/>
    <w:rsid w:val="00151C1B"/>
    <w:rsid w:val="00151FEA"/>
    <w:rsid w:val="00156FC2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0A3"/>
    <w:rsid w:val="00184ABF"/>
    <w:rsid w:val="00187EB2"/>
    <w:rsid w:val="00193D2D"/>
    <w:rsid w:val="0019435B"/>
    <w:rsid w:val="00195FA9"/>
    <w:rsid w:val="00196495"/>
    <w:rsid w:val="00196964"/>
    <w:rsid w:val="00197563"/>
    <w:rsid w:val="001A0A26"/>
    <w:rsid w:val="001A4186"/>
    <w:rsid w:val="001A50F2"/>
    <w:rsid w:val="001A7C43"/>
    <w:rsid w:val="001A7D2B"/>
    <w:rsid w:val="001B0D2C"/>
    <w:rsid w:val="001B15F5"/>
    <w:rsid w:val="001B3169"/>
    <w:rsid w:val="001B59D0"/>
    <w:rsid w:val="001C09F1"/>
    <w:rsid w:val="001D09F7"/>
    <w:rsid w:val="001D121F"/>
    <w:rsid w:val="001D2D3E"/>
    <w:rsid w:val="001D3141"/>
    <w:rsid w:val="001D56DF"/>
    <w:rsid w:val="001D720C"/>
    <w:rsid w:val="001E0795"/>
    <w:rsid w:val="001E17A0"/>
    <w:rsid w:val="001E28B2"/>
    <w:rsid w:val="001E7024"/>
    <w:rsid w:val="001F100E"/>
    <w:rsid w:val="00200D1F"/>
    <w:rsid w:val="00201CFC"/>
    <w:rsid w:val="00201DCE"/>
    <w:rsid w:val="00202E1E"/>
    <w:rsid w:val="00206BA8"/>
    <w:rsid w:val="002074B6"/>
    <w:rsid w:val="00222133"/>
    <w:rsid w:val="00224782"/>
    <w:rsid w:val="00225766"/>
    <w:rsid w:val="002277BC"/>
    <w:rsid w:val="00234963"/>
    <w:rsid w:val="0023635A"/>
    <w:rsid w:val="002365F3"/>
    <w:rsid w:val="00250560"/>
    <w:rsid w:val="00251BFE"/>
    <w:rsid w:val="00252A9B"/>
    <w:rsid w:val="00253365"/>
    <w:rsid w:val="00261CDD"/>
    <w:rsid w:val="00262F82"/>
    <w:rsid w:val="00266FCE"/>
    <w:rsid w:val="00267CA8"/>
    <w:rsid w:val="002700D1"/>
    <w:rsid w:val="00273D26"/>
    <w:rsid w:val="00274BB7"/>
    <w:rsid w:val="002762AF"/>
    <w:rsid w:val="0028641D"/>
    <w:rsid w:val="00290CFA"/>
    <w:rsid w:val="0029288A"/>
    <w:rsid w:val="00294CCD"/>
    <w:rsid w:val="00295D24"/>
    <w:rsid w:val="00297558"/>
    <w:rsid w:val="002A6032"/>
    <w:rsid w:val="002B3F92"/>
    <w:rsid w:val="002B459C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5FF1"/>
    <w:rsid w:val="002F7F47"/>
    <w:rsid w:val="0030475B"/>
    <w:rsid w:val="00310938"/>
    <w:rsid w:val="00311B53"/>
    <w:rsid w:val="00313917"/>
    <w:rsid w:val="00313ABA"/>
    <w:rsid w:val="00314C93"/>
    <w:rsid w:val="00317B44"/>
    <w:rsid w:val="00322B98"/>
    <w:rsid w:val="00322C9E"/>
    <w:rsid w:val="003240D8"/>
    <w:rsid w:val="003261DB"/>
    <w:rsid w:val="003328EF"/>
    <w:rsid w:val="003335EF"/>
    <w:rsid w:val="0033380E"/>
    <w:rsid w:val="0035714B"/>
    <w:rsid w:val="0036086C"/>
    <w:rsid w:val="00365464"/>
    <w:rsid w:val="003665B8"/>
    <w:rsid w:val="00370675"/>
    <w:rsid w:val="00370C26"/>
    <w:rsid w:val="00380094"/>
    <w:rsid w:val="0038167A"/>
    <w:rsid w:val="0038183B"/>
    <w:rsid w:val="00390344"/>
    <w:rsid w:val="00391F10"/>
    <w:rsid w:val="00395FCA"/>
    <w:rsid w:val="00397152"/>
    <w:rsid w:val="003A06AB"/>
    <w:rsid w:val="003A450E"/>
    <w:rsid w:val="003A47D5"/>
    <w:rsid w:val="003A4BD3"/>
    <w:rsid w:val="003A4E01"/>
    <w:rsid w:val="003A6672"/>
    <w:rsid w:val="003A7BA3"/>
    <w:rsid w:val="003B01CB"/>
    <w:rsid w:val="003D13CE"/>
    <w:rsid w:val="003D1BB1"/>
    <w:rsid w:val="003D53AE"/>
    <w:rsid w:val="003D5DDE"/>
    <w:rsid w:val="003E236C"/>
    <w:rsid w:val="003F0917"/>
    <w:rsid w:val="003F17D8"/>
    <w:rsid w:val="003F27A2"/>
    <w:rsid w:val="003F3163"/>
    <w:rsid w:val="003F353E"/>
    <w:rsid w:val="003F5B7F"/>
    <w:rsid w:val="003F7AC8"/>
    <w:rsid w:val="00403B1C"/>
    <w:rsid w:val="004100F6"/>
    <w:rsid w:val="00412841"/>
    <w:rsid w:val="00417525"/>
    <w:rsid w:val="0042024E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0BA5"/>
    <w:rsid w:val="00466B2D"/>
    <w:rsid w:val="0047144D"/>
    <w:rsid w:val="00472FCD"/>
    <w:rsid w:val="00474375"/>
    <w:rsid w:val="004748D5"/>
    <w:rsid w:val="00477BF0"/>
    <w:rsid w:val="00486092"/>
    <w:rsid w:val="00490B41"/>
    <w:rsid w:val="00492DD8"/>
    <w:rsid w:val="0049455E"/>
    <w:rsid w:val="00495C60"/>
    <w:rsid w:val="00497685"/>
    <w:rsid w:val="004A1765"/>
    <w:rsid w:val="004A3344"/>
    <w:rsid w:val="004A5313"/>
    <w:rsid w:val="004B616F"/>
    <w:rsid w:val="004B6465"/>
    <w:rsid w:val="004B7411"/>
    <w:rsid w:val="004B79B1"/>
    <w:rsid w:val="004D1C68"/>
    <w:rsid w:val="004D406D"/>
    <w:rsid w:val="004E04E2"/>
    <w:rsid w:val="004E1B12"/>
    <w:rsid w:val="004E44A4"/>
    <w:rsid w:val="004F1266"/>
    <w:rsid w:val="004F1F83"/>
    <w:rsid w:val="004F2787"/>
    <w:rsid w:val="004F51D3"/>
    <w:rsid w:val="005015A7"/>
    <w:rsid w:val="00507DFB"/>
    <w:rsid w:val="00510B93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64E72"/>
    <w:rsid w:val="00566478"/>
    <w:rsid w:val="005711FA"/>
    <w:rsid w:val="005715BB"/>
    <w:rsid w:val="005725EB"/>
    <w:rsid w:val="00572DF2"/>
    <w:rsid w:val="0057495F"/>
    <w:rsid w:val="00583F8C"/>
    <w:rsid w:val="00585AC3"/>
    <w:rsid w:val="005915E3"/>
    <w:rsid w:val="00591D2F"/>
    <w:rsid w:val="0059367B"/>
    <w:rsid w:val="00593FE5"/>
    <w:rsid w:val="00597C95"/>
    <w:rsid w:val="00597F7C"/>
    <w:rsid w:val="005A01DC"/>
    <w:rsid w:val="005A1281"/>
    <w:rsid w:val="005B02CE"/>
    <w:rsid w:val="005B3F00"/>
    <w:rsid w:val="005B41A9"/>
    <w:rsid w:val="005B6A3F"/>
    <w:rsid w:val="005B7F84"/>
    <w:rsid w:val="005C07A8"/>
    <w:rsid w:val="005C1413"/>
    <w:rsid w:val="005C3D80"/>
    <w:rsid w:val="005C4D21"/>
    <w:rsid w:val="005C5FDA"/>
    <w:rsid w:val="005C7EEA"/>
    <w:rsid w:val="005D4E66"/>
    <w:rsid w:val="005D63FE"/>
    <w:rsid w:val="005D7750"/>
    <w:rsid w:val="005E147C"/>
    <w:rsid w:val="005E4666"/>
    <w:rsid w:val="005E4DC5"/>
    <w:rsid w:val="005E5738"/>
    <w:rsid w:val="005E59EA"/>
    <w:rsid w:val="005E6860"/>
    <w:rsid w:val="005F03DE"/>
    <w:rsid w:val="005F1F13"/>
    <w:rsid w:val="005F1F17"/>
    <w:rsid w:val="0060137D"/>
    <w:rsid w:val="0060673B"/>
    <w:rsid w:val="00606F73"/>
    <w:rsid w:val="00611B7F"/>
    <w:rsid w:val="0061233D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2795B"/>
    <w:rsid w:val="00633984"/>
    <w:rsid w:val="00634469"/>
    <w:rsid w:val="00636735"/>
    <w:rsid w:val="00637BDB"/>
    <w:rsid w:val="006472E0"/>
    <w:rsid w:val="006475EC"/>
    <w:rsid w:val="00650F26"/>
    <w:rsid w:val="00651206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AF7"/>
    <w:rsid w:val="00671C60"/>
    <w:rsid w:val="00672C19"/>
    <w:rsid w:val="006812EE"/>
    <w:rsid w:val="00681FAD"/>
    <w:rsid w:val="006841FD"/>
    <w:rsid w:val="00685766"/>
    <w:rsid w:val="00685974"/>
    <w:rsid w:val="00685B9F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7B2A"/>
    <w:rsid w:val="006C0ACE"/>
    <w:rsid w:val="006C24CD"/>
    <w:rsid w:val="006C2D01"/>
    <w:rsid w:val="006C3A16"/>
    <w:rsid w:val="006C478A"/>
    <w:rsid w:val="006C4EE2"/>
    <w:rsid w:val="006C6218"/>
    <w:rsid w:val="006D1C0C"/>
    <w:rsid w:val="006D4595"/>
    <w:rsid w:val="006D538B"/>
    <w:rsid w:val="006D688E"/>
    <w:rsid w:val="006E02AA"/>
    <w:rsid w:val="006E0A35"/>
    <w:rsid w:val="006E4ABE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1899"/>
    <w:rsid w:val="007333FF"/>
    <w:rsid w:val="007336AA"/>
    <w:rsid w:val="00733D71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352B"/>
    <w:rsid w:val="007637DC"/>
    <w:rsid w:val="00764873"/>
    <w:rsid w:val="007654BC"/>
    <w:rsid w:val="00767E87"/>
    <w:rsid w:val="00771220"/>
    <w:rsid w:val="007717C2"/>
    <w:rsid w:val="007730C0"/>
    <w:rsid w:val="00775477"/>
    <w:rsid w:val="00775BC3"/>
    <w:rsid w:val="00775DCB"/>
    <w:rsid w:val="00777799"/>
    <w:rsid w:val="007817F7"/>
    <w:rsid w:val="00790322"/>
    <w:rsid w:val="00790DF5"/>
    <w:rsid w:val="00792249"/>
    <w:rsid w:val="0079275F"/>
    <w:rsid w:val="00795606"/>
    <w:rsid w:val="007A132A"/>
    <w:rsid w:val="007A3342"/>
    <w:rsid w:val="007B1D3D"/>
    <w:rsid w:val="007B4216"/>
    <w:rsid w:val="007B4801"/>
    <w:rsid w:val="007B54F4"/>
    <w:rsid w:val="007B7D5F"/>
    <w:rsid w:val="007C01C3"/>
    <w:rsid w:val="007C5471"/>
    <w:rsid w:val="007D0898"/>
    <w:rsid w:val="007D7E7B"/>
    <w:rsid w:val="007E0A10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717E"/>
    <w:rsid w:val="00807FEA"/>
    <w:rsid w:val="00814FC9"/>
    <w:rsid w:val="0081611E"/>
    <w:rsid w:val="00817648"/>
    <w:rsid w:val="00817BB3"/>
    <w:rsid w:val="00823186"/>
    <w:rsid w:val="00830ABE"/>
    <w:rsid w:val="00830B4C"/>
    <w:rsid w:val="00831235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5A1C"/>
    <w:rsid w:val="00856252"/>
    <w:rsid w:val="00856344"/>
    <w:rsid w:val="008624DC"/>
    <w:rsid w:val="00866A83"/>
    <w:rsid w:val="00867861"/>
    <w:rsid w:val="008771B8"/>
    <w:rsid w:val="0088259B"/>
    <w:rsid w:val="0089082D"/>
    <w:rsid w:val="0089218B"/>
    <w:rsid w:val="0089404A"/>
    <w:rsid w:val="008A2CA8"/>
    <w:rsid w:val="008A7152"/>
    <w:rsid w:val="008B0AE0"/>
    <w:rsid w:val="008B17EB"/>
    <w:rsid w:val="008B2438"/>
    <w:rsid w:val="008C191D"/>
    <w:rsid w:val="008C1C9A"/>
    <w:rsid w:val="008C3BC7"/>
    <w:rsid w:val="008D4433"/>
    <w:rsid w:val="008D56CB"/>
    <w:rsid w:val="008D7D78"/>
    <w:rsid w:val="008E0AF1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C25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5787"/>
    <w:rsid w:val="00946E80"/>
    <w:rsid w:val="009506DE"/>
    <w:rsid w:val="00952C6B"/>
    <w:rsid w:val="00954CFD"/>
    <w:rsid w:val="00954F2D"/>
    <w:rsid w:val="0095578B"/>
    <w:rsid w:val="00956D34"/>
    <w:rsid w:val="00956DE4"/>
    <w:rsid w:val="00960986"/>
    <w:rsid w:val="009648AF"/>
    <w:rsid w:val="00964B2F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45E4"/>
    <w:rsid w:val="0099692E"/>
    <w:rsid w:val="009A0774"/>
    <w:rsid w:val="009A0D87"/>
    <w:rsid w:val="009A1949"/>
    <w:rsid w:val="009A1C9B"/>
    <w:rsid w:val="009A3A4D"/>
    <w:rsid w:val="009A727E"/>
    <w:rsid w:val="009A780F"/>
    <w:rsid w:val="009B1539"/>
    <w:rsid w:val="009B4FEF"/>
    <w:rsid w:val="009B562A"/>
    <w:rsid w:val="009B6684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D4DC4"/>
    <w:rsid w:val="009E0D7D"/>
    <w:rsid w:val="009E181C"/>
    <w:rsid w:val="009E509E"/>
    <w:rsid w:val="009E555D"/>
    <w:rsid w:val="009E5A0D"/>
    <w:rsid w:val="009E5D35"/>
    <w:rsid w:val="009F5418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7523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178C"/>
    <w:rsid w:val="00A63A7A"/>
    <w:rsid w:val="00A64E9D"/>
    <w:rsid w:val="00A64EAD"/>
    <w:rsid w:val="00A67FDB"/>
    <w:rsid w:val="00A737A8"/>
    <w:rsid w:val="00A74C26"/>
    <w:rsid w:val="00A763F2"/>
    <w:rsid w:val="00A765E2"/>
    <w:rsid w:val="00A822EF"/>
    <w:rsid w:val="00A829B9"/>
    <w:rsid w:val="00A85344"/>
    <w:rsid w:val="00A85D11"/>
    <w:rsid w:val="00A87C02"/>
    <w:rsid w:val="00A9318F"/>
    <w:rsid w:val="00A93853"/>
    <w:rsid w:val="00A95C6E"/>
    <w:rsid w:val="00A96678"/>
    <w:rsid w:val="00AA1549"/>
    <w:rsid w:val="00AA1A9E"/>
    <w:rsid w:val="00AA2596"/>
    <w:rsid w:val="00AA4144"/>
    <w:rsid w:val="00AA5C4F"/>
    <w:rsid w:val="00AA6688"/>
    <w:rsid w:val="00AB05F7"/>
    <w:rsid w:val="00AB3FBE"/>
    <w:rsid w:val="00AB5DF9"/>
    <w:rsid w:val="00AC0779"/>
    <w:rsid w:val="00AC2660"/>
    <w:rsid w:val="00AC5FD3"/>
    <w:rsid w:val="00AC769F"/>
    <w:rsid w:val="00AD14F3"/>
    <w:rsid w:val="00AD1F29"/>
    <w:rsid w:val="00AD24FB"/>
    <w:rsid w:val="00AD3705"/>
    <w:rsid w:val="00AD45C6"/>
    <w:rsid w:val="00AD499B"/>
    <w:rsid w:val="00AD4E16"/>
    <w:rsid w:val="00AD5D12"/>
    <w:rsid w:val="00AE2F0E"/>
    <w:rsid w:val="00AE364F"/>
    <w:rsid w:val="00AE3E34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372A"/>
    <w:rsid w:val="00B24972"/>
    <w:rsid w:val="00B25734"/>
    <w:rsid w:val="00B30782"/>
    <w:rsid w:val="00B31EA7"/>
    <w:rsid w:val="00B35519"/>
    <w:rsid w:val="00B35DF1"/>
    <w:rsid w:val="00B3653A"/>
    <w:rsid w:val="00B40A79"/>
    <w:rsid w:val="00B42418"/>
    <w:rsid w:val="00B42965"/>
    <w:rsid w:val="00B45527"/>
    <w:rsid w:val="00B4741E"/>
    <w:rsid w:val="00B47D96"/>
    <w:rsid w:val="00B5009F"/>
    <w:rsid w:val="00B517D7"/>
    <w:rsid w:val="00B51E1E"/>
    <w:rsid w:val="00B52207"/>
    <w:rsid w:val="00B537FA"/>
    <w:rsid w:val="00B54C59"/>
    <w:rsid w:val="00B55B9D"/>
    <w:rsid w:val="00B6336B"/>
    <w:rsid w:val="00B641F0"/>
    <w:rsid w:val="00B745B9"/>
    <w:rsid w:val="00B8128E"/>
    <w:rsid w:val="00B84EBD"/>
    <w:rsid w:val="00B87286"/>
    <w:rsid w:val="00B91395"/>
    <w:rsid w:val="00BA353B"/>
    <w:rsid w:val="00BB04DE"/>
    <w:rsid w:val="00BB0863"/>
    <w:rsid w:val="00BB63AA"/>
    <w:rsid w:val="00BC09BF"/>
    <w:rsid w:val="00BC0C10"/>
    <w:rsid w:val="00BC22DD"/>
    <w:rsid w:val="00BC4409"/>
    <w:rsid w:val="00BC6AF3"/>
    <w:rsid w:val="00BD0A39"/>
    <w:rsid w:val="00BD1047"/>
    <w:rsid w:val="00BD1234"/>
    <w:rsid w:val="00BD1A01"/>
    <w:rsid w:val="00BD1B46"/>
    <w:rsid w:val="00BD1B77"/>
    <w:rsid w:val="00BD586C"/>
    <w:rsid w:val="00BF25E5"/>
    <w:rsid w:val="00BF77EE"/>
    <w:rsid w:val="00C00C89"/>
    <w:rsid w:val="00C04044"/>
    <w:rsid w:val="00C056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3314A"/>
    <w:rsid w:val="00C3623E"/>
    <w:rsid w:val="00C43BC1"/>
    <w:rsid w:val="00C450BE"/>
    <w:rsid w:val="00C50A2C"/>
    <w:rsid w:val="00C50EF2"/>
    <w:rsid w:val="00C50FEC"/>
    <w:rsid w:val="00C5316A"/>
    <w:rsid w:val="00C54DFE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B10B8"/>
    <w:rsid w:val="00CB1E5C"/>
    <w:rsid w:val="00CB268D"/>
    <w:rsid w:val="00CB5ED6"/>
    <w:rsid w:val="00CB7014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3E25"/>
    <w:rsid w:val="00CE6982"/>
    <w:rsid w:val="00CE698E"/>
    <w:rsid w:val="00CF14E5"/>
    <w:rsid w:val="00CF4BD2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5390"/>
    <w:rsid w:val="00D27FE6"/>
    <w:rsid w:val="00D27FFD"/>
    <w:rsid w:val="00D30AD4"/>
    <w:rsid w:val="00D3289E"/>
    <w:rsid w:val="00D343A6"/>
    <w:rsid w:val="00D36004"/>
    <w:rsid w:val="00D4056F"/>
    <w:rsid w:val="00D5491F"/>
    <w:rsid w:val="00D55CDB"/>
    <w:rsid w:val="00D610AB"/>
    <w:rsid w:val="00D61D44"/>
    <w:rsid w:val="00D62446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3FD3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B6704"/>
    <w:rsid w:val="00DC0A32"/>
    <w:rsid w:val="00DD4455"/>
    <w:rsid w:val="00DD5E75"/>
    <w:rsid w:val="00DD5FC2"/>
    <w:rsid w:val="00DD60E0"/>
    <w:rsid w:val="00DF067F"/>
    <w:rsid w:val="00DF146D"/>
    <w:rsid w:val="00DF21DD"/>
    <w:rsid w:val="00DF3AD3"/>
    <w:rsid w:val="00DF43CB"/>
    <w:rsid w:val="00DF5D5E"/>
    <w:rsid w:val="00E04E4C"/>
    <w:rsid w:val="00E10B1A"/>
    <w:rsid w:val="00E13F6E"/>
    <w:rsid w:val="00E1493C"/>
    <w:rsid w:val="00E15BD2"/>
    <w:rsid w:val="00E17649"/>
    <w:rsid w:val="00E178A7"/>
    <w:rsid w:val="00E201A8"/>
    <w:rsid w:val="00E2276F"/>
    <w:rsid w:val="00E2579A"/>
    <w:rsid w:val="00E31B51"/>
    <w:rsid w:val="00E32FBD"/>
    <w:rsid w:val="00E33C85"/>
    <w:rsid w:val="00E415A9"/>
    <w:rsid w:val="00E44AE0"/>
    <w:rsid w:val="00E44C34"/>
    <w:rsid w:val="00E5169E"/>
    <w:rsid w:val="00E607AA"/>
    <w:rsid w:val="00E62403"/>
    <w:rsid w:val="00E65C5C"/>
    <w:rsid w:val="00E72D29"/>
    <w:rsid w:val="00E7392C"/>
    <w:rsid w:val="00E7491D"/>
    <w:rsid w:val="00E804DC"/>
    <w:rsid w:val="00E829B3"/>
    <w:rsid w:val="00E84066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23FC"/>
    <w:rsid w:val="00EC410E"/>
    <w:rsid w:val="00EC51CF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E7163"/>
    <w:rsid w:val="00EF0C31"/>
    <w:rsid w:val="00EF276A"/>
    <w:rsid w:val="00EF6251"/>
    <w:rsid w:val="00EF71D5"/>
    <w:rsid w:val="00F013C4"/>
    <w:rsid w:val="00F0188F"/>
    <w:rsid w:val="00F06273"/>
    <w:rsid w:val="00F06348"/>
    <w:rsid w:val="00F0748F"/>
    <w:rsid w:val="00F119AE"/>
    <w:rsid w:val="00F12EBE"/>
    <w:rsid w:val="00F1478D"/>
    <w:rsid w:val="00F15CDB"/>
    <w:rsid w:val="00F164D9"/>
    <w:rsid w:val="00F228A9"/>
    <w:rsid w:val="00F23158"/>
    <w:rsid w:val="00F23480"/>
    <w:rsid w:val="00F269F5"/>
    <w:rsid w:val="00F26D2F"/>
    <w:rsid w:val="00F3139D"/>
    <w:rsid w:val="00F32DB1"/>
    <w:rsid w:val="00F34250"/>
    <w:rsid w:val="00F343B5"/>
    <w:rsid w:val="00F34CBA"/>
    <w:rsid w:val="00F36875"/>
    <w:rsid w:val="00F408EB"/>
    <w:rsid w:val="00F44730"/>
    <w:rsid w:val="00F4788E"/>
    <w:rsid w:val="00F57742"/>
    <w:rsid w:val="00F579D1"/>
    <w:rsid w:val="00F6093F"/>
    <w:rsid w:val="00F62AA6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86909"/>
    <w:rsid w:val="00FA1952"/>
    <w:rsid w:val="00FA388E"/>
    <w:rsid w:val="00FA5A0B"/>
    <w:rsid w:val="00FA6941"/>
    <w:rsid w:val="00FB0587"/>
    <w:rsid w:val="00FB074A"/>
    <w:rsid w:val="00FB4692"/>
    <w:rsid w:val="00FB53CD"/>
    <w:rsid w:val="00FB5986"/>
    <w:rsid w:val="00FB7050"/>
    <w:rsid w:val="00FC43E3"/>
    <w:rsid w:val="00FC599F"/>
    <w:rsid w:val="00FC788B"/>
    <w:rsid w:val="00FD2720"/>
    <w:rsid w:val="00FD3296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CADD372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styleId="Mencionar">
    <w:name w:val="Mention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33D71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4D406D"/>
    <w:pPr>
      <w:ind w:left="720"/>
      <w:contextualSpacing/>
    </w:pPr>
  </w:style>
  <w:style w:type="paragraph" w:styleId="Revisin">
    <w:name w:val="Revision"/>
    <w:hidden/>
    <w:uiPriority w:val="66"/>
    <w:semiHidden/>
    <w:rsid w:val="00B30782"/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Default">
    <w:name w:val="Default"/>
    <w:rsid w:val="00B42965"/>
    <w:pPr>
      <w:autoSpaceDE w:val="0"/>
      <w:autoSpaceDN w:val="0"/>
      <w:adjustRightInd w:val="0"/>
    </w:pPr>
    <w:rPr>
      <w:rFonts w:ascii="SCRRCD+ArialMT" w:hAnsi="SCRRCD+ArialMT" w:cs="SCRRCD+ArialMT"/>
      <w:color w:val="000000"/>
      <w:sz w:val="24"/>
      <w:szCs w:val="24"/>
      <w:lang w:val="es-CL"/>
    </w:rPr>
  </w:style>
  <w:style w:type="character" w:styleId="Mencinsinresolver">
    <w:name w:val="Unresolved Mention"/>
    <w:basedOn w:val="Fuentedeprrafopredeter"/>
    <w:uiPriority w:val="99"/>
    <w:rsid w:val="00DB67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j.gob.cl/procesos-de-la-industria/otorgamiento-de-permiso-de-operacion/evaluacion-de-proyectos/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j.gob.cl/procesos-de-la-industria/otorgamiento-de-permiso-de-operacion/ratificacion-revision-evaluacion-tecnica/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2EAB-0BAE-450C-A406-230BB6B9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2901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 Toro</cp:lastModifiedBy>
  <cp:revision>4</cp:revision>
  <cp:lastPrinted>2018-04-06T12:55:00Z</cp:lastPrinted>
  <dcterms:created xsi:type="dcterms:W3CDTF">2024-04-30T20:23:00Z</dcterms:created>
  <dcterms:modified xsi:type="dcterms:W3CDTF">2024-04-30T20:40:00Z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-681344316</vt:i4>
  </property>
</Properties>
</file>