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84B43" w14:textId="77777777" w:rsidR="009736D6" w:rsidRDefault="00841503" w:rsidP="00CE3E25">
      <w:pPr>
        <w:rPr>
          <w:rFonts w:ascii="Calibri" w:hAnsi="Calibri" w:cs="Arial"/>
          <w:b/>
          <w:sz w:val="35"/>
          <w:szCs w:val="35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B22F3" wp14:editId="3AF885EA">
                <wp:simplePos x="0" y="0"/>
                <wp:positionH relativeFrom="margin">
                  <wp:align>right</wp:align>
                </wp:positionH>
                <wp:positionV relativeFrom="paragraph">
                  <wp:posOffset>-574675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EA74A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00D6B486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7D830A7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BCF4472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B2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5.2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" strokecolor="white">
                <v:textbox>
                  <w:txbxContent>
                    <w:p w14:paraId="15EEA74A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00D6B486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7D830A7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BCF4472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0A3811" w14:textId="49EE054E" w:rsidR="000615A7" w:rsidRDefault="000615A7" w:rsidP="000615A7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Cuenta Pública 20</w:t>
      </w:r>
      <w:r w:rsidR="0067137E">
        <w:rPr>
          <w:rFonts w:asciiTheme="majorHAnsi" w:hAnsiTheme="majorHAnsi" w:cstheme="majorHAnsi"/>
          <w:b/>
          <w:color w:val="000000"/>
          <w:sz w:val="22"/>
          <w:szCs w:val="22"/>
        </w:rPr>
        <w:t>2</w:t>
      </w:r>
      <w:r w:rsidR="00297B99">
        <w:rPr>
          <w:rFonts w:asciiTheme="majorHAnsi" w:hAnsiTheme="majorHAnsi" w:cstheme="majorHAnsi"/>
          <w:b/>
          <w:color w:val="000000"/>
          <w:sz w:val="22"/>
          <w:szCs w:val="22"/>
        </w:rPr>
        <w:t>4</w:t>
      </w:r>
    </w:p>
    <w:p w14:paraId="47DD5C01" w14:textId="77777777" w:rsidR="00C335CB" w:rsidRPr="000615A7" w:rsidRDefault="00C335CB" w:rsidP="000615A7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A237586" w14:textId="616558CD" w:rsidR="001A0531" w:rsidRDefault="001A0531" w:rsidP="001A0531">
      <w:pPr>
        <w:jc w:val="center"/>
        <w:rPr>
          <w:rFonts w:ascii="Calibri" w:eastAsia="Calibri" w:hAnsi="Calibri" w:cs="Calibri"/>
          <w:b/>
          <w:sz w:val="26"/>
          <w:szCs w:val="26"/>
          <w:lang w:eastAsia="es-ES_tradnl"/>
        </w:rPr>
      </w:pPr>
      <w:r w:rsidRPr="0005644E">
        <w:rPr>
          <w:rFonts w:ascii="Calibri" w:eastAsia="Calibri" w:hAnsi="Calibri" w:cs="Calibri"/>
          <w:b/>
          <w:sz w:val="26"/>
          <w:szCs w:val="26"/>
          <w:lang w:eastAsia="es-ES_tradnl"/>
        </w:rPr>
        <w:t>Superintendencia</w:t>
      </w:r>
      <w:r w:rsidRPr="0005644E">
        <w:rPr>
          <w:rFonts w:ascii="Calibri" w:hAnsi="Calibri" w:cs="Arial Hebrew"/>
          <w:b/>
          <w:sz w:val="26"/>
          <w:szCs w:val="26"/>
          <w:lang w:eastAsia="es-ES_tradnl"/>
        </w:rPr>
        <w:t xml:space="preserve"> </w:t>
      </w:r>
      <w:r w:rsidR="00791FC8">
        <w:rPr>
          <w:rFonts w:ascii="Calibri" w:eastAsia="Calibri" w:hAnsi="Calibri" w:cs="Calibri"/>
          <w:b/>
          <w:sz w:val="26"/>
          <w:szCs w:val="26"/>
          <w:lang w:eastAsia="es-ES_tradnl"/>
        </w:rPr>
        <w:t>p</w:t>
      </w:r>
      <w:r w:rsidRPr="0005644E">
        <w:rPr>
          <w:rFonts w:ascii="Calibri" w:eastAsia="Calibri" w:hAnsi="Calibri" w:cs="Calibri"/>
          <w:b/>
          <w:sz w:val="26"/>
          <w:szCs w:val="26"/>
          <w:lang w:eastAsia="es-ES_tradnl"/>
        </w:rPr>
        <w:t xml:space="preserve">romueve </w:t>
      </w:r>
      <w:r>
        <w:rPr>
          <w:rFonts w:ascii="Calibri" w:eastAsia="Calibri" w:hAnsi="Calibri" w:cs="Calibri"/>
          <w:b/>
          <w:sz w:val="26"/>
          <w:szCs w:val="26"/>
          <w:lang w:eastAsia="es-ES_tradnl"/>
        </w:rPr>
        <w:t xml:space="preserve">un </w:t>
      </w:r>
      <w:r w:rsidR="00791FC8">
        <w:rPr>
          <w:rFonts w:ascii="Calibri" w:eastAsia="Calibri" w:hAnsi="Calibri" w:cs="Calibri"/>
          <w:b/>
          <w:sz w:val="26"/>
          <w:szCs w:val="26"/>
          <w:lang w:eastAsia="es-ES_tradnl"/>
        </w:rPr>
        <w:t>d</w:t>
      </w:r>
      <w:r>
        <w:rPr>
          <w:rFonts w:ascii="Calibri" w:eastAsia="Calibri" w:hAnsi="Calibri" w:cs="Calibri"/>
          <w:b/>
          <w:sz w:val="26"/>
          <w:szCs w:val="26"/>
          <w:lang w:eastAsia="es-ES_tradnl"/>
        </w:rPr>
        <w:t xml:space="preserve">esarrollo </w:t>
      </w:r>
      <w:r w:rsidR="00791FC8">
        <w:rPr>
          <w:rFonts w:ascii="Calibri" w:eastAsia="Calibri" w:hAnsi="Calibri" w:cs="Calibri"/>
          <w:b/>
          <w:sz w:val="26"/>
          <w:szCs w:val="26"/>
          <w:lang w:eastAsia="es-ES_tradnl"/>
        </w:rPr>
        <w:t>s</w:t>
      </w:r>
      <w:r>
        <w:rPr>
          <w:rFonts w:ascii="Calibri" w:eastAsia="Calibri" w:hAnsi="Calibri" w:cs="Calibri"/>
          <w:b/>
          <w:sz w:val="26"/>
          <w:szCs w:val="26"/>
          <w:lang w:eastAsia="es-ES_tradnl"/>
        </w:rPr>
        <w:t xml:space="preserve">ustentable de la Industria de Casinos de Juego </w:t>
      </w:r>
      <w:r w:rsidR="0067137E">
        <w:rPr>
          <w:rFonts w:ascii="Calibri" w:eastAsia="Calibri" w:hAnsi="Calibri" w:cs="Calibri"/>
          <w:b/>
          <w:sz w:val="26"/>
          <w:szCs w:val="26"/>
          <w:lang w:eastAsia="es-ES_tradnl"/>
        </w:rPr>
        <w:t>y una regulación clara con respecto al juego ilegal</w:t>
      </w:r>
    </w:p>
    <w:p w14:paraId="32B0E40E" w14:textId="4729C2F4" w:rsidR="004D406D" w:rsidRDefault="004D406D" w:rsidP="009736D6">
      <w:pPr>
        <w:jc w:val="both"/>
        <w:rPr>
          <w:rFonts w:ascii="Calibri" w:hAnsi="Calibri" w:cs="Arial"/>
          <w:b/>
          <w:sz w:val="35"/>
          <w:szCs w:val="35"/>
        </w:rPr>
      </w:pPr>
    </w:p>
    <w:p w14:paraId="3E63B1E2" w14:textId="2E09F6D7" w:rsidR="000601C6" w:rsidRDefault="000615A7" w:rsidP="006C3A16">
      <w:pPr>
        <w:ind w:right="49"/>
        <w:jc w:val="both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  <w:r w:rsidRPr="000615A7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En la oportunidad </w:t>
      </w:r>
      <w:r w:rsidR="00E74D59">
        <w:rPr>
          <w:rFonts w:asciiTheme="majorHAnsi" w:hAnsiTheme="majorHAnsi" w:cstheme="majorHAnsi"/>
          <w:b/>
          <w:i/>
          <w:color w:val="000000"/>
          <w:sz w:val="22"/>
          <w:szCs w:val="22"/>
        </w:rPr>
        <w:t>se presentó la gestión</w:t>
      </w:r>
      <w:r w:rsidR="00297B99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2023</w:t>
      </w:r>
      <w:r w:rsidR="00E74D59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 que está realizando la institución en la construcción de valor público, a través de un trabajo de excelencia combinado con la fiscalización y la promoción del juego responsable</w:t>
      </w:r>
      <w:r w:rsidR="0067137E">
        <w:rPr>
          <w:rFonts w:asciiTheme="majorHAnsi" w:hAnsiTheme="majorHAnsi" w:cstheme="majorHAnsi"/>
          <w:b/>
          <w:i/>
          <w:color w:val="000000"/>
          <w:sz w:val="22"/>
          <w:szCs w:val="22"/>
        </w:rPr>
        <w:t xml:space="preserve">. </w:t>
      </w:r>
      <w:r w:rsidR="00297B99">
        <w:rPr>
          <w:rFonts w:asciiTheme="majorHAnsi" w:hAnsiTheme="majorHAnsi" w:cstheme="majorHAnsi"/>
          <w:b/>
          <w:i/>
          <w:color w:val="000000"/>
          <w:sz w:val="22"/>
          <w:szCs w:val="22"/>
        </w:rPr>
        <w:t>Así como el trabajo que se está realizando en vías de la pronta publicación de la ley que regula las plataformas en línea.</w:t>
      </w:r>
    </w:p>
    <w:p w14:paraId="07864F61" w14:textId="77777777" w:rsidR="000615A7" w:rsidRPr="000615A7" w:rsidRDefault="000615A7" w:rsidP="006C3A16">
      <w:pPr>
        <w:ind w:right="49"/>
        <w:jc w:val="both"/>
        <w:rPr>
          <w:rFonts w:asciiTheme="majorHAnsi" w:hAnsiTheme="majorHAnsi" w:cstheme="majorHAnsi"/>
          <w:b/>
          <w:i/>
          <w:color w:val="000000"/>
          <w:sz w:val="22"/>
          <w:szCs w:val="22"/>
        </w:rPr>
      </w:pPr>
    </w:p>
    <w:p w14:paraId="70E1B9A6" w14:textId="1B07E673" w:rsidR="000615A7" w:rsidRDefault="00297B99" w:rsidP="000615A7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10 DE MAYO 2024</w:t>
      </w:r>
      <w:r w:rsidR="000615A7" w:rsidRPr="000615A7">
        <w:rPr>
          <w:rFonts w:asciiTheme="majorHAnsi" w:eastAsia="Calibri" w:hAnsiTheme="majorHAnsi" w:cstheme="majorHAnsi"/>
          <w:b/>
          <w:sz w:val="22"/>
          <w:szCs w:val="22"/>
        </w:rPr>
        <w:t xml:space="preserve">.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La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Superintendencia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de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Casinos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de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Juego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rindió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este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viernes </w:t>
      </w:r>
      <w:r w:rsidR="00E74D59">
        <w:rPr>
          <w:rFonts w:asciiTheme="majorHAnsi" w:eastAsia="Calibri" w:hAnsiTheme="majorHAnsi" w:cstheme="majorHAnsi"/>
          <w:sz w:val="22"/>
          <w:szCs w:val="22"/>
        </w:rPr>
        <w:t xml:space="preserve">la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cuenta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pública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presencial</w:t>
      </w:r>
      <w:r w:rsidR="00E74D59">
        <w:rPr>
          <w:rFonts w:asciiTheme="majorHAnsi" w:eastAsia="Calibri" w:hAnsiTheme="majorHAnsi" w:cstheme="majorHAnsi"/>
          <w:sz w:val="22"/>
          <w:szCs w:val="22"/>
        </w:rPr>
        <w:t xml:space="preserve"> de la institución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,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en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la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que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informó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los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resultados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de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la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gestión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desarrollada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e</w:t>
      </w:r>
      <w:r w:rsidR="00250B99">
        <w:rPr>
          <w:rFonts w:asciiTheme="majorHAnsi" w:eastAsia="Calibri" w:hAnsiTheme="majorHAnsi" w:cstheme="majorHAnsi"/>
          <w:sz w:val="22"/>
          <w:szCs w:val="22"/>
        </w:rPr>
        <w:t>l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20</w:t>
      </w:r>
      <w:r>
        <w:rPr>
          <w:rFonts w:asciiTheme="majorHAnsi" w:hAnsiTheme="majorHAnsi" w:cstheme="majorHAnsi"/>
          <w:sz w:val="22"/>
          <w:szCs w:val="22"/>
        </w:rPr>
        <w:t>23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y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dio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conocer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los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principales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desafíos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comprometidos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para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el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período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2024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.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En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su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intervención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,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la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titular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del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organismo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,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Vivien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Villa</w:t>
      </w:r>
      <w:r w:rsidR="00656A4B">
        <w:rPr>
          <w:rFonts w:asciiTheme="majorHAnsi" w:eastAsia="Calibri" w:hAnsiTheme="majorHAnsi" w:cstheme="majorHAnsi"/>
          <w:sz w:val="22"/>
          <w:szCs w:val="22"/>
        </w:rPr>
        <w:t>g</w:t>
      </w:r>
      <w:r w:rsidR="000615A7" w:rsidRPr="000615A7">
        <w:rPr>
          <w:rFonts w:asciiTheme="majorHAnsi" w:eastAsia="Calibri" w:hAnsiTheme="majorHAnsi" w:cstheme="majorHAnsi"/>
          <w:sz w:val="22"/>
          <w:szCs w:val="22"/>
        </w:rPr>
        <w:t>rán</w:t>
      </w:r>
      <w:r w:rsidR="000615A7" w:rsidRPr="000615A7">
        <w:rPr>
          <w:rFonts w:asciiTheme="majorHAnsi" w:hAnsiTheme="majorHAnsi" w:cstheme="majorHAnsi"/>
          <w:sz w:val="22"/>
          <w:szCs w:val="22"/>
        </w:rPr>
        <w:t xml:space="preserve">, </w:t>
      </w:r>
      <w:r w:rsidR="00E74D59">
        <w:rPr>
          <w:rFonts w:asciiTheme="majorHAnsi" w:hAnsiTheme="majorHAnsi" w:cstheme="majorHAnsi"/>
          <w:sz w:val="22"/>
          <w:szCs w:val="22"/>
        </w:rPr>
        <w:t xml:space="preserve">destacó el trabajo </w:t>
      </w:r>
      <w:r>
        <w:rPr>
          <w:rFonts w:asciiTheme="majorHAnsi" w:hAnsiTheme="majorHAnsi" w:cstheme="majorHAnsi"/>
          <w:sz w:val="22"/>
          <w:szCs w:val="22"/>
        </w:rPr>
        <w:t>que se ha realizado en torno a los procesos de otorgamiento de permisos de operación de casinos de juego y sobre la pronta dictación de la normativa que regula</w:t>
      </w:r>
      <w:r w:rsidR="00250B99">
        <w:rPr>
          <w:rFonts w:asciiTheme="majorHAnsi" w:hAnsiTheme="majorHAnsi" w:cstheme="majorHAnsi"/>
          <w:sz w:val="22"/>
          <w:szCs w:val="22"/>
        </w:rPr>
        <w:t xml:space="preserve"> las plataformas que desarrollan </w:t>
      </w:r>
      <w:r>
        <w:rPr>
          <w:rFonts w:asciiTheme="majorHAnsi" w:hAnsiTheme="majorHAnsi" w:cstheme="majorHAnsi"/>
          <w:sz w:val="22"/>
          <w:szCs w:val="22"/>
        </w:rPr>
        <w:t xml:space="preserve">juegos en línea. </w:t>
      </w:r>
    </w:p>
    <w:p w14:paraId="221DF313" w14:textId="77777777" w:rsidR="00297B99" w:rsidRDefault="00297B99" w:rsidP="000615A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22BF9A1" w14:textId="283F0BA0" w:rsidR="00297B99" w:rsidRPr="000615A7" w:rsidRDefault="00297B99" w:rsidP="000615A7">
      <w:pPr>
        <w:jc w:val="both"/>
        <w:rPr>
          <w:rFonts w:asciiTheme="majorHAnsi" w:hAnsiTheme="majorHAnsi" w:cstheme="majorHAnsi"/>
          <w:sz w:val="22"/>
          <w:szCs w:val="22"/>
          <w:lang w:eastAsia="es-ES_tradnl"/>
        </w:rPr>
      </w:pPr>
      <w:r>
        <w:rPr>
          <w:rFonts w:asciiTheme="majorHAnsi" w:hAnsiTheme="majorHAnsi" w:cstheme="majorHAnsi"/>
          <w:sz w:val="22"/>
          <w:szCs w:val="22"/>
        </w:rPr>
        <w:t>(foto)</w:t>
      </w:r>
    </w:p>
    <w:p w14:paraId="1E9C0C38" w14:textId="03A0DDAE" w:rsidR="000615A7" w:rsidRPr="000615A7" w:rsidRDefault="000615A7" w:rsidP="000615A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38D8C65" w14:textId="0E251806" w:rsidR="000615A7" w:rsidRPr="000615A7" w:rsidRDefault="000615A7" w:rsidP="000615A7">
      <w:pPr>
        <w:jc w:val="both"/>
        <w:rPr>
          <w:rFonts w:asciiTheme="majorHAnsi" w:hAnsiTheme="majorHAnsi" w:cstheme="majorHAnsi"/>
          <w:sz w:val="22"/>
          <w:szCs w:val="22"/>
        </w:rPr>
      </w:pPr>
      <w:r w:rsidRPr="000615A7">
        <w:rPr>
          <w:rFonts w:asciiTheme="majorHAnsi" w:hAnsiTheme="majorHAnsi" w:cstheme="majorHAnsi"/>
          <w:sz w:val="22"/>
          <w:szCs w:val="22"/>
        </w:rPr>
        <w:t>“</w:t>
      </w:r>
      <w:r w:rsidR="00E74D59">
        <w:rPr>
          <w:rFonts w:asciiTheme="majorHAnsi" w:hAnsiTheme="majorHAnsi" w:cstheme="majorHAnsi"/>
          <w:i/>
          <w:sz w:val="22"/>
          <w:szCs w:val="22"/>
        </w:rPr>
        <w:t xml:space="preserve">Continuamos con el trabajo que busca potenciar nuestro actuar de manera que </w:t>
      </w:r>
      <w:r w:rsidR="00DE5398">
        <w:rPr>
          <w:rFonts w:asciiTheme="majorHAnsi" w:hAnsiTheme="majorHAnsi" w:cstheme="majorHAnsi"/>
          <w:i/>
          <w:sz w:val="22"/>
          <w:szCs w:val="22"/>
        </w:rPr>
        <w:t>el</w:t>
      </w:r>
      <w:r w:rsidR="00E74D59">
        <w:rPr>
          <w:rFonts w:asciiTheme="majorHAnsi" w:hAnsiTheme="majorHAnsi" w:cstheme="majorHAnsi"/>
          <w:i/>
          <w:sz w:val="22"/>
          <w:szCs w:val="22"/>
        </w:rPr>
        <w:t xml:space="preserve"> desempeño</w:t>
      </w:r>
      <w:r w:rsidR="00DE5398">
        <w:rPr>
          <w:rFonts w:asciiTheme="majorHAnsi" w:hAnsiTheme="majorHAnsi" w:cstheme="majorHAnsi"/>
          <w:i/>
          <w:sz w:val="22"/>
          <w:szCs w:val="22"/>
        </w:rPr>
        <w:t xml:space="preserve"> institucional</w:t>
      </w:r>
      <w:r w:rsidR="00E74D59">
        <w:rPr>
          <w:rFonts w:asciiTheme="majorHAnsi" w:hAnsiTheme="majorHAnsi" w:cstheme="majorHAnsi"/>
          <w:i/>
          <w:sz w:val="22"/>
          <w:szCs w:val="22"/>
        </w:rPr>
        <w:t xml:space="preserve"> mejore</w:t>
      </w:r>
      <w:r w:rsidR="00DE5398">
        <w:rPr>
          <w:rFonts w:asciiTheme="majorHAnsi" w:hAnsiTheme="majorHAnsi" w:cstheme="majorHAnsi"/>
          <w:i/>
          <w:sz w:val="22"/>
          <w:szCs w:val="22"/>
        </w:rPr>
        <w:t xml:space="preserve"> continuamente</w:t>
      </w:r>
      <w:r w:rsidR="00E74D59">
        <w:rPr>
          <w:rFonts w:asciiTheme="majorHAnsi" w:hAnsiTheme="majorHAnsi" w:cstheme="majorHAnsi"/>
          <w:i/>
          <w:sz w:val="22"/>
          <w:szCs w:val="22"/>
        </w:rPr>
        <w:t xml:space="preserve"> en eficiencia y calidad, </w:t>
      </w:r>
      <w:r w:rsidR="00DE5398">
        <w:rPr>
          <w:rFonts w:asciiTheme="majorHAnsi" w:hAnsiTheme="majorHAnsi" w:cstheme="majorHAnsi"/>
          <w:i/>
          <w:sz w:val="22"/>
          <w:szCs w:val="22"/>
        </w:rPr>
        <w:t xml:space="preserve">acorde a </w:t>
      </w:r>
      <w:r w:rsidR="00E74D59">
        <w:rPr>
          <w:rFonts w:asciiTheme="majorHAnsi" w:hAnsiTheme="majorHAnsi" w:cstheme="majorHAnsi"/>
          <w:i/>
          <w:sz w:val="22"/>
          <w:szCs w:val="22"/>
        </w:rPr>
        <w:t>nuestro mandato legal”</w:t>
      </w:r>
      <w:r w:rsidRPr="000615A7">
        <w:rPr>
          <w:rFonts w:asciiTheme="majorHAnsi" w:hAnsiTheme="majorHAnsi" w:cstheme="majorHAnsi"/>
          <w:sz w:val="22"/>
          <w:szCs w:val="22"/>
          <w:lang w:val="es-CL"/>
        </w:rPr>
        <w:t>, declaró la Superintendenta del ramo.</w:t>
      </w:r>
    </w:p>
    <w:p w14:paraId="484FE68B" w14:textId="77777777" w:rsidR="000615A7" w:rsidRPr="000615A7" w:rsidRDefault="000615A7" w:rsidP="000615A7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1BD4C2C" w14:textId="194EE024" w:rsidR="000615A7" w:rsidRDefault="000615A7" w:rsidP="000615A7">
      <w:pPr>
        <w:rPr>
          <w:rFonts w:asciiTheme="majorHAnsi" w:eastAsia="Calibri" w:hAnsiTheme="majorHAnsi" w:cstheme="majorHAnsi"/>
          <w:sz w:val="22"/>
          <w:szCs w:val="22"/>
        </w:rPr>
      </w:pPr>
      <w:r w:rsidRPr="000615A7">
        <w:rPr>
          <w:rFonts w:asciiTheme="majorHAnsi" w:hAnsiTheme="majorHAnsi" w:cstheme="majorHAnsi"/>
          <w:sz w:val="22"/>
          <w:szCs w:val="22"/>
        </w:rPr>
        <w:t xml:space="preserve">Lo anterior se encuentra en línea con </w:t>
      </w:r>
      <w:r w:rsidRPr="000615A7">
        <w:rPr>
          <w:rFonts w:asciiTheme="majorHAnsi" w:eastAsia="Calibri" w:hAnsiTheme="majorHAnsi" w:cstheme="majorHAnsi"/>
          <w:sz w:val="22"/>
          <w:szCs w:val="22"/>
        </w:rPr>
        <w:t>el</w:t>
      </w:r>
      <w:r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Pr="000615A7">
        <w:rPr>
          <w:rFonts w:asciiTheme="majorHAnsi" w:eastAsia="Calibri" w:hAnsiTheme="majorHAnsi" w:cstheme="majorHAnsi"/>
          <w:sz w:val="22"/>
          <w:szCs w:val="22"/>
        </w:rPr>
        <w:t>proceso</w:t>
      </w:r>
      <w:r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Pr="000615A7">
        <w:rPr>
          <w:rFonts w:asciiTheme="majorHAnsi" w:eastAsia="Calibri" w:hAnsiTheme="majorHAnsi" w:cstheme="majorHAnsi"/>
          <w:sz w:val="22"/>
          <w:szCs w:val="22"/>
        </w:rPr>
        <w:t>de</w:t>
      </w:r>
      <w:r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Pr="000615A7">
        <w:rPr>
          <w:rFonts w:asciiTheme="majorHAnsi" w:eastAsia="Calibri" w:hAnsiTheme="majorHAnsi" w:cstheme="majorHAnsi"/>
          <w:sz w:val="22"/>
          <w:szCs w:val="22"/>
        </w:rPr>
        <w:t>planificación</w:t>
      </w:r>
      <w:r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Pr="000615A7">
        <w:rPr>
          <w:rFonts w:asciiTheme="majorHAnsi" w:eastAsia="Calibri" w:hAnsiTheme="majorHAnsi" w:cstheme="majorHAnsi"/>
          <w:sz w:val="22"/>
          <w:szCs w:val="22"/>
        </w:rPr>
        <w:t>estratégica</w:t>
      </w:r>
      <w:r w:rsidR="00DE5398">
        <w:rPr>
          <w:rFonts w:asciiTheme="majorHAnsi" w:eastAsia="Calibri" w:hAnsiTheme="majorHAnsi" w:cstheme="majorHAnsi"/>
          <w:sz w:val="22"/>
          <w:szCs w:val="22"/>
        </w:rPr>
        <w:t xml:space="preserve"> definido</w:t>
      </w:r>
      <w:r w:rsidRPr="000615A7">
        <w:rPr>
          <w:rFonts w:asciiTheme="majorHAnsi" w:eastAsia="Calibri" w:hAnsiTheme="majorHAnsi" w:cstheme="majorHAnsi"/>
          <w:sz w:val="22"/>
          <w:szCs w:val="22"/>
        </w:rPr>
        <w:t xml:space="preserve"> por la SCJ</w:t>
      </w:r>
      <w:r w:rsidRPr="000615A7">
        <w:rPr>
          <w:rFonts w:asciiTheme="majorHAnsi" w:hAnsiTheme="majorHAnsi" w:cstheme="majorHAnsi"/>
          <w:sz w:val="22"/>
          <w:szCs w:val="22"/>
        </w:rPr>
        <w:t xml:space="preserve"> </w:t>
      </w:r>
      <w:r w:rsidR="00250B99">
        <w:rPr>
          <w:rFonts w:asciiTheme="majorHAnsi" w:hAnsiTheme="majorHAnsi" w:cstheme="majorHAnsi"/>
          <w:sz w:val="22"/>
          <w:szCs w:val="22"/>
        </w:rPr>
        <w:t xml:space="preserve">para el período </w:t>
      </w:r>
      <w:r w:rsidR="00297B99">
        <w:rPr>
          <w:rFonts w:asciiTheme="majorHAnsi" w:eastAsia="Calibri" w:hAnsiTheme="majorHAnsi" w:cstheme="majorHAnsi"/>
          <w:sz w:val="22"/>
          <w:szCs w:val="22"/>
        </w:rPr>
        <w:t>2023-2025</w:t>
      </w:r>
      <w:r w:rsidRPr="000615A7">
        <w:rPr>
          <w:rFonts w:asciiTheme="majorHAnsi" w:eastAsia="Calibri" w:hAnsiTheme="majorHAnsi" w:cstheme="majorHAnsi"/>
          <w:sz w:val="22"/>
          <w:szCs w:val="22"/>
        </w:rPr>
        <w:t xml:space="preserve">, </w:t>
      </w:r>
      <w:r w:rsidR="00DE5398">
        <w:rPr>
          <w:rFonts w:asciiTheme="majorHAnsi" w:eastAsia="Calibri" w:hAnsiTheme="majorHAnsi" w:cstheme="majorHAnsi"/>
          <w:sz w:val="22"/>
          <w:szCs w:val="22"/>
        </w:rPr>
        <w:t xml:space="preserve">donde se establecieron </w:t>
      </w:r>
      <w:r w:rsidR="00786043">
        <w:rPr>
          <w:rFonts w:asciiTheme="majorHAnsi" w:eastAsia="Calibri" w:hAnsiTheme="majorHAnsi" w:cstheme="majorHAnsi"/>
          <w:sz w:val="22"/>
          <w:szCs w:val="22"/>
        </w:rPr>
        <w:t xml:space="preserve">tres objetivos prioritarios: </w:t>
      </w:r>
      <w:r w:rsidR="00DE5398" w:rsidRPr="00DE5398">
        <w:rPr>
          <w:rFonts w:asciiTheme="majorHAnsi" w:eastAsia="Calibri" w:hAnsiTheme="majorHAnsi" w:cstheme="majorHAnsi"/>
          <w:sz w:val="22"/>
          <w:szCs w:val="22"/>
        </w:rPr>
        <w:t>Aumentar la competitividad y el valor público de la industria y los proyectos integrales, relevando su aporte al desarrollo regional y local</w:t>
      </w:r>
      <w:r w:rsidR="00786043">
        <w:rPr>
          <w:rFonts w:asciiTheme="majorHAnsi" w:eastAsia="Calibri" w:hAnsiTheme="majorHAnsi" w:cstheme="majorHAnsi"/>
          <w:sz w:val="22"/>
          <w:szCs w:val="22"/>
        </w:rPr>
        <w:t xml:space="preserve">; </w:t>
      </w:r>
      <w:r w:rsidR="00DE5398" w:rsidRPr="00DE5398">
        <w:rPr>
          <w:rFonts w:asciiTheme="majorHAnsi" w:eastAsia="Calibri" w:hAnsiTheme="majorHAnsi" w:cstheme="majorHAnsi"/>
          <w:sz w:val="22"/>
          <w:szCs w:val="22"/>
        </w:rPr>
        <w:t>Generar un marco ético que contribuya al cumplimiento normativo en la operación de los casinos de juego y desarrollo de una estrategia de juego responsable, preservando la fe pública</w:t>
      </w:r>
      <w:r w:rsidR="00786043">
        <w:rPr>
          <w:rFonts w:asciiTheme="majorHAnsi" w:eastAsia="Calibri" w:hAnsiTheme="majorHAnsi" w:cstheme="majorHAnsi"/>
          <w:sz w:val="22"/>
          <w:szCs w:val="22"/>
        </w:rPr>
        <w:t xml:space="preserve">; </w:t>
      </w:r>
      <w:r w:rsidR="00DE5398" w:rsidRPr="00DE5398">
        <w:rPr>
          <w:rFonts w:asciiTheme="majorHAnsi" w:eastAsia="Calibri" w:hAnsiTheme="majorHAnsi" w:cstheme="majorHAnsi"/>
          <w:sz w:val="22"/>
          <w:szCs w:val="22"/>
        </w:rPr>
        <w:t>Generar un nuevo marco regulatorio que permita incorporar las nuevas tendencias de desarrollo de la industria, resguardando una relación armónica con la comunidad y su entorno.</w:t>
      </w:r>
    </w:p>
    <w:p w14:paraId="625E0A69" w14:textId="77777777" w:rsidR="000615A7" w:rsidRPr="000615A7" w:rsidRDefault="000615A7" w:rsidP="000615A7">
      <w:pPr>
        <w:rPr>
          <w:rFonts w:asciiTheme="majorHAnsi" w:hAnsiTheme="majorHAnsi" w:cstheme="majorHAnsi"/>
          <w:sz w:val="22"/>
          <w:szCs w:val="22"/>
        </w:rPr>
      </w:pPr>
    </w:p>
    <w:p w14:paraId="4CC2392F" w14:textId="7A599690" w:rsidR="000615A7" w:rsidRPr="000615A7" w:rsidRDefault="00297B99" w:rsidP="000615A7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ESTRATEGIA NACIONAL DE </w:t>
      </w:r>
      <w:r w:rsidR="00F12501">
        <w:rPr>
          <w:rFonts w:asciiTheme="majorHAnsi" w:hAnsiTheme="majorHAnsi" w:cstheme="majorHAnsi"/>
          <w:b/>
          <w:sz w:val="22"/>
          <w:szCs w:val="22"/>
        </w:rPr>
        <w:t xml:space="preserve">JUEGO RESPONSABLE </w:t>
      </w:r>
    </w:p>
    <w:p w14:paraId="27590294" w14:textId="297F70DC" w:rsidR="00A954FC" w:rsidRDefault="000615A7" w:rsidP="000615A7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 w:rsidRPr="000615A7">
        <w:rPr>
          <w:rFonts w:asciiTheme="majorHAnsi" w:hAnsiTheme="majorHAnsi" w:cstheme="majorHAnsi"/>
          <w:sz w:val="22"/>
          <w:szCs w:val="22"/>
          <w:lang w:val="es-CL"/>
        </w:rPr>
        <w:t xml:space="preserve">En la actividad, la SCJ informó </w:t>
      </w:r>
      <w:r w:rsidR="00297B99">
        <w:rPr>
          <w:rFonts w:asciiTheme="majorHAnsi" w:hAnsiTheme="majorHAnsi" w:cstheme="majorHAnsi"/>
          <w:sz w:val="22"/>
          <w:szCs w:val="22"/>
          <w:lang w:val="es-CL"/>
        </w:rPr>
        <w:t xml:space="preserve">sobre las actividades realizadas en torno a la Estrategia Nacional de Juego Responsable, </w:t>
      </w:r>
      <w:r w:rsidR="002662A3">
        <w:rPr>
          <w:rFonts w:asciiTheme="majorHAnsi" w:hAnsiTheme="majorHAnsi" w:cstheme="majorHAnsi"/>
          <w:sz w:val="22"/>
          <w:szCs w:val="22"/>
          <w:lang w:val="es-CL"/>
        </w:rPr>
        <w:t xml:space="preserve">entre las que </w:t>
      </w:r>
      <w:r w:rsidR="00F12501">
        <w:rPr>
          <w:rFonts w:asciiTheme="majorHAnsi" w:hAnsiTheme="majorHAnsi" w:cstheme="majorHAnsi"/>
          <w:sz w:val="22"/>
          <w:szCs w:val="22"/>
          <w:lang w:val="es-CL"/>
        </w:rPr>
        <w:t>se encuentra</w:t>
      </w:r>
      <w:r w:rsidR="00297B99">
        <w:rPr>
          <w:rFonts w:asciiTheme="majorHAnsi" w:hAnsiTheme="majorHAnsi" w:cstheme="majorHAnsi"/>
          <w:sz w:val="22"/>
          <w:szCs w:val="22"/>
          <w:lang w:val="es-CL"/>
        </w:rPr>
        <w:t xml:space="preserve"> el trabajo que se está desarrollando con el Ministerio de Educación, el sondeo “Aproximaciones al comportamiento ludopático en jóvenes” junto con INJUV, entre otras iniciativas. </w:t>
      </w:r>
    </w:p>
    <w:p w14:paraId="408F9E3B" w14:textId="77777777" w:rsidR="00297B99" w:rsidRDefault="00297B99" w:rsidP="000615A7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7BA99DB0" w14:textId="08F2CFE0" w:rsidR="00F12501" w:rsidRDefault="006750AB" w:rsidP="000615A7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>
        <w:rPr>
          <w:rFonts w:asciiTheme="majorHAnsi" w:hAnsiTheme="majorHAnsi" w:cstheme="majorHAnsi"/>
          <w:sz w:val="22"/>
          <w:szCs w:val="22"/>
          <w:lang w:val="es-CL"/>
        </w:rPr>
        <w:t xml:space="preserve">Esta estrategia tiene como objetivo principal promover una cultura de entretención y </w:t>
      </w:r>
      <w:r w:rsidR="00250B99">
        <w:rPr>
          <w:rFonts w:asciiTheme="majorHAnsi" w:hAnsiTheme="majorHAnsi" w:cstheme="majorHAnsi"/>
          <w:sz w:val="22"/>
          <w:szCs w:val="22"/>
          <w:lang w:val="es-CL"/>
        </w:rPr>
        <w:t>cuidado</w:t>
      </w:r>
      <w:r>
        <w:rPr>
          <w:rFonts w:asciiTheme="majorHAnsi" w:hAnsiTheme="majorHAnsi" w:cstheme="majorHAnsi"/>
          <w:sz w:val="22"/>
          <w:szCs w:val="22"/>
          <w:lang w:val="es-CL"/>
        </w:rPr>
        <w:t xml:space="preserve"> de las personas en torno a los juegos de azar, a través de acciones de prevención del juego problemático en coordinación con los distintos actores públicos y privados que se relacionan con estas materias. </w:t>
      </w:r>
    </w:p>
    <w:p w14:paraId="026E07D0" w14:textId="77777777" w:rsidR="006750AB" w:rsidRDefault="006750AB" w:rsidP="000615A7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02B665F7" w14:textId="77777777" w:rsidR="001B3CED" w:rsidRDefault="001B3CED" w:rsidP="000615A7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0059DED9" w14:textId="77777777" w:rsidR="001B3CED" w:rsidRDefault="001B3CED" w:rsidP="000615A7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</w:p>
    <w:p w14:paraId="5B6A1F00" w14:textId="54C5B8DA" w:rsidR="006750AB" w:rsidRDefault="006750AB" w:rsidP="000615A7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6750AB">
        <w:rPr>
          <w:rFonts w:asciiTheme="majorHAnsi" w:hAnsiTheme="majorHAnsi" w:cstheme="majorHAnsi"/>
          <w:b/>
          <w:sz w:val="22"/>
          <w:szCs w:val="22"/>
        </w:rPr>
        <w:lastRenderedPageBreak/>
        <w:t>JUEGO ILEGAL</w:t>
      </w:r>
    </w:p>
    <w:p w14:paraId="52188E26" w14:textId="2F4F1606" w:rsidR="000615A7" w:rsidRPr="006750AB" w:rsidRDefault="00F12501" w:rsidP="000615A7">
      <w:pPr>
        <w:jc w:val="both"/>
        <w:rPr>
          <w:rFonts w:asciiTheme="majorHAnsi" w:hAnsiTheme="majorHAnsi" w:cstheme="majorHAnsi"/>
          <w:sz w:val="22"/>
          <w:szCs w:val="22"/>
          <w:lang w:val="es-CL"/>
        </w:rPr>
      </w:pPr>
      <w:r>
        <w:rPr>
          <w:rFonts w:asciiTheme="majorHAnsi" w:hAnsiTheme="majorHAnsi" w:cstheme="majorHAnsi"/>
          <w:sz w:val="22"/>
          <w:szCs w:val="22"/>
          <w:lang w:val="es-CL"/>
        </w:rPr>
        <w:t>En materias de Juego ilegal la Superintendencia</w:t>
      </w:r>
      <w:r w:rsidR="00014D2D">
        <w:rPr>
          <w:rFonts w:asciiTheme="majorHAnsi" w:hAnsiTheme="majorHAnsi" w:cstheme="majorHAnsi"/>
          <w:sz w:val="22"/>
          <w:szCs w:val="22"/>
          <w:lang w:val="es-CL"/>
        </w:rPr>
        <w:t xml:space="preserve"> destacó el </w:t>
      </w:r>
      <w:r w:rsidR="006750AB">
        <w:rPr>
          <w:rFonts w:asciiTheme="majorHAnsi" w:hAnsiTheme="majorHAnsi" w:cstheme="majorHAnsi"/>
          <w:sz w:val="22"/>
          <w:szCs w:val="22"/>
          <w:lang w:val="es-CL"/>
        </w:rPr>
        <w:t xml:space="preserve">trabajo colaborativo que se está realizando con el Ministerio Público con respecto a la explotación del juego ilegal.  Así como las capacitaciones que se han efectuado a municipios, policías y PDI con respecto a </w:t>
      </w:r>
      <w:r>
        <w:rPr>
          <w:rFonts w:asciiTheme="majorHAnsi" w:hAnsiTheme="majorHAnsi" w:cstheme="majorHAnsi"/>
          <w:sz w:val="22"/>
          <w:szCs w:val="22"/>
          <w:lang w:val="es-CL"/>
        </w:rPr>
        <w:t>la prohibición de la explotación comercial de máquinas de juegos de azar fuera de los casinos legale</w:t>
      </w:r>
      <w:r w:rsidR="006750AB">
        <w:rPr>
          <w:rFonts w:asciiTheme="majorHAnsi" w:hAnsiTheme="majorHAnsi" w:cstheme="majorHAnsi"/>
          <w:sz w:val="22"/>
          <w:szCs w:val="22"/>
          <w:lang w:val="es-CL"/>
        </w:rPr>
        <w:t>s.</w:t>
      </w:r>
      <w:r>
        <w:rPr>
          <w:rFonts w:asciiTheme="majorHAnsi" w:hAnsiTheme="majorHAnsi" w:cstheme="majorHAnsi"/>
          <w:sz w:val="22"/>
          <w:szCs w:val="22"/>
          <w:lang w:val="es-CL"/>
        </w:rPr>
        <w:t xml:space="preserve"> </w:t>
      </w:r>
    </w:p>
    <w:p w14:paraId="01F2DC0E" w14:textId="1C32081A" w:rsidR="00A1555F" w:rsidRDefault="00A1555F" w:rsidP="000615A7">
      <w:pPr>
        <w:jc w:val="both"/>
        <w:rPr>
          <w:sz w:val="21"/>
          <w:szCs w:val="21"/>
        </w:rPr>
      </w:pPr>
    </w:p>
    <w:p w14:paraId="6AF40238" w14:textId="45C51346" w:rsidR="006750AB" w:rsidRDefault="006750AB" w:rsidP="000615A7">
      <w:pPr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JUEGO EN LÍNEA</w:t>
      </w:r>
    </w:p>
    <w:p w14:paraId="5DCD2890" w14:textId="0DDAB544" w:rsidR="006750AB" w:rsidRPr="006750AB" w:rsidRDefault="006750AB" w:rsidP="000615A7">
      <w:pPr>
        <w:jc w:val="both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En la instancia se informó sobre el trabajo de preparación que está llevando la institución con respecto a la pronta publicación de la ley que regula las plataformas que desarrollan juegos en línea, la cual le otorgará nuevas atribuciones de fiscalización y regulación. </w:t>
      </w:r>
    </w:p>
    <w:p w14:paraId="3B41D905" w14:textId="77777777" w:rsidR="006750AB" w:rsidRDefault="006750AB" w:rsidP="000615A7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F5E3F9D" w14:textId="77777777" w:rsidR="00A1555F" w:rsidRPr="0076352B" w:rsidRDefault="00A1555F" w:rsidP="006C3A16">
      <w:pPr>
        <w:ind w:right="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A1555F" w:rsidRPr="0076352B" w:rsidSect="00FE532E">
      <w:headerReference w:type="default" r:id="rId8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41A68" w14:textId="77777777" w:rsidR="008E0AF1" w:rsidRDefault="008E0AF1" w:rsidP="00B15F33">
      <w:r>
        <w:separator/>
      </w:r>
    </w:p>
  </w:endnote>
  <w:endnote w:type="continuationSeparator" w:id="0">
    <w:p w14:paraId="7ED8AC00" w14:textId="77777777" w:rsidR="008E0AF1" w:rsidRDefault="008E0AF1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17AC0" w14:textId="77777777" w:rsidR="008E0AF1" w:rsidRDefault="008E0AF1" w:rsidP="00B15F33">
      <w:r>
        <w:separator/>
      </w:r>
    </w:p>
  </w:footnote>
  <w:footnote w:type="continuationSeparator" w:id="0">
    <w:p w14:paraId="379307B1" w14:textId="77777777" w:rsidR="008E0AF1" w:rsidRDefault="008E0AF1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CACC7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159F058C" wp14:editId="10A49B83">
          <wp:extent cx="2489200" cy="673100"/>
          <wp:effectExtent l="0" t="0" r="0" b="12700"/>
          <wp:docPr id="1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F1354C"/>
    <w:multiLevelType w:val="hybridMultilevel"/>
    <w:tmpl w:val="A4109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491564">
    <w:abstractNumId w:val="8"/>
  </w:num>
  <w:num w:numId="2" w16cid:durableId="1766077168">
    <w:abstractNumId w:val="6"/>
  </w:num>
  <w:num w:numId="3" w16cid:durableId="1327245642">
    <w:abstractNumId w:val="4"/>
  </w:num>
  <w:num w:numId="4" w16cid:durableId="1652254516">
    <w:abstractNumId w:val="10"/>
  </w:num>
  <w:num w:numId="5" w16cid:durableId="930237440">
    <w:abstractNumId w:val="7"/>
  </w:num>
  <w:num w:numId="6" w16cid:durableId="398018739">
    <w:abstractNumId w:val="1"/>
  </w:num>
  <w:num w:numId="7" w16cid:durableId="35155600">
    <w:abstractNumId w:val="0"/>
  </w:num>
  <w:num w:numId="8" w16cid:durableId="1456948736">
    <w:abstractNumId w:val="9"/>
  </w:num>
  <w:num w:numId="9" w16cid:durableId="2084452029">
    <w:abstractNumId w:val="2"/>
  </w:num>
  <w:num w:numId="10" w16cid:durableId="1814328913">
    <w:abstractNumId w:val="3"/>
  </w:num>
  <w:num w:numId="11" w16cid:durableId="15844098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B06"/>
    <w:rsid w:val="00014D2D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19ED"/>
    <w:rsid w:val="000601C6"/>
    <w:rsid w:val="000615A7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40D4"/>
    <w:rsid w:val="0009533D"/>
    <w:rsid w:val="000973A9"/>
    <w:rsid w:val="000A075D"/>
    <w:rsid w:val="000A309C"/>
    <w:rsid w:val="000A3743"/>
    <w:rsid w:val="000A741C"/>
    <w:rsid w:val="000B0CBE"/>
    <w:rsid w:val="000B7BF0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E94"/>
    <w:rsid w:val="000F0BE5"/>
    <w:rsid w:val="000F3CA4"/>
    <w:rsid w:val="000F472C"/>
    <w:rsid w:val="000F5601"/>
    <w:rsid w:val="000F5780"/>
    <w:rsid w:val="000F726E"/>
    <w:rsid w:val="0010456A"/>
    <w:rsid w:val="00107E9D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AF9"/>
    <w:rsid w:val="00151C1B"/>
    <w:rsid w:val="00151FEA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0A3"/>
    <w:rsid w:val="00184ABF"/>
    <w:rsid w:val="00187EB2"/>
    <w:rsid w:val="0019435B"/>
    <w:rsid w:val="00195FA9"/>
    <w:rsid w:val="00196495"/>
    <w:rsid w:val="00196964"/>
    <w:rsid w:val="00197563"/>
    <w:rsid w:val="001A0531"/>
    <w:rsid w:val="001A0A26"/>
    <w:rsid w:val="001A50F2"/>
    <w:rsid w:val="001A7C43"/>
    <w:rsid w:val="001A7D2B"/>
    <w:rsid w:val="001B0D2C"/>
    <w:rsid w:val="001B15F5"/>
    <w:rsid w:val="001B3169"/>
    <w:rsid w:val="001B3CED"/>
    <w:rsid w:val="001B59D0"/>
    <w:rsid w:val="001C09F1"/>
    <w:rsid w:val="001C4530"/>
    <w:rsid w:val="001D09F7"/>
    <w:rsid w:val="001D3141"/>
    <w:rsid w:val="001D56DF"/>
    <w:rsid w:val="001D720C"/>
    <w:rsid w:val="001E0795"/>
    <w:rsid w:val="001E17A0"/>
    <w:rsid w:val="001E28B2"/>
    <w:rsid w:val="001E7024"/>
    <w:rsid w:val="001F100E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4963"/>
    <w:rsid w:val="0023635A"/>
    <w:rsid w:val="002365F3"/>
    <w:rsid w:val="00250560"/>
    <w:rsid w:val="00250B99"/>
    <w:rsid w:val="00251BFE"/>
    <w:rsid w:val="00252A9B"/>
    <w:rsid w:val="00253365"/>
    <w:rsid w:val="00261CDD"/>
    <w:rsid w:val="00262F82"/>
    <w:rsid w:val="002662A3"/>
    <w:rsid w:val="00266FCE"/>
    <w:rsid w:val="00267CA8"/>
    <w:rsid w:val="002700D1"/>
    <w:rsid w:val="00273D26"/>
    <w:rsid w:val="00274BB7"/>
    <w:rsid w:val="0028641D"/>
    <w:rsid w:val="0029288A"/>
    <w:rsid w:val="00294CCD"/>
    <w:rsid w:val="00295D24"/>
    <w:rsid w:val="00297558"/>
    <w:rsid w:val="00297B99"/>
    <w:rsid w:val="002A6032"/>
    <w:rsid w:val="002B3F92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C93"/>
    <w:rsid w:val="00317B44"/>
    <w:rsid w:val="00322B98"/>
    <w:rsid w:val="00322C9E"/>
    <w:rsid w:val="003240D8"/>
    <w:rsid w:val="003261DB"/>
    <w:rsid w:val="003328EF"/>
    <w:rsid w:val="003335EF"/>
    <w:rsid w:val="0033380E"/>
    <w:rsid w:val="0035714B"/>
    <w:rsid w:val="0036086C"/>
    <w:rsid w:val="00365464"/>
    <w:rsid w:val="003665B8"/>
    <w:rsid w:val="00370C26"/>
    <w:rsid w:val="00380094"/>
    <w:rsid w:val="0038167A"/>
    <w:rsid w:val="00381801"/>
    <w:rsid w:val="0038183B"/>
    <w:rsid w:val="00391F10"/>
    <w:rsid w:val="00395FCA"/>
    <w:rsid w:val="003A06AB"/>
    <w:rsid w:val="003A450E"/>
    <w:rsid w:val="003A47D5"/>
    <w:rsid w:val="003A4BD3"/>
    <w:rsid w:val="003A4E01"/>
    <w:rsid w:val="003A6672"/>
    <w:rsid w:val="003A7BA3"/>
    <w:rsid w:val="003B01CB"/>
    <w:rsid w:val="003D1BB1"/>
    <w:rsid w:val="003D53AE"/>
    <w:rsid w:val="003D5DDE"/>
    <w:rsid w:val="003E236C"/>
    <w:rsid w:val="003F0917"/>
    <w:rsid w:val="003F17D8"/>
    <w:rsid w:val="003F3163"/>
    <w:rsid w:val="003F353E"/>
    <w:rsid w:val="003F5B7F"/>
    <w:rsid w:val="003F7AC8"/>
    <w:rsid w:val="00403B1C"/>
    <w:rsid w:val="00412841"/>
    <w:rsid w:val="00417525"/>
    <w:rsid w:val="0042024E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6B2D"/>
    <w:rsid w:val="0047144D"/>
    <w:rsid w:val="00472FCD"/>
    <w:rsid w:val="004748D5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616F"/>
    <w:rsid w:val="004B6465"/>
    <w:rsid w:val="004B7411"/>
    <w:rsid w:val="004B79B1"/>
    <w:rsid w:val="004D1C68"/>
    <w:rsid w:val="004D406D"/>
    <w:rsid w:val="004E04E2"/>
    <w:rsid w:val="004E1B12"/>
    <w:rsid w:val="004E44A4"/>
    <w:rsid w:val="004F1266"/>
    <w:rsid w:val="004F1F83"/>
    <w:rsid w:val="004F2787"/>
    <w:rsid w:val="004F51D3"/>
    <w:rsid w:val="005015A7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66478"/>
    <w:rsid w:val="005711FA"/>
    <w:rsid w:val="005715BB"/>
    <w:rsid w:val="005725EB"/>
    <w:rsid w:val="00572DF2"/>
    <w:rsid w:val="0057495F"/>
    <w:rsid w:val="00583F8C"/>
    <w:rsid w:val="00585AC3"/>
    <w:rsid w:val="005915E3"/>
    <w:rsid w:val="00591D2F"/>
    <w:rsid w:val="0059367B"/>
    <w:rsid w:val="00593FE5"/>
    <w:rsid w:val="00597F7C"/>
    <w:rsid w:val="005A01DC"/>
    <w:rsid w:val="005B02CE"/>
    <w:rsid w:val="005B3F00"/>
    <w:rsid w:val="005B41A9"/>
    <w:rsid w:val="005B6A3F"/>
    <w:rsid w:val="005B7F84"/>
    <w:rsid w:val="005C3D80"/>
    <w:rsid w:val="005C4D21"/>
    <w:rsid w:val="005C5FDA"/>
    <w:rsid w:val="005C7EEA"/>
    <w:rsid w:val="005D4E66"/>
    <w:rsid w:val="005D63FE"/>
    <w:rsid w:val="005D7750"/>
    <w:rsid w:val="005E147C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673B"/>
    <w:rsid w:val="00606F73"/>
    <w:rsid w:val="00611B7F"/>
    <w:rsid w:val="0061233D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3984"/>
    <w:rsid w:val="00634469"/>
    <w:rsid w:val="00636735"/>
    <w:rsid w:val="006472E0"/>
    <w:rsid w:val="006475EC"/>
    <w:rsid w:val="00650F26"/>
    <w:rsid w:val="00651206"/>
    <w:rsid w:val="0065241B"/>
    <w:rsid w:val="00652EE4"/>
    <w:rsid w:val="00653A2F"/>
    <w:rsid w:val="00655277"/>
    <w:rsid w:val="00656A4B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37E"/>
    <w:rsid w:val="00671C60"/>
    <w:rsid w:val="00672C19"/>
    <w:rsid w:val="006750AB"/>
    <w:rsid w:val="006812EE"/>
    <w:rsid w:val="00681FAD"/>
    <w:rsid w:val="006841FD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1899"/>
    <w:rsid w:val="007333FF"/>
    <w:rsid w:val="007336AA"/>
    <w:rsid w:val="00733D71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52B"/>
    <w:rsid w:val="007637DC"/>
    <w:rsid w:val="00764873"/>
    <w:rsid w:val="00767E87"/>
    <w:rsid w:val="00771220"/>
    <w:rsid w:val="007717C2"/>
    <w:rsid w:val="007730C0"/>
    <w:rsid w:val="00775477"/>
    <w:rsid w:val="00775BC3"/>
    <w:rsid w:val="00775DCB"/>
    <w:rsid w:val="007817F7"/>
    <w:rsid w:val="00786043"/>
    <w:rsid w:val="00790322"/>
    <w:rsid w:val="00790DF5"/>
    <w:rsid w:val="00791FC8"/>
    <w:rsid w:val="0079275F"/>
    <w:rsid w:val="00795606"/>
    <w:rsid w:val="007A132A"/>
    <w:rsid w:val="007A3342"/>
    <w:rsid w:val="007A5199"/>
    <w:rsid w:val="007B4216"/>
    <w:rsid w:val="007B4801"/>
    <w:rsid w:val="007B54F4"/>
    <w:rsid w:val="007B7D5F"/>
    <w:rsid w:val="007C01C3"/>
    <w:rsid w:val="007C5471"/>
    <w:rsid w:val="007D0898"/>
    <w:rsid w:val="007D7E7B"/>
    <w:rsid w:val="007E0A10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717E"/>
    <w:rsid w:val="00807FEA"/>
    <w:rsid w:val="00814FC9"/>
    <w:rsid w:val="0081611E"/>
    <w:rsid w:val="00817648"/>
    <w:rsid w:val="00817BB3"/>
    <w:rsid w:val="00823186"/>
    <w:rsid w:val="00830ABE"/>
    <w:rsid w:val="00830B4C"/>
    <w:rsid w:val="00831235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24DC"/>
    <w:rsid w:val="00866A83"/>
    <w:rsid w:val="00867861"/>
    <w:rsid w:val="008771B8"/>
    <w:rsid w:val="0088259B"/>
    <w:rsid w:val="0089082D"/>
    <w:rsid w:val="0089218B"/>
    <w:rsid w:val="0089404A"/>
    <w:rsid w:val="008A2CA8"/>
    <w:rsid w:val="008A7152"/>
    <w:rsid w:val="008B0AE0"/>
    <w:rsid w:val="008B17EB"/>
    <w:rsid w:val="008B2438"/>
    <w:rsid w:val="008C191D"/>
    <w:rsid w:val="008C1C9A"/>
    <w:rsid w:val="008C3BC7"/>
    <w:rsid w:val="008D4433"/>
    <w:rsid w:val="008D56CB"/>
    <w:rsid w:val="008D7D78"/>
    <w:rsid w:val="008E0AF1"/>
    <w:rsid w:val="008E0E61"/>
    <w:rsid w:val="008E29F8"/>
    <w:rsid w:val="008E505F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0986"/>
    <w:rsid w:val="009648A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692E"/>
    <w:rsid w:val="009A0D87"/>
    <w:rsid w:val="009A1949"/>
    <w:rsid w:val="009A1C9B"/>
    <w:rsid w:val="009A3A4D"/>
    <w:rsid w:val="009A780F"/>
    <w:rsid w:val="009B1539"/>
    <w:rsid w:val="009B4FEF"/>
    <w:rsid w:val="009B562A"/>
    <w:rsid w:val="009B6684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5418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555F"/>
    <w:rsid w:val="00A17523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3A7A"/>
    <w:rsid w:val="00A64E9D"/>
    <w:rsid w:val="00A64EAD"/>
    <w:rsid w:val="00A737A8"/>
    <w:rsid w:val="00A74C26"/>
    <w:rsid w:val="00A763F2"/>
    <w:rsid w:val="00A765E2"/>
    <w:rsid w:val="00A822EF"/>
    <w:rsid w:val="00A829B9"/>
    <w:rsid w:val="00A85344"/>
    <w:rsid w:val="00A85D11"/>
    <w:rsid w:val="00A9318F"/>
    <w:rsid w:val="00A93853"/>
    <w:rsid w:val="00A954FC"/>
    <w:rsid w:val="00A95C6E"/>
    <w:rsid w:val="00A96678"/>
    <w:rsid w:val="00AA1549"/>
    <w:rsid w:val="00AA1A9E"/>
    <w:rsid w:val="00AA4144"/>
    <w:rsid w:val="00AA5C4F"/>
    <w:rsid w:val="00AA6688"/>
    <w:rsid w:val="00AB3FBE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009F"/>
    <w:rsid w:val="00B517D7"/>
    <w:rsid w:val="00B52207"/>
    <w:rsid w:val="00B54C59"/>
    <w:rsid w:val="00B55B9D"/>
    <w:rsid w:val="00B6336B"/>
    <w:rsid w:val="00B641F0"/>
    <w:rsid w:val="00B745B9"/>
    <w:rsid w:val="00B8128E"/>
    <w:rsid w:val="00B84EBD"/>
    <w:rsid w:val="00B91395"/>
    <w:rsid w:val="00BA353B"/>
    <w:rsid w:val="00BB04DE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3314A"/>
    <w:rsid w:val="00C335CB"/>
    <w:rsid w:val="00C3623E"/>
    <w:rsid w:val="00C43BC1"/>
    <w:rsid w:val="00C450BE"/>
    <w:rsid w:val="00C50A2C"/>
    <w:rsid w:val="00C50EF2"/>
    <w:rsid w:val="00C50FEC"/>
    <w:rsid w:val="00C5316A"/>
    <w:rsid w:val="00C54DFE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3E25"/>
    <w:rsid w:val="00CE6982"/>
    <w:rsid w:val="00CF14E5"/>
    <w:rsid w:val="00CF4BD2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7FE6"/>
    <w:rsid w:val="00D27FFD"/>
    <w:rsid w:val="00D30AD4"/>
    <w:rsid w:val="00D3289E"/>
    <w:rsid w:val="00D343A6"/>
    <w:rsid w:val="00D36004"/>
    <w:rsid w:val="00D4056F"/>
    <w:rsid w:val="00D5491F"/>
    <w:rsid w:val="00D55CDB"/>
    <w:rsid w:val="00D610AB"/>
    <w:rsid w:val="00D61D44"/>
    <w:rsid w:val="00D62446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C0A32"/>
    <w:rsid w:val="00DD4455"/>
    <w:rsid w:val="00DD5E75"/>
    <w:rsid w:val="00DD5FC2"/>
    <w:rsid w:val="00DD60E0"/>
    <w:rsid w:val="00DE5398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579A"/>
    <w:rsid w:val="00E31B51"/>
    <w:rsid w:val="00E32FBD"/>
    <w:rsid w:val="00E33C85"/>
    <w:rsid w:val="00E415A9"/>
    <w:rsid w:val="00E44AE0"/>
    <w:rsid w:val="00E44C34"/>
    <w:rsid w:val="00E5169E"/>
    <w:rsid w:val="00E607AA"/>
    <w:rsid w:val="00E62403"/>
    <w:rsid w:val="00E65C5C"/>
    <w:rsid w:val="00E7392C"/>
    <w:rsid w:val="00E7491D"/>
    <w:rsid w:val="00E74D59"/>
    <w:rsid w:val="00E804DC"/>
    <w:rsid w:val="00E829B3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23FC"/>
    <w:rsid w:val="00EC410E"/>
    <w:rsid w:val="00EC51CF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F0C31"/>
    <w:rsid w:val="00EF276A"/>
    <w:rsid w:val="00EF6251"/>
    <w:rsid w:val="00EF71D5"/>
    <w:rsid w:val="00F013C4"/>
    <w:rsid w:val="00F0188F"/>
    <w:rsid w:val="00F06273"/>
    <w:rsid w:val="00F06348"/>
    <w:rsid w:val="00F0748F"/>
    <w:rsid w:val="00F119AE"/>
    <w:rsid w:val="00F12501"/>
    <w:rsid w:val="00F12EBE"/>
    <w:rsid w:val="00F1478D"/>
    <w:rsid w:val="00F15CDB"/>
    <w:rsid w:val="00F164D9"/>
    <w:rsid w:val="00F228A9"/>
    <w:rsid w:val="00F23158"/>
    <w:rsid w:val="00F23480"/>
    <w:rsid w:val="00F3139D"/>
    <w:rsid w:val="00F32DB1"/>
    <w:rsid w:val="00F34250"/>
    <w:rsid w:val="00F343B5"/>
    <w:rsid w:val="00F34CBA"/>
    <w:rsid w:val="00F44730"/>
    <w:rsid w:val="00F57742"/>
    <w:rsid w:val="00F579D1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A1952"/>
    <w:rsid w:val="00FA388E"/>
    <w:rsid w:val="00FA5A0B"/>
    <w:rsid w:val="00FA6941"/>
    <w:rsid w:val="00FB0587"/>
    <w:rsid w:val="00FB074A"/>
    <w:rsid w:val="00FB4692"/>
    <w:rsid w:val="00FB5986"/>
    <w:rsid w:val="00FC43E3"/>
    <w:rsid w:val="00FC599F"/>
    <w:rsid w:val="00FD2720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DD372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customStyle="1" w:styleId="Mencionar1">
    <w:name w:val="Mencionar1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33D71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67"/>
    <w:rsid w:val="004D406D"/>
    <w:pPr>
      <w:ind w:left="720"/>
      <w:contextualSpacing/>
    </w:pPr>
  </w:style>
  <w:style w:type="paragraph" w:styleId="Revisin">
    <w:name w:val="Revision"/>
    <w:hidden/>
    <w:uiPriority w:val="66"/>
    <w:semiHidden/>
    <w:rsid w:val="00DE5398"/>
    <w:rPr>
      <w:rFonts w:ascii="Times New Roman" w:eastAsia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09A0-BA82-4572-AFC8-622D7AF3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3329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 Toro</cp:lastModifiedBy>
  <cp:revision>2</cp:revision>
  <cp:lastPrinted>2018-04-06T12:55:00Z</cp:lastPrinted>
  <dcterms:created xsi:type="dcterms:W3CDTF">2024-05-10T16:46:00Z</dcterms:created>
  <dcterms:modified xsi:type="dcterms:W3CDTF">2024-05-10T16:46:00Z</dcterms:modified>
</cp:coreProperties>
</file>