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EC26" w14:textId="43901E69" w:rsidR="0027633E" w:rsidRDefault="00B67DE2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A46979">
        <w:rPr>
          <w:sz w:val="28"/>
          <w:szCs w:val="28"/>
        </w:rPr>
        <w:t>1</w:t>
      </w:r>
      <w:r w:rsidR="00784C05">
        <w:rPr>
          <w:sz w:val="28"/>
          <w:szCs w:val="28"/>
        </w:rPr>
        <w:t>6</w:t>
      </w:r>
      <w:r w:rsidR="00A46979">
        <w:rPr>
          <w:sz w:val="28"/>
          <w:szCs w:val="28"/>
        </w:rPr>
        <w:t>.</w:t>
      </w:r>
      <w:r w:rsidR="008620C6">
        <w:rPr>
          <w:sz w:val="28"/>
          <w:szCs w:val="28"/>
        </w:rPr>
        <w:t>037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8620C6">
        <w:rPr>
          <w:sz w:val="28"/>
          <w:szCs w:val="28"/>
        </w:rPr>
        <w:t>juni</w:t>
      </w:r>
      <w:r w:rsidR="00784C05">
        <w:rPr>
          <w:sz w:val="28"/>
          <w:szCs w:val="28"/>
        </w:rPr>
        <w:t>o</w:t>
      </w:r>
      <w:r w:rsidR="00005C35">
        <w:rPr>
          <w:sz w:val="28"/>
          <w:szCs w:val="28"/>
        </w:rPr>
        <w:t xml:space="preserve"> de 2024</w:t>
      </w:r>
      <w:r w:rsidR="00BC3A5E">
        <w:rPr>
          <w:sz w:val="28"/>
          <w:szCs w:val="28"/>
        </w:rPr>
        <w:t>.</w:t>
      </w:r>
    </w:p>
    <w:p w14:paraId="13122C0B" w14:textId="72524095" w:rsidR="0024108D" w:rsidRDefault="0028027D" w:rsidP="0024108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A713D8">
        <w:rPr>
          <w:i/>
          <w:sz w:val="22"/>
        </w:rPr>
        <w:t>La recaudación s</w:t>
      </w:r>
      <w:r w:rsidR="00CF73CD" w:rsidRPr="00A713D8">
        <w:rPr>
          <w:i/>
          <w:sz w:val="22"/>
        </w:rPr>
        <w:t>e</w:t>
      </w:r>
      <w:r w:rsidR="001914DF" w:rsidRPr="00A713D8">
        <w:rPr>
          <w:i/>
          <w:sz w:val="22"/>
        </w:rPr>
        <w:t xml:space="preserve"> distribuye en $</w:t>
      </w:r>
      <w:r w:rsidR="008620C6">
        <w:rPr>
          <w:i/>
          <w:sz w:val="22"/>
        </w:rPr>
        <w:t>6</w:t>
      </w:r>
      <w:r w:rsidR="00A46979">
        <w:rPr>
          <w:i/>
          <w:sz w:val="22"/>
        </w:rPr>
        <w:t>.</w:t>
      </w:r>
      <w:r w:rsidR="008620C6">
        <w:rPr>
          <w:i/>
          <w:sz w:val="22"/>
        </w:rPr>
        <w:t>954</w:t>
      </w:r>
      <w:r w:rsidR="001914DF" w:rsidRPr="00A713D8">
        <w:rPr>
          <w:i/>
          <w:sz w:val="22"/>
        </w:rPr>
        <w:t xml:space="preserve"> millones pagados por los casinos</w:t>
      </w:r>
      <w:r w:rsidR="00FF7492">
        <w:rPr>
          <w:i/>
          <w:sz w:val="22"/>
        </w:rPr>
        <w:t xml:space="preserve"> </w:t>
      </w:r>
      <w:r w:rsidR="00CF73CD" w:rsidRPr="00A713D8">
        <w:rPr>
          <w:i/>
          <w:sz w:val="22"/>
        </w:rPr>
        <w:t>a las</w:t>
      </w:r>
      <w:r w:rsidR="001914DF" w:rsidRPr="00A713D8">
        <w:rPr>
          <w:i/>
          <w:sz w:val="22"/>
        </w:rPr>
        <w:t xml:space="preserve"> comunas y gobierno regionales en que se ubican</w:t>
      </w:r>
      <w:r w:rsidR="00186B7F" w:rsidRPr="00A713D8">
        <w:rPr>
          <w:i/>
          <w:sz w:val="22"/>
        </w:rPr>
        <w:t>, $</w:t>
      </w:r>
      <w:r w:rsidR="00A46979">
        <w:rPr>
          <w:i/>
          <w:sz w:val="22"/>
        </w:rPr>
        <w:t>6.</w:t>
      </w:r>
      <w:r w:rsidR="008620C6">
        <w:rPr>
          <w:i/>
          <w:sz w:val="22"/>
        </w:rPr>
        <w:t>724</w:t>
      </w:r>
      <w:r w:rsidR="00E86429" w:rsidRPr="00A713D8">
        <w:rPr>
          <w:i/>
          <w:sz w:val="22"/>
        </w:rPr>
        <w:t xml:space="preserve"> </w:t>
      </w:r>
      <w:r w:rsidR="00186B7F" w:rsidRPr="00A713D8">
        <w:rPr>
          <w:i/>
          <w:sz w:val="22"/>
        </w:rPr>
        <w:t>millones en</w:t>
      </w:r>
      <w:r w:rsidRPr="00A713D8">
        <w:rPr>
          <w:i/>
          <w:sz w:val="22"/>
        </w:rPr>
        <w:t xml:space="preserve"> IVA al juego y</w:t>
      </w:r>
      <w:r w:rsidR="001914DF" w:rsidRPr="00A713D8">
        <w:rPr>
          <w:i/>
          <w:sz w:val="22"/>
        </w:rPr>
        <w:t xml:space="preserve"> </w:t>
      </w:r>
      <w:r w:rsidR="003101E4" w:rsidRPr="00A713D8">
        <w:rPr>
          <w:i/>
          <w:sz w:val="22"/>
        </w:rPr>
        <w:t>$2.</w:t>
      </w:r>
      <w:r w:rsidR="008620C6">
        <w:rPr>
          <w:i/>
          <w:sz w:val="22"/>
        </w:rPr>
        <w:t>358</w:t>
      </w:r>
      <w:r w:rsidR="001914DF" w:rsidRPr="00A713D8">
        <w:rPr>
          <w:i/>
          <w:sz w:val="22"/>
        </w:rPr>
        <w:t xml:space="preserve"> millones en </w:t>
      </w:r>
      <w:r w:rsidRPr="00A713D8">
        <w:rPr>
          <w:i/>
          <w:sz w:val="22"/>
        </w:rPr>
        <w:t>impuesto a las entradas.</w:t>
      </w:r>
    </w:p>
    <w:p w14:paraId="39B5FAA9" w14:textId="526682A7" w:rsidR="00496A03" w:rsidRPr="00A713D8" w:rsidRDefault="00BA2C18" w:rsidP="00A713D8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bookmarkStart w:id="0" w:name="_Hlk148046808"/>
      <w:r>
        <w:rPr>
          <w:i/>
          <w:sz w:val="22"/>
        </w:rPr>
        <w:t>L</w:t>
      </w:r>
      <w:r w:rsidR="0024108D" w:rsidRPr="00C71BE6">
        <w:rPr>
          <w:i/>
          <w:sz w:val="22"/>
        </w:rPr>
        <w:t xml:space="preserve">os </w:t>
      </w:r>
      <w:r w:rsidR="0024108D">
        <w:rPr>
          <w:i/>
          <w:sz w:val="22"/>
        </w:rPr>
        <w:t>25 casinos de juego que operan en el país registraron ingresos brutos del juego (win) por $</w:t>
      </w:r>
      <w:r w:rsidR="00005C35">
        <w:rPr>
          <w:i/>
          <w:sz w:val="22"/>
        </w:rPr>
        <w:t>4</w:t>
      </w:r>
      <w:r w:rsidR="008620C6">
        <w:rPr>
          <w:i/>
          <w:sz w:val="22"/>
        </w:rPr>
        <w:t>5</w:t>
      </w:r>
      <w:r w:rsidR="0024108D">
        <w:rPr>
          <w:i/>
          <w:sz w:val="22"/>
        </w:rPr>
        <w:t>.</w:t>
      </w:r>
      <w:r w:rsidR="008620C6">
        <w:rPr>
          <w:i/>
          <w:sz w:val="22"/>
        </w:rPr>
        <w:t>319</w:t>
      </w:r>
      <w:r w:rsidR="0024108D">
        <w:rPr>
          <w:i/>
          <w:sz w:val="22"/>
        </w:rPr>
        <w:t xml:space="preserve"> </w:t>
      </w:r>
      <w:r w:rsidR="00491BDE">
        <w:rPr>
          <w:i/>
          <w:sz w:val="22"/>
        </w:rPr>
        <w:t xml:space="preserve">millones </w:t>
      </w:r>
      <w:r w:rsidR="000A0B15">
        <w:rPr>
          <w:i/>
          <w:sz w:val="22"/>
        </w:rPr>
        <w:t xml:space="preserve">en </w:t>
      </w:r>
      <w:r w:rsidR="008620C6">
        <w:rPr>
          <w:i/>
          <w:sz w:val="22"/>
        </w:rPr>
        <w:t>juni</w:t>
      </w:r>
      <w:r w:rsidR="00784C05">
        <w:rPr>
          <w:i/>
          <w:sz w:val="22"/>
        </w:rPr>
        <w:t>o</w:t>
      </w:r>
      <w:r w:rsidR="00005C35">
        <w:rPr>
          <w:i/>
          <w:sz w:val="22"/>
        </w:rPr>
        <w:t xml:space="preserve"> de 2024</w:t>
      </w:r>
      <w:r w:rsidR="0024108D">
        <w:rPr>
          <w:i/>
          <w:sz w:val="22"/>
        </w:rPr>
        <w:t xml:space="preserve">, los que, en términos reales, fueron un </w:t>
      </w:r>
      <w:r w:rsidR="008620C6">
        <w:rPr>
          <w:i/>
          <w:sz w:val="22"/>
        </w:rPr>
        <w:t>7</w:t>
      </w:r>
      <w:r w:rsidR="00784C05">
        <w:rPr>
          <w:i/>
          <w:sz w:val="22"/>
        </w:rPr>
        <w:t>,1</w:t>
      </w:r>
      <w:r w:rsidR="0024108D">
        <w:rPr>
          <w:i/>
          <w:sz w:val="22"/>
        </w:rPr>
        <w:t xml:space="preserve">% </w:t>
      </w:r>
      <w:r w:rsidR="00A46979">
        <w:rPr>
          <w:i/>
          <w:sz w:val="22"/>
        </w:rPr>
        <w:t>men</w:t>
      </w:r>
      <w:r>
        <w:rPr>
          <w:i/>
          <w:sz w:val="22"/>
        </w:rPr>
        <w:t>ore</w:t>
      </w:r>
      <w:r w:rsidR="0024108D">
        <w:rPr>
          <w:i/>
          <w:sz w:val="22"/>
        </w:rPr>
        <w:t xml:space="preserve">s a los obtenidos en </w:t>
      </w:r>
      <w:r w:rsidR="008620C6">
        <w:rPr>
          <w:i/>
          <w:sz w:val="22"/>
        </w:rPr>
        <w:t>juni</w:t>
      </w:r>
      <w:r w:rsidR="00784C05">
        <w:rPr>
          <w:i/>
          <w:sz w:val="22"/>
        </w:rPr>
        <w:t>o</w:t>
      </w:r>
      <w:r w:rsidR="0024108D">
        <w:rPr>
          <w:i/>
          <w:sz w:val="22"/>
        </w:rPr>
        <w:t xml:space="preserve"> de 202</w:t>
      </w:r>
      <w:r w:rsidR="00005C35">
        <w:rPr>
          <w:i/>
          <w:sz w:val="22"/>
        </w:rPr>
        <w:t>3</w:t>
      </w:r>
      <w:r w:rsidR="0024108D">
        <w:rPr>
          <w:i/>
          <w:sz w:val="22"/>
        </w:rPr>
        <w:t>.</w:t>
      </w:r>
      <w:bookmarkEnd w:id="0"/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01D8CE70" w:rsidR="00C04A81" w:rsidRDefault="00BB5CEA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 </w:t>
      </w:r>
      <w:r w:rsidR="008620C6">
        <w:rPr>
          <w:rFonts w:cstheme="minorHAnsi"/>
        </w:rPr>
        <w:t>juni</w:t>
      </w:r>
      <w:r w:rsidR="00784C05">
        <w:rPr>
          <w:rFonts w:cstheme="minorHAnsi"/>
        </w:rPr>
        <w:t>o</w:t>
      </w:r>
      <w:r>
        <w:rPr>
          <w:rFonts w:cstheme="minorHAnsi"/>
        </w:rPr>
        <w:t xml:space="preserve"> de </w:t>
      </w:r>
      <w:r w:rsidR="00A713D8">
        <w:rPr>
          <w:rFonts w:cstheme="minorHAnsi"/>
        </w:rPr>
        <w:t>2024, los</w:t>
      </w:r>
      <w:r w:rsidR="00FF7492">
        <w:rPr>
          <w:rFonts w:cstheme="minorHAnsi"/>
        </w:rPr>
        <w:t xml:space="preserve"> </w:t>
      </w:r>
      <w:r w:rsidR="00CC2C3C">
        <w:rPr>
          <w:rFonts w:cstheme="minorHAnsi"/>
        </w:rPr>
        <w:t xml:space="preserve">22 casinos </w:t>
      </w:r>
      <w:r w:rsidR="00383465">
        <w:rPr>
          <w:rFonts w:cstheme="minorHAnsi"/>
        </w:rPr>
        <w:t xml:space="preserve">autorizados por la ley </w:t>
      </w:r>
      <w:r w:rsidR="00CC2C3C">
        <w:rPr>
          <w:rFonts w:cstheme="minorHAnsi"/>
        </w:rPr>
        <w:t>19.995</w:t>
      </w:r>
      <w:r w:rsidR="00C04A81">
        <w:rPr>
          <w:rStyle w:val="Refdenotaalpie"/>
          <w:rFonts w:cstheme="minorHAnsi"/>
        </w:rPr>
        <w:footnoteReference w:id="2"/>
      </w:r>
      <w:r w:rsidR="00CC2C3C">
        <w:rPr>
          <w:rFonts w:cstheme="minorHAnsi"/>
        </w:rPr>
        <w:t xml:space="preserve"> a</w:t>
      </w:r>
      <w:r w:rsidR="00CC2C3C" w:rsidRPr="009C3A3E">
        <w:rPr>
          <w:rFonts w:cstheme="minorHAnsi"/>
        </w:rPr>
        <w:t xml:space="preserve">portaron un total de </w:t>
      </w:r>
      <w:r w:rsidR="00CC2C3C" w:rsidRPr="00A713D8">
        <w:rPr>
          <w:rFonts w:cstheme="minorHAnsi"/>
          <w:b/>
          <w:bCs/>
        </w:rPr>
        <w:t>$1</w:t>
      </w:r>
      <w:r w:rsidR="00784C05">
        <w:rPr>
          <w:rFonts w:cstheme="minorHAnsi"/>
          <w:b/>
          <w:bCs/>
        </w:rPr>
        <w:t>6</w:t>
      </w:r>
      <w:r w:rsidR="00CC2C3C" w:rsidRPr="00A713D8">
        <w:rPr>
          <w:rFonts w:cstheme="minorHAnsi"/>
          <w:b/>
          <w:bCs/>
        </w:rPr>
        <w:t>.</w:t>
      </w:r>
      <w:r w:rsidR="008620C6">
        <w:rPr>
          <w:rFonts w:cstheme="minorHAnsi"/>
          <w:b/>
          <w:bCs/>
        </w:rPr>
        <w:t>037</w:t>
      </w:r>
      <w:r w:rsidR="00BA2C18" w:rsidRPr="00A713D8">
        <w:rPr>
          <w:rFonts w:cstheme="minorHAnsi"/>
          <w:b/>
          <w:bCs/>
        </w:rPr>
        <w:t xml:space="preserve"> </w:t>
      </w:r>
      <w:r w:rsidR="00CC2C3C" w:rsidRPr="00A713D8">
        <w:rPr>
          <w:rFonts w:cstheme="minorHAnsi"/>
          <w:b/>
          <w:bCs/>
        </w:rPr>
        <w:t>millones en impuestos</w:t>
      </w:r>
      <w:r w:rsidR="00CC2C3C">
        <w:rPr>
          <w:rFonts w:cstheme="minorHAnsi"/>
        </w:rPr>
        <w:t xml:space="preserve">, </w:t>
      </w:r>
      <w:r w:rsidR="00995972">
        <w:rPr>
          <w:rFonts w:cstheme="minorHAnsi"/>
        </w:rPr>
        <w:t xml:space="preserve">lo que representa </w:t>
      </w:r>
      <w:r w:rsidR="00784C05">
        <w:rPr>
          <w:rFonts w:cstheme="minorHAnsi"/>
        </w:rPr>
        <w:t>un</w:t>
      </w:r>
      <w:r w:rsidR="008620C6">
        <w:rPr>
          <w:rFonts w:cstheme="minorHAnsi"/>
        </w:rPr>
        <w:t>a</w:t>
      </w:r>
      <w:r w:rsidR="00784C05">
        <w:rPr>
          <w:rFonts w:cstheme="minorHAnsi"/>
        </w:rPr>
        <w:t xml:space="preserve"> </w:t>
      </w:r>
      <w:r w:rsidR="008620C6">
        <w:rPr>
          <w:rFonts w:cstheme="minorHAnsi"/>
        </w:rPr>
        <w:t>disminución</w:t>
      </w:r>
      <w:r w:rsidR="00995972">
        <w:rPr>
          <w:rFonts w:cstheme="minorHAnsi"/>
        </w:rPr>
        <w:t xml:space="preserve"> del</w:t>
      </w:r>
      <w:r w:rsidR="00CC2C3C">
        <w:rPr>
          <w:rFonts w:cstheme="minorHAnsi"/>
        </w:rPr>
        <w:t xml:space="preserve"> </w:t>
      </w:r>
      <w:r w:rsidR="008620C6">
        <w:rPr>
          <w:rFonts w:cstheme="minorHAnsi"/>
          <w:b/>
          <w:bCs/>
        </w:rPr>
        <w:t>6</w:t>
      </w:r>
      <w:r w:rsidR="00A46979">
        <w:rPr>
          <w:rFonts w:cstheme="minorHAnsi"/>
          <w:b/>
          <w:bCs/>
        </w:rPr>
        <w:t>,</w:t>
      </w:r>
      <w:r w:rsidR="008620C6">
        <w:rPr>
          <w:rFonts w:cstheme="minorHAnsi"/>
          <w:b/>
          <w:bCs/>
        </w:rPr>
        <w:t>7</w:t>
      </w:r>
      <w:r w:rsidR="00CC2C3C" w:rsidRPr="00A713D8">
        <w:rPr>
          <w:rFonts w:cstheme="minorHAnsi"/>
          <w:b/>
          <w:bCs/>
        </w:rPr>
        <w:t xml:space="preserve">% </w:t>
      </w:r>
      <w:r w:rsidR="00FF7492">
        <w:rPr>
          <w:rFonts w:cstheme="minorHAnsi"/>
        </w:rPr>
        <w:t xml:space="preserve">respecto de </w:t>
      </w:r>
      <w:r w:rsidR="00CC2C3C">
        <w:rPr>
          <w:rFonts w:cstheme="minorHAnsi"/>
        </w:rPr>
        <w:t xml:space="preserve">los impuestos aportados en </w:t>
      </w:r>
      <w:r w:rsidR="008620C6">
        <w:rPr>
          <w:rFonts w:cstheme="minorHAnsi"/>
        </w:rPr>
        <w:t>junio</w:t>
      </w:r>
      <w:r w:rsidR="00005C35">
        <w:rPr>
          <w:rFonts w:cstheme="minorHAnsi"/>
        </w:rPr>
        <w:t xml:space="preserve"> de</w:t>
      </w:r>
      <w:r w:rsidR="00CE1E51">
        <w:rPr>
          <w:rFonts w:cstheme="minorHAnsi"/>
        </w:rPr>
        <w:t xml:space="preserve"> </w:t>
      </w:r>
      <w:r w:rsidR="00CC2C3C">
        <w:rPr>
          <w:rFonts w:cstheme="minorHAnsi"/>
        </w:rPr>
        <w:t>202</w:t>
      </w:r>
      <w:r w:rsidR="00005C35">
        <w:rPr>
          <w:rFonts w:cstheme="minorHAnsi"/>
        </w:rPr>
        <w:t>3</w:t>
      </w:r>
      <w:r w:rsidR="00CC2C3C">
        <w:rPr>
          <w:rFonts w:cstheme="minorHAnsi"/>
        </w:rPr>
        <w:t xml:space="preserve"> en términos reales</w:t>
      </w:r>
      <w:r w:rsidR="00D40033">
        <w:rPr>
          <w:rFonts w:cstheme="minorHAnsi"/>
        </w:rPr>
        <w:t xml:space="preserve"> (ajustados por inflación)</w:t>
      </w:r>
      <w:r w:rsidR="00CC2C3C">
        <w:rPr>
          <w:rFonts w:cstheme="minorHAnsi"/>
        </w:rPr>
        <w:t>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320DF9D" w14:textId="77777777" w:rsidR="009427C4" w:rsidRDefault="00703015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Esta recaudación se desglosa </w:t>
      </w:r>
      <w:r w:rsidR="00C04A81">
        <w:rPr>
          <w:rFonts w:cstheme="minorHAnsi"/>
        </w:rPr>
        <w:t>en</w:t>
      </w:r>
      <w:r w:rsidR="009F62C2">
        <w:rPr>
          <w:rFonts w:cstheme="minorHAnsi"/>
        </w:rPr>
        <w:t xml:space="preserve">: </w:t>
      </w:r>
    </w:p>
    <w:p w14:paraId="392864A1" w14:textId="5B97BC66" w:rsidR="009427C4" w:rsidRDefault="009F62C2" w:rsidP="00462EDC">
      <w:pPr>
        <w:tabs>
          <w:tab w:val="left" w:pos="0"/>
        </w:tabs>
        <w:spacing w:after="0" w:line="240" w:lineRule="auto"/>
        <w:ind w:left="567"/>
        <w:rPr>
          <w:rFonts w:cstheme="minorHAnsi"/>
        </w:rPr>
      </w:pPr>
      <w:r w:rsidRPr="00462EDC">
        <w:rPr>
          <w:rFonts w:cstheme="minorHAnsi"/>
          <w:b/>
          <w:bCs/>
        </w:rPr>
        <w:t>(i)</w:t>
      </w:r>
      <w:r w:rsidR="00C04A81" w:rsidRPr="00462EDC">
        <w:rPr>
          <w:rFonts w:cstheme="minorHAnsi"/>
          <w:b/>
          <w:bCs/>
        </w:rPr>
        <w:t xml:space="preserve"> </w:t>
      </w:r>
      <w:r w:rsidR="00B32974" w:rsidRPr="00462EDC">
        <w:rPr>
          <w:rFonts w:cstheme="minorHAnsi"/>
          <w:b/>
          <w:bCs/>
        </w:rPr>
        <w:t>Impuesto específico</w:t>
      </w:r>
      <w:r w:rsidR="00B32974">
        <w:rPr>
          <w:rFonts w:cstheme="minorHAnsi"/>
          <w:b/>
          <w:bCs/>
        </w:rPr>
        <w:t xml:space="preserve"> al juego</w:t>
      </w:r>
      <w:r w:rsidR="00B32974" w:rsidRPr="00462EDC">
        <w:rPr>
          <w:rFonts w:cstheme="minorHAnsi"/>
          <w:b/>
          <w:bCs/>
        </w:rPr>
        <w:t>:</w:t>
      </w:r>
      <w:r w:rsidR="00B32974">
        <w:rPr>
          <w:rFonts w:cstheme="minorHAnsi"/>
        </w:rPr>
        <w:t xml:space="preserve"> </w:t>
      </w:r>
      <w:r w:rsidR="00C04A81" w:rsidRPr="00712059">
        <w:rPr>
          <w:rFonts w:cstheme="minorHAnsi"/>
          <w:b/>
          <w:bCs/>
        </w:rPr>
        <w:t>$</w:t>
      </w:r>
      <w:r w:rsidR="008620C6">
        <w:rPr>
          <w:rFonts w:cstheme="minorHAnsi"/>
          <w:b/>
          <w:bCs/>
        </w:rPr>
        <w:t>6</w:t>
      </w:r>
      <w:r w:rsidR="00FF6157" w:rsidRPr="00712059">
        <w:rPr>
          <w:rFonts w:cstheme="minorHAnsi"/>
          <w:b/>
          <w:bCs/>
        </w:rPr>
        <w:t>.</w:t>
      </w:r>
      <w:r w:rsidR="008620C6">
        <w:rPr>
          <w:rFonts w:cstheme="minorHAnsi"/>
          <w:b/>
          <w:bCs/>
        </w:rPr>
        <w:t>954</w:t>
      </w:r>
      <w:r w:rsidR="00C04A81" w:rsidRPr="00712059">
        <w:rPr>
          <w:rFonts w:cstheme="minorHAnsi"/>
          <w:b/>
          <w:bCs/>
        </w:rPr>
        <w:t xml:space="preserve"> millones</w:t>
      </w:r>
      <w:r w:rsidR="00C04A81" w:rsidRPr="009C3A3E">
        <w:rPr>
          <w:rFonts w:cstheme="minorHAnsi"/>
        </w:rPr>
        <w:t xml:space="preserve"> destinado</w:t>
      </w:r>
      <w:r w:rsidR="00C04A81">
        <w:rPr>
          <w:rFonts w:cstheme="minorHAnsi"/>
        </w:rPr>
        <w:t>s</w:t>
      </w:r>
      <w:r w:rsidR="00C04A81" w:rsidRPr="009C3A3E">
        <w:rPr>
          <w:rFonts w:cstheme="minorHAnsi"/>
        </w:rPr>
        <w:t xml:space="preserve"> </w:t>
      </w:r>
      <w:r w:rsidR="00622692">
        <w:rPr>
          <w:rFonts w:cstheme="minorHAnsi"/>
        </w:rPr>
        <w:t xml:space="preserve">en partes iguales </w:t>
      </w:r>
      <w:r w:rsidR="00C04A81" w:rsidRPr="009C3A3E">
        <w:rPr>
          <w:rFonts w:cstheme="minorHAnsi"/>
        </w:rPr>
        <w:t xml:space="preserve">a los </w:t>
      </w:r>
      <w:r w:rsidR="00C04A81">
        <w:rPr>
          <w:rFonts w:cstheme="minorHAnsi"/>
        </w:rPr>
        <w:t>g</w:t>
      </w:r>
      <w:r w:rsidR="00C04A81" w:rsidRPr="009C3A3E">
        <w:rPr>
          <w:rFonts w:cstheme="minorHAnsi"/>
        </w:rPr>
        <w:t xml:space="preserve">obiernos </w:t>
      </w:r>
      <w:r w:rsidR="00C04A81">
        <w:rPr>
          <w:rFonts w:cstheme="minorHAnsi"/>
        </w:rPr>
        <w:t>r</w:t>
      </w:r>
      <w:r w:rsidR="00C04A81" w:rsidRPr="009C3A3E">
        <w:rPr>
          <w:rFonts w:cstheme="minorHAnsi"/>
        </w:rPr>
        <w:t xml:space="preserve">egionales y </w:t>
      </w:r>
      <w:r w:rsidR="00C04A81">
        <w:rPr>
          <w:rFonts w:cstheme="minorHAnsi"/>
        </w:rPr>
        <w:t>m</w:t>
      </w:r>
      <w:r w:rsidR="00C04A81" w:rsidRPr="009C3A3E">
        <w:rPr>
          <w:rFonts w:cstheme="minorHAnsi"/>
        </w:rPr>
        <w:t>unicipalidades para el financiamiento de obras de desarrollo</w:t>
      </w:r>
      <w:r w:rsidR="00D55FC7">
        <w:rPr>
          <w:rFonts w:cstheme="minorHAnsi"/>
        </w:rPr>
        <w:t>;</w:t>
      </w:r>
    </w:p>
    <w:p w14:paraId="2D1E57DA" w14:textId="5BEAE1CD" w:rsidR="009427C4" w:rsidRDefault="00D55FC7" w:rsidP="00462EDC">
      <w:pPr>
        <w:tabs>
          <w:tab w:val="left" w:pos="0"/>
        </w:tabs>
        <w:spacing w:after="0" w:line="240" w:lineRule="auto"/>
        <w:ind w:left="567"/>
        <w:rPr>
          <w:rFonts w:cstheme="minorHAnsi"/>
        </w:rPr>
      </w:pPr>
      <w:r w:rsidRPr="003C6D16">
        <w:rPr>
          <w:rFonts w:cstheme="minorHAnsi"/>
          <w:b/>
          <w:bCs/>
        </w:rPr>
        <w:t>(ii)</w:t>
      </w:r>
      <w:r w:rsidRPr="00712059">
        <w:rPr>
          <w:rFonts w:cstheme="minorHAnsi"/>
          <w:b/>
          <w:bCs/>
        </w:rPr>
        <w:t xml:space="preserve"> </w:t>
      </w:r>
      <w:r w:rsidR="00622692">
        <w:rPr>
          <w:rFonts w:cstheme="minorHAnsi"/>
          <w:b/>
          <w:bCs/>
        </w:rPr>
        <w:t xml:space="preserve">Impuesto </w:t>
      </w:r>
      <w:r w:rsidR="003A39E3">
        <w:rPr>
          <w:rFonts w:cstheme="minorHAnsi"/>
          <w:b/>
          <w:bCs/>
        </w:rPr>
        <w:t>v</w:t>
      </w:r>
      <w:r w:rsidR="00622692">
        <w:rPr>
          <w:rFonts w:cstheme="minorHAnsi"/>
          <w:b/>
          <w:bCs/>
        </w:rPr>
        <w:t xml:space="preserve">alor </w:t>
      </w:r>
      <w:r w:rsidR="003A39E3">
        <w:rPr>
          <w:rFonts w:cstheme="minorHAnsi"/>
          <w:b/>
          <w:bCs/>
        </w:rPr>
        <w:t>a</w:t>
      </w:r>
      <w:r w:rsidR="00622692">
        <w:rPr>
          <w:rFonts w:cstheme="minorHAnsi"/>
          <w:b/>
          <w:bCs/>
        </w:rPr>
        <w:t>gregado (IVA</w:t>
      </w:r>
      <w:r w:rsidR="003A39E3">
        <w:rPr>
          <w:rFonts w:cstheme="minorHAnsi"/>
          <w:b/>
          <w:bCs/>
        </w:rPr>
        <w:t xml:space="preserve">): </w:t>
      </w:r>
      <w:r w:rsidR="00C04A81" w:rsidRPr="00712059">
        <w:rPr>
          <w:rFonts w:cstheme="minorHAnsi"/>
          <w:b/>
          <w:bCs/>
        </w:rPr>
        <w:t>$</w:t>
      </w:r>
      <w:r w:rsidR="00A46979">
        <w:rPr>
          <w:rFonts w:cstheme="minorHAnsi"/>
          <w:b/>
          <w:bCs/>
        </w:rPr>
        <w:t>6</w:t>
      </w:r>
      <w:r w:rsidR="00C04A81" w:rsidRPr="00712059">
        <w:rPr>
          <w:rFonts w:cstheme="minorHAnsi"/>
          <w:b/>
          <w:bCs/>
        </w:rPr>
        <w:t>.</w:t>
      </w:r>
      <w:r w:rsidR="008620C6">
        <w:rPr>
          <w:rFonts w:cstheme="minorHAnsi"/>
          <w:b/>
          <w:bCs/>
        </w:rPr>
        <w:t>724</w:t>
      </w:r>
      <w:r w:rsidR="00C04A81" w:rsidRPr="00712059">
        <w:rPr>
          <w:rFonts w:cstheme="minorHAnsi"/>
          <w:b/>
          <w:bCs/>
        </w:rPr>
        <w:t xml:space="preserve"> millones</w:t>
      </w:r>
      <w:r w:rsidR="00C04A81" w:rsidRPr="009C3A3E">
        <w:rPr>
          <w:rFonts w:cstheme="minorHAnsi"/>
        </w:rPr>
        <w:t xml:space="preserve"> </w:t>
      </w:r>
      <w:r w:rsidR="00ED4B7B">
        <w:rPr>
          <w:rFonts w:cstheme="minorHAnsi"/>
        </w:rPr>
        <w:t xml:space="preserve">destinados </w:t>
      </w:r>
      <w:r w:rsidR="003A0FB4">
        <w:rPr>
          <w:rFonts w:cstheme="minorHAnsi"/>
        </w:rPr>
        <w:t>a fondos generales de la nación;</w:t>
      </w:r>
      <w:r w:rsidR="00063D7F">
        <w:rPr>
          <w:rFonts w:cstheme="minorHAnsi"/>
        </w:rPr>
        <w:t xml:space="preserve"> </w:t>
      </w:r>
    </w:p>
    <w:p w14:paraId="67A90E4D" w14:textId="76CB6654" w:rsidR="00C04A81" w:rsidRPr="009C3A3E" w:rsidRDefault="00063D7F" w:rsidP="00462EDC">
      <w:pPr>
        <w:tabs>
          <w:tab w:val="left" w:pos="0"/>
        </w:tabs>
        <w:spacing w:after="0" w:line="240" w:lineRule="auto"/>
        <w:ind w:left="567"/>
        <w:rPr>
          <w:rFonts w:cstheme="minorHAnsi"/>
        </w:rPr>
      </w:pPr>
      <w:r w:rsidRPr="00462EDC">
        <w:rPr>
          <w:rFonts w:cstheme="minorHAnsi"/>
          <w:b/>
          <w:bCs/>
        </w:rPr>
        <w:t>(iii)</w:t>
      </w:r>
      <w:r w:rsidR="00C04A81" w:rsidRPr="009C3A3E">
        <w:rPr>
          <w:rFonts w:cstheme="minorHAnsi"/>
        </w:rPr>
        <w:t xml:space="preserve"> </w:t>
      </w:r>
      <w:r w:rsidR="003A0FB4" w:rsidRPr="00462EDC">
        <w:rPr>
          <w:rFonts w:cstheme="minorHAnsi"/>
          <w:b/>
          <w:bCs/>
        </w:rPr>
        <w:t xml:space="preserve">Impuesto </w:t>
      </w:r>
      <w:r w:rsidR="00A905BB">
        <w:rPr>
          <w:rFonts w:cstheme="minorHAnsi"/>
          <w:b/>
          <w:bCs/>
        </w:rPr>
        <w:t>de</w:t>
      </w:r>
      <w:r w:rsidR="003A0FB4" w:rsidRPr="00462EDC">
        <w:rPr>
          <w:rFonts w:cstheme="minorHAnsi"/>
          <w:b/>
          <w:bCs/>
        </w:rPr>
        <w:t xml:space="preserve"> entrada</w:t>
      </w:r>
      <w:r w:rsidR="00841F85" w:rsidRPr="00462EDC">
        <w:rPr>
          <w:rFonts w:cstheme="minorHAnsi"/>
          <w:b/>
          <w:bCs/>
        </w:rPr>
        <w:t xml:space="preserve"> </w:t>
      </w:r>
      <w:r w:rsidR="00A905BB">
        <w:rPr>
          <w:rFonts w:cstheme="minorHAnsi"/>
          <w:b/>
          <w:bCs/>
        </w:rPr>
        <w:t>a salas de juego</w:t>
      </w:r>
      <w:r w:rsidR="00841F85" w:rsidRPr="00462EDC">
        <w:rPr>
          <w:rFonts w:cstheme="minorHAnsi"/>
          <w:b/>
          <w:bCs/>
        </w:rPr>
        <w:t>:</w:t>
      </w:r>
      <w:r w:rsidR="003A0FB4">
        <w:rPr>
          <w:rFonts w:cstheme="minorHAnsi"/>
        </w:rPr>
        <w:t xml:space="preserve"> </w:t>
      </w:r>
      <w:r w:rsidR="00C04A81" w:rsidRPr="00712059">
        <w:rPr>
          <w:rFonts w:cstheme="minorHAnsi"/>
          <w:b/>
          <w:bCs/>
        </w:rPr>
        <w:t>$2.</w:t>
      </w:r>
      <w:r w:rsidR="008620C6">
        <w:rPr>
          <w:rFonts w:cstheme="minorHAnsi"/>
          <w:b/>
          <w:bCs/>
        </w:rPr>
        <w:t>358</w:t>
      </w:r>
      <w:r w:rsidR="00664DC9" w:rsidRPr="00712059">
        <w:rPr>
          <w:rFonts w:cstheme="minorHAnsi"/>
          <w:b/>
          <w:bCs/>
        </w:rPr>
        <w:t xml:space="preserve"> </w:t>
      </w:r>
      <w:r w:rsidR="00C04A81" w:rsidRPr="00712059">
        <w:rPr>
          <w:rFonts w:cstheme="minorHAnsi"/>
          <w:b/>
          <w:bCs/>
        </w:rPr>
        <w:t>millones</w:t>
      </w:r>
      <w:r w:rsidR="00C04A81" w:rsidRPr="009C3A3E">
        <w:rPr>
          <w:rFonts w:cstheme="minorHAnsi"/>
        </w:rPr>
        <w:t xml:space="preserve"> destina</w:t>
      </w:r>
      <w:r w:rsidR="00A905BB">
        <w:rPr>
          <w:rFonts w:cstheme="minorHAnsi"/>
        </w:rPr>
        <w:t>dos</w:t>
      </w:r>
      <w:r w:rsidR="00C04A81" w:rsidRPr="009C3A3E">
        <w:rPr>
          <w:rFonts w:cstheme="minorHAnsi"/>
        </w:rPr>
        <w:t xml:space="preserve">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F0EE298" w14:textId="6ADC5512" w:rsidR="00A8111D" w:rsidRDefault="00C04A81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</w:t>
      </w:r>
      <w:r w:rsidR="00A03CE0">
        <w:rPr>
          <w:rFonts w:cstheme="minorHAnsi"/>
        </w:rPr>
        <w:t xml:space="preserve">en </w:t>
      </w:r>
      <w:r w:rsidRPr="009C3A3E">
        <w:rPr>
          <w:rFonts w:cstheme="minorHAnsi"/>
        </w:rPr>
        <w:t xml:space="preserve">el mes </w:t>
      </w:r>
      <w:r w:rsidR="00A713D8" w:rsidRPr="009C3A3E">
        <w:rPr>
          <w:rFonts w:cstheme="minorHAnsi"/>
        </w:rPr>
        <w:t xml:space="preserve">subsiguiente </w:t>
      </w:r>
      <w:r w:rsidR="00A713D8">
        <w:rPr>
          <w:rFonts w:cstheme="minorHAnsi"/>
        </w:rPr>
        <w:t>al</w:t>
      </w:r>
      <w:r w:rsidRPr="009C3A3E">
        <w:rPr>
          <w:rFonts w:cstheme="minorHAnsi"/>
        </w:rPr>
        <w:t xml:space="preserve"> pago </w:t>
      </w:r>
      <w:r w:rsidR="006A3811">
        <w:rPr>
          <w:rFonts w:cstheme="minorHAnsi"/>
        </w:rPr>
        <w:t>realizado por</w:t>
      </w:r>
      <w:r w:rsidRPr="009C3A3E">
        <w:rPr>
          <w:rFonts w:cstheme="minorHAnsi"/>
        </w:rPr>
        <w:t xml:space="preserve"> las sociedades operadoras. Por lo tanto,</w:t>
      </w:r>
      <w:r w:rsidR="00FD55D8">
        <w:rPr>
          <w:rFonts w:cstheme="minorHAnsi"/>
        </w:rPr>
        <w:t xml:space="preserve"> si lo</w:t>
      </w:r>
      <w:r w:rsidR="004D608D">
        <w:rPr>
          <w:rFonts w:cstheme="minorHAnsi"/>
        </w:rPr>
        <w:t>s</w:t>
      </w:r>
      <w:r w:rsidR="00FD55D8">
        <w:rPr>
          <w:rFonts w:cstheme="minorHAnsi"/>
        </w:rPr>
        <w:t xml:space="preserve"> pagos se </w:t>
      </w:r>
      <w:r w:rsidR="00A2116C">
        <w:rPr>
          <w:rFonts w:cstheme="minorHAnsi"/>
        </w:rPr>
        <w:t xml:space="preserve">realizan </w:t>
      </w:r>
      <w:r w:rsidR="00FD55D8">
        <w:rPr>
          <w:rFonts w:cstheme="minorHAnsi"/>
        </w:rPr>
        <w:t xml:space="preserve">en </w:t>
      </w:r>
      <w:r w:rsidR="008620C6">
        <w:rPr>
          <w:rFonts w:cstheme="minorHAnsi"/>
        </w:rPr>
        <w:t>julio</w:t>
      </w:r>
      <w:r w:rsidR="006406BF">
        <w:rPr>
          <w:rFonts w:cstheme="minorHAnsi"/>
        </w:rPr>
        <w:t xml:space="preserve"> de 2024,</w:t>
      </w:r>
      <w:r w:rsidRPr="009C3A3E">
        <w:rPr>
          <w:rFonts w:cstheme="minorHAnsi"/>
        </w:rPr>
        <w:t xml:space="preserve"> </w:t>
      </w:r>
      <w:r w:rsidR="003232A7" w:rsidRPr="009C3A3E">
        <w:rPr>
          <w:rFonts w:cstheme="minorHAnsi"/>
        </w:rPr>
        <w:t xml:space="preserve">serán </w:t>
      </w:r>
      <w:r w:rsidR="003232A7">
        <w:rPr>
          <w:rFonts w:cstheme="minorHAnsi"/>
        </w:rPr>
        <w:t>distribuidos</w:t>
      </w:r>
      <w:r w:rsidR="006406BF">
        <w:rPr>
          <w:rFonts w:cstheme="minorHAnsi"/>
        </w:rPr>
        <w:t xml:space="preserve"> a las autoridades </w:t>
      </w:r>
      <w:r w:rsidR="004D608D">
        <w:rPr>
          <w:rFonts w:cstheme="minorHAnsi"/>
        </w:rPr>
        <w:t>locales</w:t>
      </w:r>
      <w:r w:rsidR="004D608D" w:rsidRPr="009C3A3E">
        <w:rPr>
          <w:rFonts w:cstheme="minorHAnsi"/>
        </w:rPr>
        <w:t xml:space="preserve"> en</w:t>
      </w:r>
      <w:r w:rsidRPr="009C3A3E">
        <w:rPr>
          <w:rFonts w:cstheme="minorHAnsi"/>
        </w:rPr>
        <w:t xml:space="preserve"> </w:t>
      </w:r>
      <w:r w:rsidR="008620C6">
        <w:rPr>
          <w:rFonts w:cstheme="minorHAnsi"/>
        </w:rPr>
        <w:t>septiembre</w:t>
      </w:r>
      <w:r w:rsidRPr="009C3A3E">
        <w:rPr>
          <w:rFonts w:cstheme="minorHAnsi"/>
        </w:rPr>
        <w:t xml:space="preserve"> de 202</w:t>
      </w:r>
      <w:r w:rsidR="00A8111D">
        <w:rPr>
          <w:rFonts w:cstheme="minorHAnsi"/>
        </w:rPr>
        <w:t>4</w:t>
      </w:r>
      <w:r w:rsidRPr="009C3A3E">
        <w:rPr>
          <w:rFonts w:cstheme="minorHAnsi"/>
        </w:rPr>
        <w:t>.</w:t>
      </w:r>
      <w:r w:rsidR="008C64E6">
        <w:rPr>
          <w:rFonts w:cstheme="minorHAnsi"/>
        </w:rPr>
        <w:t xml:space="preserve"> </w:t>
      </w:r>
    </w:p>
    <w:p w14:paraId="4CD608F2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7795AD51" w14:textId="5EFAF748" w:rsidR="004D608D" w:rsidRDefault="00E0578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En la </w:t>
      </w:r>
      <w:r w:rsidR="003E4928">
        <w:rPr>
          <w:rFonts w:cstheme="minorHAnsi"/>
        </w:rPr>
        <w:t>T</w:t>
      </w:r>
      <w:r>
        <w:rPr>
          <w:rFonts w:cstheme="minorHAnsi"/>
        </w:rPr>
        <w:t>abla</w:t>
      </w:r>
      <w:r w:rsidR="003E4928">
        <w:rPr>
          <w:rFonts w:cstheme="minorHAnsi"/>
        </w:rPr>
        <w:t xml:space="preserve"> 1</w:t>
      </w:r>
      <w:r>
        <w:rPr>
          <w:rFonts w:cstheme="minorHAnsi"/>
        </w:rPr>
        <w:t xml:space="preserve"> se </w:t>
      </w:r>
      <w:r w:rsidR="004D608D">
        <w:rPr>
          <w:rFonts w:cstheme="minorHAnsi"/>
        </w:rPr>
        <w:t xml:space="preserve">muestra </w:t>
      </w:r>
      <w:r w:rsidR="008E2693">
        <w:rPr>
          <w:rFonts w:cstheme="minorHAnsi"/>
        </w:rPr>
        <w:t xml:space="preserve">la </w:t>
      </w:r>
      <w:r w:rsidR="008E2693" w:rsidRPr="009C3A3E">
        <w:rPr>
          <w:rFonts w:cstheme="minorHAnsi"/>
        </w:rPr>
        <w:t>distribución</w:t>
      </w:r>
      <w:r w:rsidR="004D084F" w:rsidRPr="009C3A3E">
        <w:rPr>
          <w:rFonts w:cstheme="minorHAnsi"/>
        </w:rPr>
        <w:t xml:space="preserve"> de los impuestos recaudados </w:t>
      </w:r>
      <w:r w:rsidR="004D084F">
        <w:rPr>
          <w:rFonts w:cstheme="minorHAnsi"/>
        </w:rPr>
        <w:t xml:space="preserve">por la operación del mes de </w:t>
      </w:r>
      <w:r w:rsidR="008620C6">
        <w:rPr>
          <w:rFonts w:cstheme="minorHAnsi"/>
        </w:rPr>
        <w:t>junio</w:t>
      </w:r>
      <w:r w:rsidR="00005C35">
        <w:rPr>
          <w:rFonts w:cstheme="minorHAnsi"/>
        </w:rPr>
        <w:t xml:space="preserve"> de 2024</w:t>
      </w:r>
      <w:r w:rsidR="008D5D84">
        <w:rPr>
          <w:rFonts w:cstheme="minorHAnsi"/>
        </w:rPr>
        <w:t xml:space="preserve">. Los valores están expresados en </w:t>
      </w:r>
      <w:r w:rsidR="00396921">
        <w:rPr>
          <w:rFonts w:cstheme="minorHAnsi"/>
        </w:rPr>
        <w:t>millones de pesos y desglosados por región, sociedad operadora</w:t>
      </w:r>
      <w:r w:rsidR="003F154F">
        <w:rPr>
          <w:rFonts w:cstheme="minorHAnsi"/>
        </w:rPr>
        <w:t xml:space="preserve"> y tipo de impuesto. Esta descripción proporci</w:t>
      </w:r>
      <w:r w:rsidR="00727D75">
        <w:rPr>
          <w:rFonts w:cstheme="minorHAnsi"/>
        </w:rPr>
        <w:t>o</w:t>
      </w:r>
      <w:r w:rsidR="003F154F">
        <w:rPr>
          <w:rFonts w:cstheme="minorHAnsi"/>
        </w:rPr>
        <w:t>n</w:t>
      </w:r>
      <w:r w:rsidR="00727D75">
        <w:rPr>
          <w:rFonts w:cstheme="minorHAnsi"/>
        </w:rPr>
        <w:t>a</w:t>
      </w:r>
      <w:r w:rsidR="003F154F">
        <w:rPr>
          <w:rFonts w:cstheme="minorHAnsi"/>
        </w:rPr>
        <w:t xml:space="preserve"> una visión </w:t>
      </w:r>
      <w:r w:rsidR="00A76162">
        <w:rPr>
          <w:rFonts w:cstheme="minorHAnsi"/>
        </w:rPr>
        <w:t xml:space="preserve">clara </w:t>
      </w:r>
      <w:r w:rsidR="004F39F9">
        <w:rPr>
          <w:rFonts w:cstheme="minorHAnsi"/>
        </w:rPr>
        <w:t xml:space="preserve">de </w:t>
      </w:r>
      <w:r w:rsidR="00A76162">
        <w:rPr>
          <w:rFonts w:cstheme="minorHAnsi"/>
        </w:rPr>
        <w:t>cómo cada uno de los componentes contribuyen al monto total recaudado.</w:t>
      </w:r>
    </w:p>
    <w:p w14:paraId="04FA90D1" w14:textId="77777777" w:rsidR="008E2693" w:rsidRDefault="008E2693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1C0389BF" w14:textId="1739B65A" w:rsidR="003E4928" w:rsidRPr="003E4928" w:rsidRDefault="003E4928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4928">
        <w:rPr>
          <w:rFonts w:cstheme="minorHAnsi"/>
          <w:b/>
          <w:bCs/>
        </w:rPr>
        <w:t>Tabla 1</w:t>
      </w:r>
    </w:p>
    <w:tbl>
      <w:tblPr>
        <w:tblW w:w="508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2241"/>
        <w:gridCol w:w="1032"/>
        <w:gridCol w:w="1275"/>
        <w:gridCol w:w="709"/>
        <w:gridCol w:w="782"/>
        <w:gridCol w:w="918"/>
      </w:tblGrid>
      <w:tr w:rsidR="008620C6" w:rsidRPr="008620C6" w14:paraId="0CB2A0FA" w14:textId="77777777" w:rsidTr="008620C6">
        <w:trPr>
          <w:trHeight w:val="300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2080EA8B" w14:textId="449E41E2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IMPUESTOS </w:t>
            </w:r>
            <w:r w:rsidR="004F39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j</w:t>
            </w: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unio 2024 ($ Millones)</w:t>
            </w:r>
          </w:p>
        </w:tc>
      </w:tr>
      <w:tr w:rsidR="008620C6" w:rsidRPr="008620C6" w14:paraId="64B635F4" w14:textId="77777777" w:rsidTr="008620C6">
        <w:trPr>
          <w:trHeight w:val="970"/>
          <w:tblHeader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3BD65F6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A17B2D0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A33A3B6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A1C6843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ED8C8CE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2D9C40FB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532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E75B53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8620C6" w:rsidRPr="008620C6" w14:paraId="57583EC4" w14:textId="77777777" w:rsidTr="008620C6">
        <w:trPr>
          <w:trHeight w:val="300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D40C136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40F9D9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FBDF3B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86,2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3C87E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E35A412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163,8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E41E8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96,7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731E25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432,9</w:t>
            </w:r>
          </w:p>
        </w:tc>
      </w:tr>
      <w:tr w:rsidR="008620C6" w:rsidRPr="008620C6" w14:paraId="5A97E42C" w14:textId="77777777" w:rsidTr="008620C6">
        <w:trPr>
          <w:trHeight w:val="300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F6CD06C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C84BCAA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B46A24B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83,6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FCCFD98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83,6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629B512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160,4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91428F7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57452C4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387,1</w:t>
            </w:r>
          </w:p>
        </w:tc>
      </w:tr>
      <w:tr w:rsidR="008620C6" w:rsidRPr="008620C6" w14:paraId="588721A3" w14:textId="77777777" w:rsidTr="008620C6">
        <w:trPr>
          <w:trHeight w:val="300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01943F4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450A48F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4C5CF47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219,5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3AD9BA8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219,5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6392CBC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417,1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A7604AF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166,0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C9E85FE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1.022,0</w:t>
            </w:r>
          </w:p>
        </w:tc>
      </w:tr>
      <w:tr w:rsidR="008620C6" w:rsidRPr="008620C6" w14:paraId="69AB3666" w14:textId="77777777" w:rsidTr="008620C6">
        <w:trPr>
          <w:trHeight w:val="300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22452D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lastRenderedPageBreak/>
              <w:t>De Atacama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4C4BCD1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A8C863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102,0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0632EB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102,0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4DC1EAB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206,8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91299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87,3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AF44FEE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498,1</w:t>
            </w:r>
          </w:p>
        </w:tc>
      </w:tr>
      <w:tr w:rsidR="008620C6" w:rsidRPr="008620C6" w14:paraId="41CBBE47" w14:textId="77777777" w:rsidTr="008620C6">
        <w:trPr>
          <w:trHeight w:val="300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852D832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D3CDAA4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29CB5AC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0F25722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C05906A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C81FCE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1D05EA5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189,4</w:t>
            </w:r>
          </w:p>
        </w:tc>
      </w:tr>
      <w:tr w:rsidR="008620C6" w:rsidRPr="008620C6" w14:paraId="38393713" w14:textId="77777777" w:rsidTr="008620C6">
        <w:trPr>
          <w:trHeight w:val="300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04F7792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3AAE458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E06E8A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204,9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A18ED1F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204,9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94D818C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389,3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D6FB60B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171,0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1A7AA33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970,0</w:t>
            </w:r>
          </w:p>
        </w:tc>
      </w:tr>
      <w:tr w:rsidR="008620C6" w:rsidRPr="008620C6" w14:paraId="0E0A579E" w14:textId="77777777" w:rsidTr="008620C6">
        <w:trPr>
          <w:trHeight w:val="300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602B7DC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154323D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618144C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4CF5BAF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FD2BA2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122,5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87F9E45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60,7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2E7B4A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308,7</w:t>
            </w:r>
          </w:p>
        </w:tc>
      </w:tr>
      <w:tr w:rsidR="008620C6" w:rsidRPr="008620C6" w14:paraId="6A78DF0F" w14:textId="77777777" w:rsidTr="008620C6">
        <w:trPr>
          <w:trHeight w:val="300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DCFFFEC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F99E210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D827E23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374,7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22E0E83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374,7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EF6C9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711,9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B24BA42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207,8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B0A700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1.669,1</w:t>
            </w:r>
          </w:p>
        </w:tc>
      </w:tr>
      <w:tr w:rsidR="008620C6" w:rsidRPr="008620C6" w14:paraId="18D4BFF4" w14:textId="77777777" w:rsidTr="008620C6">
        <w:trPr>
          <w:trHeight w:val="300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A1241D4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7433C3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F2A033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363,9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BF88EA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363,9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84A8FA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536DA4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153,4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A1F8DC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1.572,4</w:t>
            </w:r>
          </w:p>
        </w:tc>
      </w:tr>
      <w:tr w:rsidR="008620C6" w:rsidRPr="008620C6" w14:paraId="787C6CDF" w14:textId="77777777" w:rsidTr="008620C6">
        <w:trPr>
          <w:trHeight w:val="300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4D4B7AD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F973EFD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8585344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739,8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F7F2BFE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739,8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CC7BCB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1.446,1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5A0761A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369,0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7DF9C50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3.294,7</w:t>
            </w:r>
          </w:p>
        </w:tc>
      </w:tr>
      <w:tr w:rsidR="008620C6" w:rsidRPr="008620C6" w14:paraId="436B1724" w14:textId="77777777" w:rsidTr="008620C6">
        <w:trPr>
          <w:trHeight w:val="300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8698F9C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4B74363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5A1267F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55,3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24EC7C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353F25E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108,1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685D365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70B9BF6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248,0</w:t>
            </w:r>
          </w:p>
        </w:tc>
      </w:tr>
      <w:tr w:rsidR="008620C6" w:rsidRPr="008620C6" w14:paraId="6DB2EEDC" w14:textId="77777777" w:rsidTr="008620C6">
        <w:trPr>
          <w:trHeight w:val="300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E6393B2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D2608C7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72B908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D54B43B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931AD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130,2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78A69B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9C6A9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324,9</w:t>
            </w:r>
          </w:p>
        </w:tc>
      </w:tr>
      <w:tr w:rsidR="008620C6" w:rsidRPr="008620C6" w14:paraId="0B119344" w14:textId="77777777" w:rsidTr="008620C6">
        <w:trPr>
          <w:trHeight w:val="300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82685C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9EA3D68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A428A2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87,8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5BB1664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87,8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556EFD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168,5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33AF793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838834A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416,2</w:t>
            </w:r>
          </w:p>
        </w:tc>
      </w:tr>
      <w:tr w:rsidR="008620C6" w:rsidRPr="008620C6" w14:paraId="6CC874C9" w14:textId="77777777" w:rsidTr="008620C6">
        <w:trPr>
          <w:trHeight w:val="300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C4B41F7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E2E654B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F0A97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322,0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FA11A8F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322,0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284B6DE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644,7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683118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218,7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0306CB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1.507,4</w:t>
            </w:r>
          </w:p>
        </w:tc>
      </w:tr>
      <w:tr w:rsidR="008620C6" w:rsidRPr="008620C6" w14:paraId="566D3413" w14:textId="77777777" w:rsidTr="008620C6">
        <w:trPr>
          <w:trHeight w:val="300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13532F6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0F0EF97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6246718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46,4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D93EB7E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BE309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15A04D0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5778D1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225,3</w:t>
            </w:r>
          </w:p>
        </w:tc>
      </w:tr>
      <w:tr w:rsidR="008620C6" w:rsidRPr="008620C6" w14:paraId="08D5402A" w14:textId="77777777" w:rsidTr="008620C6">
        <w:trPr>
          <w:trHeight w:val="300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673B2FE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FA677F1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0541ED6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163,9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62FB9C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163,9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FF5FBE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314,6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ACEA104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137,6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4040233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780,0</w:t>
            </w:r>
          </w:p>
        </w:tc>
      </w:tr>
      <w:tr w:rsidR="008620C6" w:rsidRPr="008620C6" w14:paraId="0C842580" w14:textId="77777777" w:rsidTr="008620C6">
        <w:trPr>
          <w:trHeight w:val="300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80B325E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098394E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ADB5A9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82,9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C2F83AF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5DBC43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157,6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B0249B0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1D1E67E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387,1</w:t>
            </w:r>
          </w:p>
        </w:tc>
      </w:tr>
      <w:tr w:rsidR="008620C6" w:rsidRPr="008620C6" w14:paraId="2705DDC3" w14:textId="77777777" w:rsidTr="008620C6">
        <w:trPr>
          <w:trHeight w:val="300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49F5C0B" w14:textId="065266B4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Los </w:t>
            </w:r>
            <w:r w:rsidR="007405AD"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Ríos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09AE2D8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0FD51EF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13D1304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F0F6E73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182,1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E0CFE20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7E155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465,2</w:t>
            </w:r>
          </w:p>
        </w:tc>
      </w:tr>
      <w:tr w:rsidR="008620C6" w:rsidRPr="008620C6" w14:paraId="6A733F21" w14:textId="77777777" w:rsidTr="008620C6">
        <w:trPr>
          <w:trHeight w:val="300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71940EE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EDCC20E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60D5386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84A1D9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E5ED306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158,6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6D24F7E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D40651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382,2</w:t>
            </w:r>
          </w:p>
        </w:tc>
      </w:tr>
      <w:tr w:rsidR="008620C6" w:rsidRPr="008620C6" w14:paraId="39B61EF6" w14:textId="77777777" w:rsidTr="008620C6">
        <w:trPr>
          <w:trHeight w:val="300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249C707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36542EA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EC4F003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38773D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54311F7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914EA0C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263CCD7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156,6</w:t>
            </w:r>
          </w:p>
        </w:tc>
      </w:tr>
      <w:tr w:rsidR="008620C6" w:rsidRPr="008620C6" w14:paraId="2B78C930" w14:textId="77777777" w:rsidTr="008620C6">
        <w:trPr>
          <w:trHeight w:val="300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ACE8874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0558FC1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D7888C5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23ED78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159FF38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4A0CD06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7E65C8A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146,2</w:t>
            </w:r>
          </w:p>
        </w:tc>
      </w:tr>
      <w:tr w:rsidR="008620C6" w:rsidRPr="008620C6" w14:paraId="74587D33" w14:textId="77777777" w:rsidTr="008620C6">
        <w:trPr>
          <w:trHeight w:val="300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3CB12F9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0A3C0CF" w14:textId="77777777" w:rsidR="008620C6" w:rsidRPr="008620C6" w:rsidRDefault="008620C6" w:rsidP="008620C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528A3B0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136,1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31C4C4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136,1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FA772F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266,3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5F1935E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114,7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FAF54E4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653,2</w:t>
            </w:r>
          </w:p>
        </w:tc>
      </w:tr>
      <w:tr w:rsidR="008620C6" w:rsidRPr="008620C6" w14:paraId="41FEFA73" w14:textId="77777777" w:rsidTr="008620C6">
        <w:trPr>
          <w:trHeight w:val="300"/>
        </w:trPr>
        <w:tc>
          <w:tcPr>
            <w:tcW w:w="2273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1C80D95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2BDD0F0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3.477,1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7056FC9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3.477,1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69E78D1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6.724,4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88DBB13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2.358,2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04E96E0" w14:textId="77777777" w:rsidR="008620C6" w:rsidRPr="008620C6" w:rsidRDefault="008620C6" w:rsidP="00862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20C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16.036,8</w:t>
            </w:r>
          </w:p>
        </w:tc>
      </w:tr>
    </w:tbl>
    <w:p w14:paraId="396C1A4F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419B923B" w14:textId="77777777" w:rsidR="00FE77A9" w:rsidRDefault="00FE77A9" w:rsidP="00FE77A9">
      <w:pPr>
        <w:pStyle w:val="Prrafodelista"/>
        <w:tabs>
          <w:tab w:val="left" w:pos="0"/>
        </w:tabs>
        <w:spacing w:after="0"/>
        <w:ind w:left="0"/>
        <w:rPr>
          <w:rFonts w:cstheme="minorHAnsi"/>
          <w:b/>
          <w:bCs/>
        </w:rPr>
      </w:pPr>
      <w:r w:rsidRPr="005F52A7">
        <w:rPr>
          <w:rFonts w:cstheme="minorHAnsi"/>
          <w:b/>
          <w:bCs/>
        </w:rPr>
        <w:t>Pago de ofertas económicas</w:t>
      </w:r>
    </w:p>
    <w:p w14:paraId="47A2C81E" w14:textId="77777777" w:rsidR="00FE77A9" w:rsidRDefault="00FE77A9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0773AA04" w14:textId="39473EF4" w:rsidR="0099477F" w:rsidRPr="00462EDC" w:rsidRDefault="0099477F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  <w:b/>
          <w:bCs/>
        </w:rPr>
      </w:pPr>
      <w:r>
        <w:rPr>
          <w:rFonts w:cstheme="minorHAnsi"/>
        </w:rPr>
        <w:t xml:space="preserve">En conjunto, </w:t>
      </w:r>
      <w:r w:rsidRPr="00604E41">
        <w:rPr>
          <w:rFonts w:cstheme="minorHAnsi"/>
          <w:b/>
          <w:bCs/>
        </w:rPr>
        <w:t xml:space="preserve">los casinos de juego </w:t>
      </w:r>
      <w:r>
        <w:rPr>
          <w:rFonts w:cstheme="minorHAnsi"/>
          <w:b/>
          <w:bCs/>
        </w:rPr>
        <w:t xml:space="preserve">que aparecen en la tabla N°2 </w:t>
      </w:r>
      <w:r w:rsidRPr="00604E41">
        <w:rPr>
          <w:rFonts w:cstheme="minorHAnsi"/>
          <w:b/>
          <w:bCs/>
        </w:rPr>
        <w:t>aportaron un total de</w:t>
      </w:r>
      <w:r w:rsidRPr="0096508B">
        <w:rPr>
          <w:rFonts w:cstheme="minorHAnsi"/>
        </w:rPr>
        <w:t xml:space="preserve"> </w:t>
      </w:r>
      <w:r w:rsidRPr="00604E41">
        <w:rPr>
          <w:rFonts w:cstheme="minorHAnsi"/>
          <w:b/>
          <w:bCs/>
        </w:rPr>
        <w:t>$5.</w:t>
      </w:r>
      <w:r>
        <w:rPr>
          <w:rFonts w:cstheme="minorHAnsi"/>
          <w:b/>
          <w:bCs/>
        </w:rPr>
        <w:t>379</w:t>
      </w:r>
      <w:r w:rsidRPr="00604E41">
        <w:rPr>
          <w:rFonts w:cstheme="minorHAnsi"/>
          <w:b/>
          <w:bCs/>
        </w:rPr>
        <w:t xml:space="preserve"> millones a los municipios por concepto de oferta económica</w:t>
      </w:r>
      <w:r w:rsidRPr="0096508B">
        <w:rPr>
          <w:rFonts w:cstheme="minorHAnsi"/>
        </w:rPr>
        <w:t xml:space="preserve"> en el mes de </w:t>
      </w:r>
      <w:r w:rsidR="00F824A6">
        <w:rPr>
          <w:rFonts w:cstheme="minorHAnsi"/>
        </w:rPr>
        <w:t>junio</w:t>
      </w:r>
      <w:r w:rsidRPr="0096508B">
        <w:rPr>
          <w:rFonts w:cstheme="minorHAnsi"/>
        </w:rPr>
        <w:t xml:space="preserve"> de 2024</w:t>
      </w:r>
      <w:r>
        <w:rPr>
          <w:rFonts w:cstheme="minorHAnsi"/>
        </w:rPr>
        <w:t>. E</w:t>
      </w:r>
      <w:r w:rsidRPr="00B2527C">
        <w:t>st</w:t>
      </w:r>
      <w:r>
        <w:t>os</w:t>
      </w:r>
      <w:r w:rsidRPr="00B2527C">
        <w:t xml:space="preserve"> pago</w:t>
      </w:r>
      <w:r>
        <w:t>s</w:t>
      </w:r>
      <w:r w:rsidRPr="00B2527C">
        <w:t xml:space="preserve"> </w:t>
      </w:r>
      <w:r>
        <w:t>son gestionados a través de</w:t>
      </w:r>
      <w:r w:rsidRPr="00B2527C">
        <w:t xml:space="preserve"> la Tesorería General de la República, </w:t>
      </w:r>
      <w:r>
        <w:t>para ser distribuidos en cada municipio bajo el mismo plazo la transferencia</w:t>
      </w:r>
      <w:r w:rsidRPr="00B2527C">
        <w:t xml:space="preserve"> </w:t>
      </w:r>
      <w:r>
        <w:t>del impuesto específico al juego</w:t>
      </w:r>
      <w:r w:rsidRPr="00B2527C">
        <w:t xml:space="preserve">. </w:t>
      </w:r>
    </w:p>
    <w:p w14:paraId="3B1D0867" w14:textId="77777777" w:rsidR="0099477F" w:rsidRDefault="0099477F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377A5547" w14:textId="1BAA4B24" w:rsidR="00CB0C72" w:rsidRDefault="001D0CF5" w:rsidP="006B1A64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 </w:t>
      </w:r>
      <w:r w:rsidR="008620C6" w:rsidRPr="008620C6">
        <w:rPr>
          <w:rFonts w:cstheme="minorHAnsi"/>
        </w:rPr>
        <w:t xml:space="preserve">. </w:t>
      </w:r>
    </w:p>
    <w:p w14:paraId="35A2C71D" w14:textId="77777777" w:rsidR="008620C6" w:rsidRDefault="008620C6" w:rsidP="006B1A64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13B9C6B0" w14:textId="55BD991A" w:rsidR="000A0B15" w:rsidRDefault="000A0B15" w:rsidP="00462EDC">
      <w:pPr>
        <w:pStyle w:val="Prrafodelista"/>
        <w:tabs>
          <w:tab w:val="left" w:pos="0"/>
        </w:tabs>
        <w:spacing w:after="0"/>
        <w:ind w:left="0"/>
      </w:pPr>
    </w:p>
    <w:p w14:paraId="1116627F" w14:textId="702C287B" w:rsidR="003C4909" w:rsidRDefault="0074007A" w:rsidP="000D786C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La distribución de los </w:t>
      </w:r>
      <w:r>
        <w:rPr>
          <w:rFonts w:cstheme="minorHAnsi"/>
        </w:rPr>
        <w:t>pagos de Oferta Económica</w:t>
      </w:r>
      <w:r w:rsidRPr="009C3A3E">
        <w:rPr>
          <w:rFonts w:cstheme="minorHAnsi"/>
        </w:rPr>
        <w:t xml:space="preserve"> </w:t>
      </w:r>
      <w:r>
        <w:rPr>
          <w:rFonts w:cstheme="minorHAnsi"/>
        </w:rPr>
        <w:t xml:space="preserve">efectuados durante el mes de </w:t>
      </w:r>
      <w:r w:rsidR="008620C6">
        <w:rPr>
          <w:rFonts w:cstheme="minorHAnsi"/>
        </w:rPr>
        <w:t>junio</w:t>
      </w:r>
      <w:r>
        <w:rPr>
          <w:rFonts w:cstheme="minorHAnsi"/>
        </w:rPr>
        <w:t xml:space="preserve"> de 2024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 en la siguiente tabla</w:t>
      </w:r>
      <w:r w:rsidR="006A3669">
        <w:rPr>
          <w:rStyle w:val="Refdenotaalpie"/>
          <w:rFonts w:cstheme="minorHAnsi"/>
        </w:rPr>
        <w:footnoteReference w:id="3"/>
      </w:r>
      <w:r>
        <w:rPr>
          <w:rFonts w:cstheme="minorHAnsi"/>
        </w:rPr>
        <w:t>:</w:t>
      </w:r>
    </w:p>
    <w:p w14:paraId="54AF4CC5" w14:textId="37BE60B6" w:rsidR="00053162" w:rsidRPr="00053162" w:rsidRDefault="00053162" w:rsidP="00053162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2C30723" w14:textId="77777777" w:rsidR="0074007A" w:rsidRDefault="0074007A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550CC7EB" w14:textId="32F4CBD8" w:rsidR="00264447" w:rsidRPr="00264447" w:rsidRDefault="00264447" w:rsidP="00264447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  <w:r w:rsidRPr="00053162">
        <w:rPr>
          <w:rFonts w:cstheme="minorHAnsi"/>
          <w:b/>
          <w:bCs/>
        </w:rPr>
        <w:t>Tabla 2</w:t>
      </w:r>
    </w:p>
    <w:tbl>
      <w:tblPr>
        <w:tblW w:w="5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2829"/>
        <w:gridCol w:w="1054"/>
      </w:tblGrid>
      <w:tr w:rsidR="00264447" w:rsidRPr="00BD4278" w14:paraId="0572092D" w14:textId="77777777" w:rsidTr="009541B4">
        <w:trPr>
          <w:trHeight w:val="300"/>
          <w:jc w:val="center"/>
        </w:trPr>
        <w:tc>
          <w:tcPr>
            <w:tcW w:w="5761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5AD3ABC8" w14:textId="77777777" w:rsidR="00264447" w:rsidRPr="00BD4278" w:rsidRDefault="00264447" w:rsidP="0095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OFERTA ECONÓMICA Mayo 2024 ($ Millones)</w:t>
            </w:r>
          </w:p>
        </w:tc>
      </w:tr>
      <w:tr w:rsidR="00264447" w:rsidRPr="00BD4278" w14:paraId="706E7FFB" w14:textId="77777777" w:rsidTr="009541B4">
        <w:trPr>
          <w:trHeight w:val="300"/>
          <w:jc w:val="center"/>
        </w:trPr>
        <w:tc>
          <w:tcPr>
            <w:tcW w:w="18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2D6BDF2" w14:textId="77777777" w:rsidR="00264447" w:rsidRPr="00BD4278" w:rsidRDefault="00264447" w:rsidP="0095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341A20B" w14:textId="77777777" w:rsidR="00264447" w:rsidRPr="00BD4278" w:rsidRDefault="00264447" w:rsidP="0095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7F22B29" w14:textId="77777777" w:rsidR="00264447" w:rsidRPr="00BD4278" w:rsidRDefault="00264447" w:rsidP="0095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0D786C" w:rsidRPr="00BD4278" w14:paraId="440D2264" w14:textId="77777777" w:rsidTr="001C308F">
        <w:trPr>
          <w:trHeight w:val="300"/>
          <w:jc w:val="center"/>
        </w:trPr>
        <w:tc>
          <w:tcPr>
            <w:tcW w:w="1878" w:type="dxa"/>
            <w:vMerge w:val="restart"/>
            <w:tcBorders>
              <w:left w:val="single" w:sz="8" w:space="0" w:color="A6A6A6"/>
              <w:right w:val="single" w:sz="8" w:space="0" w:color="A6A6A6"/>
            </w:tcBorders>
            <w:shd w:val="clear" w:color="000000" w:fill="FFFFFF"/>
            <w:vAlign w:val="center"/>
          </w:tcPr>
          <w:p w14:paraId="773E0EF5" w14:textId="7AA464AF" w:rsidR="000D786C" w:rsidRPr="00BD4278" w:rsidRDefault="000D786C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Antofagasta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22D0BCA6" w14:textId="39B6DC49" w:rsidR="000D786C" w:rsidRPr="00BD4278" w:rsidRDefault="000D786C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Calama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3CE1F8A8" w14:textId="066B9CC3" w:rsidR="000D786C" w:rsidRPr="00BD4278" w:rsidRDefault="000D786C" w:rsidP="00954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251,4</w:t>
            </w:r>
          </w:p>
        </w:tc>
      </w:tr>
      <w:tr w:rsidR="000D786C" w:rsidRPr="00BD4278" w14:paraId="52F1AC8D" w14:textId="77777777" w:rsidTr="009541B4">
        <w:trPr>
          <w:trHeight w:val="300"/>
          <w:jc w:val="center"/>
        </w:trPr>
        <w:tc>
          <w:tcPr>
            <w:tcW w:w="1878" w:type="dxa"/>
            <w:vMerge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14:paraId="5A30AC53" w14:textId="43B8E8AB" w:rsidR="000D786C" w:rsidRPr="00BD4278" w:rsidRDefault="000D786C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84FC266" w14:textId="77777777" w:rsidR="000D786C" w:rsidRPr="00BD4278" w:rsidRDefault="000D786C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6E17927" w14:textId="088295A7" w:rsidR="000D786C" w:rsidRPr="00BD4278" w:rsidRDefault="000D786C" w:rsidP="00954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</w:t>
            </w: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</w:t>
            </w: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,</w:t>
            </w: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0</w:t>
            </w:r>
          </w:p>
        </w:tc>
      </w:tr>
      <w:tr w:rsidR="00264447" w:rsidRPr="00BD4278" w14:paraId="0D8DB6A4" w14:textId="77777777" w:rsidTr="009541B4">
        <w:trPr>
          <w:trHeight w:val="300"/>
          <w:jc w:val="center"/>
        </w:trPr>
        <w:tc>
          <w:tcPr>
            <w:tcW w:w="18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C757FD5" w14:textId="77777777" w:rsidR="00264447" w:rsidRPr="00BD4278" w:rsidRDefault="00264447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B5C35A" w14:textId="77777777" w:rsidR="00264447" w:rsidRPr="00BD4278" w:rsidRDefault="00264447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143DA4" w14:textId="41D84EC7" w:rsidR="00264447" w:rsidRPr="00BD4278" w:rsidRDefault="00264447" w:rsidP="00954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</w:t>
            </w:r>
            <w:r w:rsidR="002A382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</w:t>
            </w: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,</w:t>
            </w:r>
            <w:r w:rsidR="002A382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</w:t>
            </w:r>
          </w:p>
        </w:tc>
      </w:tr>
      <w:tr w:rsidR="00264447" w:rsidRPr="00BD4278" w14:paraId="58C739EC" w14:textId="77777777" w:rsidTr="009541B4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14:paraId="10A46103" w14:textId="77777777" w:rsidR="00264447" w:rsidRPr="00BD4278" w:rsidRDefault="00264447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D2A62BF" w14:textId="77777777" w:rsidR="00264447" w:rsidRPr="00BD4278" w:rsidRDefault="00264447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E1AE4C6" w14:textId="22419948" w:rsidR="00264447" w:rsidRPr="00BD4278" w:rsidRDefault="00264447" w:rsidP="00954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</w:t>
            </w:r>
            <w:r w:rsidR="002A382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52</w:t>
            </w: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,</w:t>
            </w:r>
            <w:r w:rsidR="002A382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</w:t>
            </w:r>
          </w:p>
        </w:tc>
      </w:tr>
      <w:tr w:rsidR="00264447" w:rsidRPr="00BD4278" w14:paraId="624D4FC8" w14:textId="77777777" w:rsidTr="009541B4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vAlign w:val="center"/>
          </w:tcPr>
          <w:p w14:paraId="6E060333" w14:textId="77777777" w:rsidR="00264447" w:rsidRPr="00BD4278" w:rsidRDefault="00264447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noWrap/>
            <w:vAlign w:val="center"/>
          </w:tcPr>
          <w:p w14:paraId="77B5AE04" w14:textId="77777777" w:rsidR="00264447" w:rsidRPr="00BD4278" w:rsidRDefault="00264447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noWrap/>
            <w:vAlign w:val="center"/>
          </w:tcPr>
          <w:p w14:paraId="0FE1BE46" w14:textId="38AD89A7" w:rsidR="00264447" w:rsidRPr="00BD4278" w:rsidRDefault="00264447" w:rsidP="00954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2.5</w:t>
            </w:r>
            <w:r w:rsidR="002A382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</w:t>
            </w: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,</w:t>
            </w:r>
            <w:r w:rsidR="002A382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0</w:t>
            </w:r>
          </w:p>
        </w:tc>
      </w:tr>
      <w:tr w:rsidR="00264447" w:rsidRPr="00BD4278" w14:paraId="1C0CC89D" w14:textId="77777777" w:rsidTr="009541B4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</w:tcPr>
          <w:p w14:paraId="4AFA8904" w14:textId="77777777" w:rsidR="00264447" w:rsidRPr="00BD4278" w:rsidRDefault="00264447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086744BC" w14:textId="77777777" w:rsidR="00264447" w:rsidRPr="00BD4278" w:rsidRDefault="00264447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7CC49172" w14:textId="051E8D20" w:rsidR="00264447" w:rsidRPr="00BD4278" w:rsidRDefault="00264447" w:rsidP="00954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70,</w:t>
            </w:r>
            <w:r w:rsidR="002A3822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</w:t>
            </w: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264447" w:rsidRPr="00BD4278" w14:paraId="315C616A" w14:textId="77777777" w:rsidTr="009541B4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vAlign w:val="center"/>
          </w:tcPr>
          <w:p w14:paraId="3178EECD" w14:textId="77777777" w:rsidR="00264447" w:rsidRPr="00BD4278" w:rsidRDefault="00264447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noWrap/>
            <w:vAlign w:val="center"/>
          </w:tcPr>
          <w:p w14:paraId="076DF80E" w14:textId="77777777" w:rsidR="00264447" w:rsidRPr="00BD4278" w:rsidRDefault="00264447" w:rsidP="009541B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noWrap/>
            <w:vAlign w:val="center"/>
          </w:tcPr>
          <w:p w14:paraId="20D1F2CD" w14:textId="4E20E6F5" w:rsidR="00264447" w:rsidRPr="00BD4278" w:rsidRDefault="00264447" w:rsidP="00954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</w:t>
            </w:r>
            <w:r w:rsidR="00D212D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</w:t>
            </w: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,</w:t>
            </w:r>
            <w:r w:rsidR="00D212D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</w:t>
            </w:r>
          </w:p>
        </w:tc>
      </w:tr>
      <w:tr w:rsidR="00264447" w:rsidRPr="00BD4278" w14:paraId="2405B05F" w14:textId="77777777" w:rsidTr="009541B4">
        <w:trPr>
          <w:trHeight w:val="300"/>
          <w:jc w:val="center"/>
        </w:trPr>
        <w:tc>
          <w:tcPr>
            <w:tcW w:w="4707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011E92A" w14:textId="77777777" w:rsidR="00264447" w:rsidRPr="00BD4278" w:rsidRDefault="00264447" w:rsidP="0095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A2AB8F1" w14:textId="2AF3BCDF" w:rsidR="00264447" w:rsidRPr="00BD4278" w:rsidRDefault="00264447" w:rsidP="0095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5.</w:t>
            </w:r>
            <w:r w:rsidR="00D212D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379</w:t>
            </w: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,</w:t>
            </w:r>
            <w:r w:rsidR="00D212D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</w:t>
            </w:r>
          </w:p>
        </w:tc>
      </w:tr>
    </w:tbl>
    <w:p w14:paraId="3D4CABC7" w14:textId="77777777" w:rsidR="00264447" w:rsidRDefault="00264447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6C9CC1C" w14:textId="77777777" w:rsidR="00264447" w:rsidRDefault="00264447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B0B56D2" w14:textId="0B3423DC" w:rsidR="00414CED" w:rsidRDefault="00414CED" w:rsidP="003C4909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En particular</w:t>
      </w:r>
      <w:r w:rsidR="00D212D7">
        <w:rPr>
          <w:rFonts w:cstheme="minorHAnsi"/>
        </w:rPr>
        <w:t>,</w:t>
      </w:r>
      <w:r>
        <w:rPr>
          <w:rFonts w:cstheme="minorHAnsi"/>
        </w:rPr>
        <w:t xml:space="preserve"> el </w:t>
      </w:r>
      <w:r w:rsidRPr="008620C6">
        <w:rPr>
          <w:rFonts w:cstheme="minorHAnsi"/>
        </w:rPr>
        <w:t xml:space="preserve">casino </w:t>
      </w:r>
      <w:r>
        <w:rPr>
          <w:rFonts w:cstheme="minorHAnsi"/>
        </w:rPr>
        <w:t>Marina del Sol Calama</w:t>
      </w:r>
      <w:r w:rsidRPr="008620C6">
        <w:rPr>
          <w:rFonts w:cstheme="minorHAnsi"/>
        </w:rPr>
        <w:t xml:space="preserve">, que fue autorizado en agosto del 2022 y que comenzó a operar su segundo periodo en </w:t>
      </w:r>
      <w:r>
        <w:rPr>
          <w:rFonts w:cstheme="minorHAnsi"/>
        </w:rPr>
        <w:t>junio</w:t>
      </w:r>
      <w:r w:rsidRPr="008620C6">
        <w:rPr>
          <w:rFonts w:cstheme="minorHAnsi"/>
        </w:rPr>
        <w:t xml:space="preserve"> de este año, realizó en </w:t>
      </w:r>
      <w:r>
        <w:rPr>
          <w:rFonts w:cstheme="minorHAnsi"/>
        </w:rPr>
        <w:t>junio</w:t>
      </w:r>
      <w:r w:rsidRPr="008620C6">
        <w:rPr>
          <w:rFonts w:cstheme="minorHAnsi"/>
        </w:rPr>
        <w:t xml:space="preserve"> un pago </w:t>
      </w:r>
      <w:r w:rsidR="00D73FE2">
        <w:rPr>
          <w:rFonts w:cstheme="minorHAnsi"/>
        </w:rPr>
        <w:t xml:space="preserve">único </w:t>
      </w:r>
      <w:r w:rsidRPr="008620C6">
        <w:rPr>
          <w:rFonts w:cstheme="minorHAnsi"/>
        </w:rPr>
        <w:t>correspondiente a la proporción del monto total comprometido por concepto de oferta económica anual garantizada al municipio para el año 2024</w:t>
      </w:r>
      <w:r w:rsidR="009346C1">
        <w:rPr>
          <w:rFonts w:cstheme="minorHAnsi"/>
        </w:rPr>
        <w:t>.</w:t>
      </w:r>
    </w:p>
    <w:p w14:paraId="01C0C0FE" w14:textId="77777777" w:rsidR="00414CED" w:rsidRDefault="00414CED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174A0BE" w14:textId="37B3954F" w:rsidR="003C4909" w:rsidRPr="009C3A3E" w:rsidRDefault="003C4909" w:rsidP="003C4909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 xml:space="preserve">Ingresos </w:t>
      </w:r>
      <w:r w:rsidR="00364524">
        <w:rPr>
          <w:b/>
          <w:bCs/>
        </w:rPr>
        <w:t>brutos</w:t>
      </w:r>
      <w:r w:rsidR="00BA46B3">
        <w:rPr>
          <w:b/>
          <w:bCs/>
        </w:rPr>
        <w:t xml:space="preserve"> del juego (win)</w:t>
      </w:r>
    </w:p>
    <w:p w14:paraId="12475F03" w14:textId="77777777" w:rsidR="003C4909" w:rsidRPr="009C3A3E" w:rsidRDefault="003C4909" w:rsidP="003C4909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4E738484" w14:textId="66FDB17D" w:rsidR="003C4909" w:rsidRDefault="00BA2C18" w:rsidP="003C4909">
      <w:pPr>
        <w:tabs>
          <w:tab w:val="left" w:pos="0"/>
        </w:tabs>
        <w:spacing w:after="0" w:line="240" w:lineRule="auto"/>
      </w:pPr>
      <w:r>
        <w:t>Los</w:t>
      </w:r>
      <w:r w:rsidR="0024108D" w:rsidRPr="0024108D">
        <w:t xml:space="preserve"> 25 casinos de juego que operan en el </w:t>
      </w:r>
      <w:r w:rsidR="008F6621" w:rsidRPr="0024108D">
        <w:t>país</w:t>
      </w:r>
      <w:r w:rsidR="0024108D" w:rsidRPr="0024108D">
        <w:t xml:space="preserve"> registraron </w:t>
      </w:r>
      <w:r w:rsidR="0024108D" w:rsidRPr="00BA46B3">
        <w:rPr>
          <w:b/>
          <w:bCs/>
        </w:rPr>
        <w:t>ingresos brutos del juego (win) por $</w:t>
      </w:r>
      <w:r w:rsidR="007B27B0">
        <w:rPr>
          <w:b/>
          <w:bCs/>
        </w:rPr>
        <w:t>45.319</w:t>
      </w:r>
      <w:r w:rsidR="0024108D" w:rsidRPr="00BA46B3">
        <w:rPr>
          <w:b/>
          <w:bCs/>
        </w:rPr>
        <w:t xml:space="preserve"> </w:t>
      </w:r>
      <w:r w:rsidR="00F62DFB" w:rsidRPr="00BA46B3">
        <w:rPr>
          <w:b/>
          <w:bCs/>
        </w:rPr>
        <w:t xml:space="preserve">millones </w:t>
      </w:r>
      <w:r w:rsidR="0024108D" w:rsidRPr="00BA46B3">
        <w:rPr>
          <w:b/>
          <w:bCs/>
        </w:rPr>
        <w:t xml:space="preserve">en </w:t>
      </w:r>
      <w:r w:rsidR="007B27B0">
        <w:rPr>
          <w:b/>
          <w:bCs/>
        </w:rPr>
        <w:t>junio</w:t>
      </w:r>
      <w:r w:rsidR="00005C35" w:rsidRPr="00BA46B3">
        <w:rPr>
          <w:b/>
          <w:bCs/>
        </w:rPr>
        <w:t xml:space="preserve"> de 2024</w:t>
      </w:r>
      <w:r w:rsidR="0024108D" w:rsidRPr="0024108D">
        <w:t xml:space="preserve">, los que, en términos reales, fueron un </w:t>
      </w:r>
      <w:r w:rsidR="007B27B0">
        <w:t>7</w:t>
      </w:r>
      <w:r w:rsidR="00784C05">
        <w:t>,1</w:t>
      </w:r>
      <w:r w:rsidR="0024108D" w:rsidRPr="0024108D">
        <w:t xml:space="preserve">% </w:t>
      </w:r>
      <w:r w:rsidR="00BC21E6">
        <w:t>men</w:t>
      </w:r>
      <w:r w:rsidR="0024108D" w:rsidRPr="0024108D">
        <w:t xml:space="preserve">ores a los obtenidos en </w:t>
      </w:r>
      <w:r w:rsidR="007B27B0">
        <w:t>junio</w:t>
      </w:r>
      <w:r w:rsidR="00005C35">
        <w:t xml:space="preserve"> de 2023</w:t>
      </w:r>
      <w:r w:rsidR="0024108D" w:rsidRPr="0024108D">
        <w:t>.</w:t>
      </w:r>
    </w:p>
    <w:p w14:paraId="59FBE7AC" w14:textId="77777777" w:rsidR="0024108D" w:rsidRPr="004C5EE7" w:rsidRDefault="0024108D" w:rsidP="003C4909">
      <w:pPr>
        <w:tabs>
          <w:tab w:val="left" w:pos="0"/>
        </w:tabs>
        <w:spacing w:after="0" w:line="240" w:lineRule="auto"/>
      </w:pPr>
    </w:p>
    <w:p w14:paraId="447BF7DF" w14:textId="7A3A69E1" w:rsidR="00C04A81" w:rsidRPr="00A8111D" w:rsidRDefault="003C4909" w:rsidP="00794A0B">
      <w:pPr>
        <w:tabs>
          <w:tab w:val="left" w:pos="0"/>
        </w:tabs>
        <w:spacing w:after="0" w:line="240" w:lineRule="auto"/>
      </w:pPr>
      <w:r w:rsidRPr="004C5EE7">
        <w:t>En cuanto a las visitas</w:t>
      </w:r>
      <w:r w:rsidR="00A06F35">
        <w:t xml:space="preserve"> que generaron estos ingresos</w:t>
      </w:r>
      <w:r w:rsidR="00A06F35" w:rsidRPr="0029274A">
        <w:t>,</w:t>
      </w:r>
      <w:r w:rsidRPr="0029274A">
        <w:t xml:space="preserve"> se registr</w:t>
      </w:r>
      <w:r w:rsidR="00A06F35" w:rsidRPr="0029274A">
        <w:t>ó un total</w:t>
      </w:r>
      <w:r w:rsidRPr="0029274A">
        <w:t xml:space="preserve"> </w:t>
      </w:r>
      <w:r w:rsidR="00794A0B" w:rsidRPr="0029274A">
        <w:t xml:space="preserve">de </w:t>
      </w:r>
      <w:r w:rsidR="00784C05">
        <w:t>5</w:t>
      </w:r>
      <w:r w:rsidR="007B27B0">
        <w:t>41</w:t>
      </w:r>
      <w:r w:rsidR="00784C05">
        <w:t>.</w:t>
      </w:r>
      <w:r w:rsidR="007B27B0">
        <w:t>644</w:t>
      </w:r>
      <w:r w:rsidRPr="0029274A">
        <w:t xml:space="preserve"> </w:t>
      </w:r>
      <w:r w:rsidR="00F952B1">
        <w:t>entradas</w:t>
      </w:r>
      <w:r w:rsidRPr="004C5EE7">
        <w:t xml:space="preserve"> a los </w:t>
      </w:r>
      <w:r>
        <w:t>25</w:t>
      </w:r>
      <w:r w:rsidRPr="004C5EE7">
        <w:t xml:space="preserve"> casinos </w:t>
      </w:r>
      <w:r>
        <w:t>en operación</w:t>
      </w:r>
      <w:r w:rsidR="008D407F">
        <w:t>.</w:t>
      </w:r>
      <w:r>
        <w:t xml:space="preserve"> </w:t>
      </w:r>
      <w:r w:rsidR="008D407F">
        <w:t>Est</w:t>
      </w:r>
      <w:r>
        <w:t xml:space="preserve">o equivale a </w:t>
      </w:r>
      <w:r w:rsidR="00784C05">
        <w:t>un</w:t>
      </w:r>
      <w:r w:rsidR="007B27B0">
        <w:t>a disminución</w:t>
      </w:r>
      <w:r>
        <w:t xml:space="preserve"> de un </w:t>
      </w:r>
      <w:r w:rsidR="007B27B0">
        <w:t>4</w:t>
      </w:r>
      <w:r w:rsidR="00784C05">
        <w:t>,</w:t>
      </w:r>
      <w:r w:rsidR="007B27B0">
        <w:t>3</w:t>
      </w:r>
      <w:r>
        <w:t xml:space="preserve">% respecto de </w:t>
      </w:r>
      <w:r w:rsidR="007B27B0">
        <w:t>junio</w:t>
      </w:r>
      <w:r>
        <w:t xml:space="preserve"> de 202</w:t>
      </w:r>
      <w:r w:rsidR="00005C35">
        <w:t>3</w:t>
      </w:r>
      <w:r w:rsidR="00794A0B">
        <w:t xml:space="preserve">. </w:t>
      </w:r>
      <w:r w:rsidR="00BA46B3">
        <w:t>E</w:t>
      </w:r>
      <w:r w:rsidR="008D407F">
        <w:t>l</w:t>
      </w:r>
      <w:r w:rsidRPr="009C3A3E">
        <w:t xml:space="preserve"> </w:t>
      </w:r>
      <w:r w:rsidRPr="00462EDC">
        <w:rPr>
          <w:b/>
          <w:bCs/>
        </w:rPr>
        <w:t xml:space="preserve">gasto promedio </w:t>
      </w:r>
      <w:r w:rsidR="008D407F" w:rsidRPr="00462EDC">
        <w:rPr>
          <w:b/>
          <w:bCs/>
        </w:rPr>
        <w:t>por cada visita</w:t>
      </w:r>
      <w:r w:rsidR="008D407F">
        <w:t xml:space="preserve"> dur</w:t>
      </w:r>
      <w:r w:rsidR="00E068B3">
        <w:t xml:space="preserve">ante este mes fue de </w:t>
      </w:r>
      <w:r w:rsidRPr="00462EDC">
        <w:rPr>
          <w:b/>
          <w:bCs/>
        </w:rPr>
        <w:t>$</w:t>
      </w:r>
      <w:r w:rsidR="00BC21E6" w:rsidRPr="00462EDC">
        <w:rPr>
          <w:b/>
          <w:bCs/>
        </w:rPr>
        <w:t>8</w:t>
      </w:r>
      <w:r w:rsidR="007B27B0" w:rsidRPr="00462EDC">
        <w:rPr>
          <w:b/>
          <w:bCs/>
        </w:rPr>
        <w:t>2</w:t>
      </w:r>
      <w:r w:rsidRPr="00462EDC">
        <w:rPr>
          <w:b/>
          <w:bCs/>
        </w:rPr>
        <w:t>.</w:t>
      </w:r>
      <w:r w:rsidR="00784C05" w:rsidRPr="00462EDC">
        <w:rPr>
          <w:b/>
          <w:bCs/>
        </w:rPr>
        <w:t>2</w:t>
      </w:r>
      <w:r w:rsidR="007B27B0" w:rsidRPr="00462EDC">
        <w:rPr>
          <w:b/>
          <w:bCs/>
        </w:rPr>
        <w:t>23</w:t>
      </w:r>
      <w:r w:rsidRPr="009C3A3E">
        <w:t>, lo que implica u</w:t>
      </w:r>
      <w:r>
        <w:t>n</w:t>
      </w:r>
      <w:r w:rsidR="00784C05">
        <w:t>a</w:t>
      </w:r>
      <w:r>
        <w:t xml:space="preserve"> </w:t>
      </w:r>
      <w:r w:rsidR="00784C05">
        <w:t xml:space="preserve">disminución </w:t>
      </w:r>
      <w:r>
        <w:t xml:space="preserve">en términos reales de un </w:t>
      </w:r>
      <w:r w:rsidR="007B27B0">
        <w:t>2</w:t>
      </w:r>
      <w:r w:rsidR="00784C05">
        <w:t>,</w:t>
      </w:r>
      <w:r w:rsidR="007B27B0">
        <w:t>6</w:t>
      </w:r>
      <w:r>
        <w:t xml:space="preserve">% comparado con </w:t>
      </w:r>
      <w:r w:rsidR="007B27B0">
        <w:t>junio</w:t>
      </w:r>
      <w:r w:rsidR="00E16D68">
        <w:t xml:space="preserve"> de 2023</w:t>
      </w:r>
      <w:r>
        <w:t>.</w:t>
      </w:r>
    </w:p>
    <w:sectPr w:rsidR="00C04A81" w:rsidRPr="00A8111D" w:rsidSect="00A642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BB0A" w14:textId="77777777" w:rsidR="007562E2" w:rsidRDefault="007562E2" w:rsidP="00FD382C">
      <w:r>
        <w:separator/>
      </w:r>
    </w:p>
  </w:endnote>
  <w:endnote w:type="continuationSeparator" w:id="0">
    <w:p w14:paraId="55C872D6" w14:textId="77777777" w:rsidR="007562E2" w:rsidRDefault="007562E2" w:rsidP="00FD382C">
      <w:r>
        <w:continuationSeparator/>
      </w:r>
    </w:p>
  </w:endnote>
  <w:endnote w:type="continuationNotice" w:id="1">
    <w:p w14:paraId="0B2C97EF" w14:textId="77777777" w:rsidR="007562E2" w:rsidRDefault="007562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3904" w14:textId="77777777" w:rsidR="005C1BA4" w:rsidRDefault="005C1B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8999" w14:textId="77777777" w:rsidR="005C1BA4" w:rsidRDefault="005C1B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742E" w14:textId="77777777" w:rsidR="007562E2" w:rsidRDefault="007562E2" w:rsidP="00FD382C">
      <w:r>
        <w:separator/>
      </w:r>
    </w:p>
  </w:footnote>
  <w:footnote w:type="continuationSeparator" w:id="0">
    <w:p w14:paraId="1DB180F1" w14:textId="77777777" w:rsidR="007562E2" w:rsidRDefault="007562E2" w:rsidP="00FD382C">
      <w:r>
        <w:continuationSeparator/>
      </w:r>
    </w:p>
  </w:footnote>
  <w:footnote w:type="continuationNotice" w:id="1">
    <w:p w14:paraId="1A5940EE" w14:textId="77777777" w:rsidR="007562E2" w:rsidRDefault="007562E2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  <w:footnote w:id="3">
    <w:p w14:paraId="2B9C0A4F" w14:textId="64894078" w:rsidR="006A3669" w:rsidRDefault="006A366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B1A64">
        <w:t xml:space="preserve">Los </w:t>
      </w:r>
      <w:r w:rsidR="0078747A">
        <w:t xml:space="preserve">que aparecen en la Tabla </w:t>
      </w:r>
      <w:r w:rsidR="00097D7B">
        <w:t>N°2</w:t>
      </w:r>
      <w:r w:rsidR="00D73FE2">
        <w:t xml:space="preserve">, a </w:t>
      </w:r>
      <w:r w:rsidR="003D4F93">
        <w:t>excepción de Marina del Sol Calama</w:t>
      </w:r>
      <w:r w:rsidR="006C14DC">
        <w:t>,</w:t>
      </w:r>
      <w:r w:rsidR="00847985" w:rsidRPr="00847985">
        <w:t xml:space="preserve"> pagan su Oferta Económica de manera mensual, ya que esta sobrepasa el </w:t>
      </w:r>
      <w:r w:rsidR="00AB0526">
        <w:t>1</w:t>
      </w:r>
      <w:r w:rsidR="00847985" w:rsidRPr="00847985">
        <w:t>5% de sus ingresos brutos del juego, o es superior a 70.000 UF, de acuerdo con el artículo 15 del Decreto N°1722 del Ministerio de Hacienda, de 2015 (Reglamento para la tramitación y otorgamiento de permisos de operación de casinos de juego).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2744" w14:textId="77777777" w:rsidR="005C1BA4" w:rsidRDefault="005C1B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6C088414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5C1BA4">
      <w:rPr>
        <w:b/>
      </w:rPr>
      <w:t xml:space="preserve">Lunes 12 </w:t>
    </w:r>
    <w:r w:rsidR="00FF7492">
      <w:rPr>
        <w:b/>
      </w:rPr>
      <w:t xml:space="preserve">de </w:t>
    </w:r>
    <w:r w:rsidR="008620C6">
      <w:rPr>
        <w:b/>
      </w:rPr>
      <w:t>agost</w:t>
    </w:r>
    <w:r w:rsidR="00A46979">
      <w:rPr>
        <w:b/>
      </w:rPr>
      <w:t>o</w:t>
    </w:r>
    <w:r w:rsidR="00FF7492">
      <w:rPr>
        <w:b/>
      </w:rPr>
      <w:t xml:space="preserve"> de 2024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A355" w14:textId="77777777" w:rsidR="005C1BA4" w:rsidRDefault="005C1B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EA"/>
    <w:rsid w:val="00002D5E"/>
    <w:rsid w:val="00005C35"/>
    <w:rsid w:val="0000694C"/>
    <w:rsid w:val="00010609"/>
    <w:rsid w:val="00010D78"/>
    <w:rsid w:val="00021F07"/>
    <w:rsid w:val="000249BB"/>
    <w:rsid w:val="0003225F"/>
    <w:rsid w:val="000414C4"/>
    <w:rsid w:val="0004531A"/>
    <w:rsid w:val="0005196B"/>
    <w:rsid w:val="00053038"/>
    <w:rsid w:val="00053162"/>
    <w:rsid w:val="0005531F"/>
    <w:rsid w:val="00060233"/>
    <w:rsid w:val="00060DE8"/>
    <w:rsid w:val="000627B3"/>
    <w:rsid w:val="00063D7F"/>
    <w:rsid w:val="00066507"/>
    <w:rsid w:val="000666F7"/>
    <w:rsid w:val="00067327"/>
    <w:rsid w:val="00070A8B"/>
    <w:rsid w:val="00070FBD"/>
    <w:rsid w:val="00072032"/>
    <w:rsid w:val="00082A4E"/>
    <w:rsid w:val="00083908"/>
    <w:rsid w:val="00084551"/>
    <w:rsid w:val="00084B20"/>
    <w:rsid w:val="00097898"/>
    <w:rsid w:val="00097D7B"/>
    <w:rsid w:val="000A0B15"/>
    <w:rsid w:val="000A4502"/>
    <w:rsid w:val="000A4A0D"/>
    <w:rsid w:val="000A7117"/>
    <w:rsid w:val="000B047B"/>
    <w:rsid w:val="000B159F"/>
    <w:rsid w:val="000B15D8"/>
    <w:rsid w:val="000B16EA"/>
    <w:rsid w:val="000B17B6"/>
    <w:rsid w:val="000B1BF6"/>
    <w:rsid w:val="000B22E7"/>
    <w:rsid w:val="000B492F"/>
    <w:rsid w:val="000B5294"/>
    <w:rsid w:val="000B5535"/>
    <w:rsid w:val="000B71FE"/>
    <w:rsid w:val="000C1CF5"/>
    <w:rsid w:val="000C25C4"/>
    <w:rsid w:val="000C3DDF"/>
    <w:rsid w:val="000C49A9"/>
    <w:rsid w:val="000C7455"/>
    <w:rsid w:val="000D1DA8"/>
    <w:rsid w:val="000D30DC"/>
    <w:rsid w:val="000D553D"/>
    <w:rsid w:val="000D6BF6"/>
    <w:rsid w:val="000D786C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244DC"/>
    <w:rsid w:val="00130C0E"/>
    <w:rsid w:val="00134171"/>
    <w:rsid w:val="0013621F"/>
    <w:rsid w:val="0013734D"/>
    <w:rsid w:val="00146B10"/>
    <w:rsid w:val="00152CF7"/>
    <w:rsid w:val="00156507"/>
    <w:rsid w:val="00157391"/>
    <w:rsid w:val="0016144B"/>
    <w:rsid w:val="00161F8D"/>
    <w:rsid w:val="00171452"/>
    <w:rsid w:val="001723D4"/>
    <w:rsid w:val="00172CAF"/>
    <w:rsid w:val="0017349B"/>
    <w:rsid w:val="00181717"/>
    <w:rsid w:val="00181AB5"/>
    <w:rsid w:val="00182F1C"/>
    <w:rsid w:val="00184005"/>
    <w:rsid w:val="0018689C"/>
    <w:rsid w:val="00186B7F"/>
    <w:rsid w:val="001914DF"/>
    <w:rsid w:val="00196290"/>
    <w:rsid w:val="001A0CCF"/>
    <w:rsid w:val="001A472E"/>
    <w:rsid w:val="001A595F"/>
    <w:rsid w:val="001B0ED5"/>
    <w:rsid w:val="001C0AC0"/>
    <w:rsid w:val="001C606D"/>
    <w:rsid w:val="001C6139"/>
    <w:rsid w:val="001D0CF5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268B5"/>
    <w:rsid w:val="00231FE9"/>
    <w:rsid w:val="00234145"/>
    <w:rsid w:val="002406D6"/>
    <w:rsid w:val="0024108D"/>
    <w:rsid w:val="00241D66"/>
    <w:rsid w:val="00242E1D"/>
    <w:rsid w:val="002469A6"/>
    <w:rsid w:val="00252772"/>
    <w:rsid w:val="00252AF5"/>
    <w:rsid w:val="002542B1"/>
    <w:rsid w:val="00255940"/>
    <w:rsid w:val="00260B0D"/>
    <w:rsid w:val="00264447"/>
    <w:rsid w:val="00265A30"/>
    <w:rsid w:val="00271B88"/>
    <w:rsid w:val="00274F17"/>
    <w:rsid w:val="0027564E"/>
    <w:rsid w:val="0027633E"/>
    <w:rsid w:val="0028027D"/>
    <w:rsid w:val="00281327"/>
    <w:rsid w:val="002814E3"/>
    <w:rsid w:val="002815D7"/>
    <w:rsid w:val="00286C33"/>
    <w:rsid w:val="00290D7F"/>
    <w:rsid w:val="0029274A"/>
    <w:rsid w:val="00292769"/>
    <w:rsid w:val="00292878"/>
    <w:rsid w:val="002936C4"/>
    <w:rsid w:val="00297F7C"/>
    <w:rsid w:val="002A3822"/>
    <w:rsid w:val="002A4738"/>
    <w:rsid w:val="002B2B3F"/>
    <w:rsid w:val="002B3DB3"/>
    <w:rsid w:val="002B5C3A"/>
    <w:rsid w:val="002C1871"/>
    <w:rsid w:val="002C1CD9"/>
    <w:rsid w:val="002C1DBE"/>
    <w:rsid w:val="002C3586"/>
    <w:rsid w:val="002C3DCB"/>
    <w:rsid w:val="002C5E7D"/>
    <w:rsid w:val="002D141C"/>
    <w:rsid w:val="002D189D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474B"/>
    <w:rsid w:val="0031661E"/>
    <w:rsid w:val="003232A7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0619"/>
    <w:rsid w:val="00362CA4"/>
    <w:rsid w:val="00364524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3465"/>
    <w:rsid w:val="00385B98"/>
    <w:rsid w:val="003861DA"/>
    <w:rsid w:val="00387E7B"/>
    <w:rsid w:val="00396921"/>
    <w:rsid w:val="00396B60"/>
    <w:rsid w:val="003A0DBE"/>
    <w:rsid w:val="003A0FB4"/>
    <w:rsid w:val="003A39E3"/>
    <w:rsid w:val="003A4081"/>
    <w:rsid w:val="003A4D71"/>
    <w:rsid w:val="003A7E46"/>
    <w:rsid w:val="003B0C64"/>
    <w:rsid w:val="003B0F5C"/>
    <w:rsid w:val="003B0FF3"/>
    <w:rsid w:val="003B22B3"/>
    <w:rsid w:val="003B2794"/>
    <w:rsid w:val="003B6933"/>
    <w:rsid w:val="003C18CD"/>
    <w:rsid w:val="003C4894"/>
    <w:rsid w:val="003C4909"/>
    <w:rsid w:val="003C690E"/>
    <w:rsid w:val="003C6B7D"/>
    <w:rsid w:val="003C6D16"/>
    <w:rsid w:val="003D0089"/>
    <w:rsid w:val="003D02FA"/>
    <w:rsid w:val="003D15B6"/>
    <w:rsid w:val="003D2089"/>
    <w:rsid w:val="003D3437"/>
    <w:rsid w:val="003D3765"/>
    <w:rsid w:val="003D4F93"/>
    <w:rsid w:val="003D5467"/>
    <w:rsid w:val="003D6DD3"/>
    <w:rsid w:val="003D7007"/>
    <w:rsid w:val="003E14B0"/>
    <w:rsid w:val="003E4928"/>
    <w:rsid w:val="003E7430"/>
    <w:rsid w:val="003F02B0"/>
    <w:rsid w:val="003F05FA"/>
    <w:rsid w:val="003F154F"/>
    <w:rsid w:val="003F334D"/>
    <w:rsid w:val="003F35F6"/>
    <w:rsid w:val="003F4F95"/>
    <w:rsid w:val="003F6D39"/>
    <w:rsid w:val="004006B4"/>
    <w:rsid w:val="00400831"/>
    <w:rsid w:val="004044A8"/>
    <w:rsid w:val="00404CEA"/>
    <w:rsid w:val="004077AE"/>
    <w:rsid w:val="0041118A"/>
    <w:rsid w:val="00411580"/>
    <w:rsid w:val="00414497"/>
    <w:rsid w:val="00414CED"/>
    <w:rsid w:val="00415F4C"/>
    <w:rsid w:val="00421272"/>
    <w:rsid w:val="00422641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2EDC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1BDE"/>
    <w:rsid w:val="004942E1"/>
    <w:rsid w:val="00496A03"/>
    <w:rsid w:val="00497859"/>
    <w:rsid w:val="004A620A"/>
    <w:rsid w:val="004B3B37"/>
    <w:rsid w:val="004B5E4A"/>
    <w:rsid w:val="004C5EE7"/>
    <w:rsid w:val="004C761E"/>
    <w:rsid w:val="004D084F"/>
    <w:rsid w:val="004D351E"/>
    <w:rsid w:val="004D3E92"/>
    <w:rsid w:val="004D3F62"/>
    <w:rsid w:val="004D4205"/>
    <w:rsid w:val="004D608D"/>
    <w:rsid w:val="004D618C"/>
    <w:rsid w:val="004E6E42"/>
    <w:rsid w:val="004F39F9"/>
    <w:rsid w:val="004F4336"/>
    <w:rsid w:val="004F66A2"/>
    <w:rsid w:val="004F674A"/>
    <w:rsid w:val="005004A0"/>
    <w:rsid w:val="005009A7"/>
    <w:rsid w:val="00501B39"/>
    <w:rsid w:val="00502A0B"/>
    <w:rsid w:val="005078D5"/>
    <w:rsid w:val="00513F0E"/>
    <w:rsid w:val="00516917"/>
    <w:rsid w:val="0052553D"/>
    <w:rsid w:val="0052644D"/>
    <w:rsid w:val="005270A6"/>
    <w:rsid w:val="005304CD"/>
    <w:rsid w:val="005305FC"/>
    <w:rsid w:val="00535567"/>
    <w:rsid w:val="00536AD9"/>
    <w:rsid w:val="0054215E"/>
    <w:rsid w:val="00543268"/>
    <w:rsid w:val="00543E0C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A4531"/>
    <w:rsid w:val="005B01F2"/>
    <w:rsid w:val="005B1CCB"/>
    <w:rsid w:val="005B279E"/>
    <w:rsid w:val="005B3F73"/>
    <w:rsid w:val="005C1BA4"/>
    <w:rsid w:val="005C3AFE"/>
    <w:rsid w:val="005C3CAF"/>
    <w:rsid w:val="005C443C"/>
    <w:rsid w:val="005C4CB2"/>
    <w:rsid w:val="005C55B0"/>
    <w:rsid w:val="005D1221"/>
    <w:rsid w:val="005D4916"/>
    <w:rsid w:val="005E3C1F"/>
    <w:rsid w:val="005F0263"/>
    <w:rsid w:val="005F17F7"/>
    <w:rsid w:val="005F2731"/>
    <w:rsid w:val="005F2D33"/>
    <w:rsid w:val="005F7BC7"/>
    <w:rsid w:val="006022DC"/>
    <w:rsid w:val="00603448"/>
    <w:rsid w:val="00604C42"/>
    <w:rsid w:val="00604E41"/>
    <w:rsid w:val="00611B01"/>
    <w:rsid w:val="006124CA"/>
    <w:rsid w:val="00616099"/>
    <w:rsid w:val="00617387"/>
    <w:rsid w:val="00620E4A"/>
    <w:rsid w:val="00622692"/>
    <w:rsid w:val="00625D82"/>
    <w:rsid w:val="00631D68"/>
    <w:rsid w:val="006320E4"/>
    <w:rsid w:val="00633612"/>
    <w:rsid w:val="006343C2"/>
    <w:rsid w:val="00634709"/>
    <w:rsid w:val="00635BF0"/>
    <w:rsid w:val="006379E8"/>
    <w:rsid w:val="006406BF"/>
    <w:rsid w:val="00642CAD"/>
    <w:rsid w:val="00643409"/>
    <w:rsid w:val="00650542"/>
    <w:rsid w:val="0065128C"/>
    <w:rsid w:val="0065648C"/>
    <w:rsid w:val="0065682B"/>
    <w:rsid w:val="0066107D"/>
    <w:rsid w:val="00663804"/>
    <w:rsid w:val="00664DC9"/>
    <w:rsid w:val="00670528"/>
    <w:rsid w:val="00670C50"/>
    <w:rsid w:val="006717A5"/>
    <w:rsid w:val="006735A6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3669"/>
    <w:rsid w:val="006A3811"/>
    <w:rsid w:val="006A4494"/>
    <w:rsid w:val="006A7C2D"/>
    <w:rsid w:val="006A7C49"/>
    <w:rsid w:val="006B0280"/>
    <w:rsid w:val="006B1A64"/>
    <w:rsid w:val="006B63F1"/>
    <w:rsid w:val="006C14DC"/>
    <w:rsid w:val="006C2E93"/>
    <w:rsid w:val="006C4644"/>
    <w:rsid w:val="006C4C1B"/>
    <w:rsid w:val="006D0D1F"/>
    <w:rsid w:val="006D1E4D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1B24"/>
    <w:rsid w:val="00702836"/>
    <w:rsid w:val="00703015"/>
    <w:rsid w:val="00712059"/>
    <w:rsid w:val="00720BD2"/>
    <w:rsid w:val="00723555"/>
    <w:rsid w:val="00727247"/>
    <w:rsid w:val="0072731F"/>
    <w:rsid w:val="00727D75"/>
    <w:rsid w:val="00731D61"/>
    <w:rsid w:val="00731F65"/>
    <w:rsid w:val="0073400A"/>
    <w:rsid w:val="007348DB"/>
    <w:rsid w:val="007357BF"/>
    <w:rsid w:val="007368D5"/>
    <w:rsid w:val="0073758F"/>
    <w:rsid w:val="0074007A"/>
    <w:rsid w:val="0074011F"/>
    <w:rsid w:val="007405AD"/>
    <w:rsid w:val="0074512F"/>
    <w:rsid w:val="00745755"/>
    <w:rsid w:val="00750625"/>
    <w:rsid w:val="007537E1"/>
    <w:rsid w:val="007562E2"/>
    <w:rsid w:val="00756B18"/>
    <w:rsid w:val="00765889"/>
    <w:rsid w:val="007735DC"/>
    <w:rsid w:val="00773FDD"/>
    <w:rsid w:val="00774921"/>
    <w:rsid w:val="0077523F"/>
    <w:rsid w:val="00784C05"/>
    <w:rsid w:val="0078747A"/>
    <w:rsid w:val="00787820"/>
    <w:rsid w:val="00790E9F"/>
    <w:rsid w:val="00794A0B"/>
    <w:rsid w:val="007A2C4B"/>
    <w:rsid w:val="007A3DC5"/>
    <w:rsid w:val="007B126C"/>
    <w:rsid w:val="007B27B0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1F85"/>
    <w:rsid w:val="00842039"/>
    <w:rsid w:val="00842993"/>
    <w:rsid w:val="00847985"/>
    <w:rsid w:val="008620C6"/>
    <w:rsid w:val="00864D11"/>
    <w:rsid w:val="008659CE"/>
    <w:rsid w:val="00871017"/>
    <w:rsid w:val="00871A54"/>
    <w:rsid w:val="00877A61"/>
    <w:rsid w:val="0088217E"/>
    <w:rsid w:val="00884744"/>
    <w:rsid w:val="00885B46"/>
    <w:rsid w:val="00886869"/>
    <w:rsid w:val="0089072C"/>
    <w:rsid w:val="00890A7F"/>
    <w:rsid w:val="00893FC1"/>
    <w:rsid w:val="00895DCC"/>
    <w:rsid w:val="008A2F22"/>
    <w:rsid w:val="008A4B8A"/>
    <w:rsid w:val="008B10E9"/>
    <w:rsid w:val="008B14B4"/>
    <w:rsid w:val="008B6A07"/>
    <w:rsid w:val="008B6C22"/>
    <w:rsid w:val="008B72D9"/>
    <w:rsid w:val="008C47DE"/>
    <w:rsid w:val="008C51CA"/>
    <w:rsid w:val="008C54E0"/>
    <w:rsid w:val="008C63FE"/>
    <w:rsid w:val="008C64E6"/>
    <w:rsid w:val="008D407F"/>
    <w:rsid w:val="008D5D84"/>
    <w:rsid w:val="008E2693"/>
    <w:rsid w:val="008E2767"/>
    <w:rsid w:val="008E3F28"/>
    <w:rsid w:val="008E4248"/>
    <w:rsid w:val="008E77B2"/>
    <w:rsid w:val="008F6621"/>
    <w:rsid w:val="00901177"/>
    <w:rsid w:val="0090171B"/>
    <w:rsid w:val="00901F44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46C1"/>
    <w:rsid w:val="009368BF"/>
    <w:rsid w:val="00936EAE"/>
    <w:rsid w:val="009427C4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508B"/>
    <w:rsid w:val="00965B96"/>
    <w:rsid w:val="00966133"/>
    <w:rsid w:val="009670FC"/>
    <w:rsid w:val="009703D7"/>
    <w:rsid w:val="00974918"/>
    <w:rsid w:val="00975153"/>
    <w:rsid w:val="00976A8E"/>
    <w:rsid w:val="00982E0D"/>
    <w:rsid w:val="00984B54"/>
    <w:rsid w:val="009858E3"/>
    <w:rsid w:val="00990053"/>
    <w:rsid w:val="00990617"/>
    <w:rsid w:val="00991AC4"/>
    <w:rsid w:val="00992425"/>
    <w:rsid w:val="00993795"/>
    <w:rsid w:val="0099477F"/>
    <w:rsid w:val="00995972"/>
    <w:rsid w:val="009A098F"/>
    <w:rsid w:val="009A5B96"/>
    <w:rsid w:val="009B0FCF"/>
    <w:rsid w:val="009B3B92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9F62C2"/>
    <w:rsid w:val="009F6620"/>
    <w:rsid w:val="00A03BA6"/>
    <w:rsid w:val="00A03CDF"/>
    <w:rsid w:val="00A03CE0"/>
    <w:rsid w:val="00A04699"/>
    <w:rsid w:val="00A04755"/>
    <w:rsid w:val="00A0576A"/>
    <w:rsid w:val="00A06F35"/>
    <w:rsid w:val="00A12283"/>
    <w:rsid w:val="00A1369B"/>
    <w:rsid w:val="00A139E6"/>
    <w:rsid w:val="00A148ED"/>
    <w:rsid w:val="00A14A88"/>
    <w:rsid w:val="00A17581"/>
    <w:rsid w:val="00A2116C"/>
    <w:rsid w:val="00A22215"/>
    <w:rsid w:val="00A23BD9"/>
    <w:rsid w:val="00A2663C"/>
    <w:rsid w:val="00A27E18"/>
    <w:rsid w:val="00A32C3B"/>
    <w:rsid w:val="00A32CD3"/>
    <w:rsid w:val="00A32D29"/>
    <w:rsid w:val="00A37DA2"/>
    <w:rsid w:val="00A41280"/>
    <w:rsid w:val="00A417B6"/>
    <w:rsid w:val="00A46979"/>
    <w:rsid w:val="00A51CDD"/>
    <w:rsid w:val="00A5263C"/>
    <w:rsid w:val="00A52FBC"/>
    <w:rsid w:val="00A541A3"/>
    <w:rsid w:val="00A55386"/>
    <w:rsid w:val="00A63E30"/>
    <w:rsid w:val="00A64238"/>
    <w:rsid w:val="00A667EF"/>
    <w:rsid w:val="00A713D8"/>
    <w:rsid w:val="00A71A63"/>
    <w:rsid w:val="00A729EA"/>
    <w:rsid w:val="00A73100"/>
    <w:rsid w:val="00A74B36"/>
    <w:rsid w:val="00A76162"/>
    <w:rsid w:val="00A805EF"/>
    <w:rsid w:val="00A80753"/>
    <w:rsid w:val="00A8087D"/>
    <w:rsid w:val="00A80DE9"/>
    <w:rsid w:val="00A8111D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05BB"/>
    <w:rsid w:val="00A91093"/>
    <w:rsid w:val="00A913BC"/>
    <w:rsid w:val="00A97A88"/>
    <w:rsid w:val="00AA1E4A"/>
    <w:rsid w:val="00AA4471"/>
    <w:rsid w:val="00AB0526"/>
    <w:rsid w:val="00AB3F6D"/>
    <w:rsid w:val="00AB6F7B"/>
    <w:rsid w:val="00AB79C6"/>
    <w:rsid w:val="00AB7EAD"/>
    <w:rsid w:val="00AC2749"/>
    <w:rsid w:val="00AC41DA"/>
    <w:rsid w:val="00AC671D"/>
    <w:rsid w:val="00AC7932"/>
    <w:rsid w:val="00AD0D6F"/>
    <w:rsid w:val="00AD1CF0"/>
    <w:rsid w:val="00AD2143"/>
    <w:rsid w:val="00AD2786"/>
    <w:rsid w:val="00AD51A3"/>
    <w:rsid w:val="00AE152A"/>
    <w:rsid w:val="00AE5679"/>
    <w:rsid w:val="00AE5A4F"/>
    <w:rsid w:val="00AE6006"/>
    <w:rsid w:val="00AF1989"/>
    <w:rsid w:val="00AF1B05"/>
    <w:rsid w:val="00AF3B55"/>
    <w:rsid w:val="00AF42BF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185B"/>
    <w:rsid w:val="00B32974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53C3"/>
    <w:rsid w:val="00B86E4A"/>
    <w:rsid w:val="00B93B36"/>
    <w:rsid w:val="00BA2C18"/>
    <w:rsid w:val="00BA3504"/>
    <w:rsid w:val="00BA46B3"/>
    <w:rsid w:val="00BA4CC3"/>
    <w:rsid w:val="00BA5ABA"/>
    <w:rsid w:val="00BA60A9"/>
    <w:rsid w:val="00BA7A93"/>
    <w:rsid w:val="00BB5CEA"/>
    <w:rsid w:val="00BB6F98"/>
    <w:rsid w:val="00BC029B"/>
    <w:rsid w:val="00BC21E6"/>
    <w:rsid w:val="00BC3A5E"/>
    <w:rsid w:val="00BC4BB8"/>
    <w:rsid w:val="00BD07F3"/>
    <w:rsid w:val="00BD4278"/>
    <w:rsid w:val="00BD5041"/>
    <w:rsid w:val="00BD6F02"/>
    <w:rsid w:val="00BE1CAF"/>
    <w:rsid w:val="00BE1CDC"/>
    <w:rsid w:val="00BE3DAE"/>
    <w:rsid w:val="00BE4A05"/>
    <w:rsid w:val="00BE4A8E"/>
    <w:rsid w:val="00BF1779"/>
    <w:rsid w:val="00BF43FB"/>
    <w:rsid w:val="00BF71A9"/>
    <w:rsid w:val="00C005EA"/>
    <w:rsid w:val="00C008E8"/>
    <w:rsid w:val="00C01232"/>
    <w:rsid w:val="00C019AE"/>
    <w:rsid w:val="00C01C2F"/>
    <w:rsid w:val="00C02FF9"/>
    <w:rsid w:val="00C03F8C"/>
    <w:rsid w:val="00C04A81"/>
    <w:rsid w:val="00C04E04"/>
    <w:rsid w:val="00C07548"/>
    <w:rsid w:val="00C130DC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56738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644B"/>
    <w:rsid w:val="00C973D6"/>
    <w:rsid w:val="00CA0964"/>
    <w:rsid w:val="00CA4C34"/>
    <w:rsid w:val="00CA4FF0"/>
    <w:rsid w:val="00CA557C"/>
    <w:rsid w:val="00CA6C7B"/>
    <w:rsid w:val="00CB0C72"/>
    <w:rsid w:val="00CB2C5D"/>
    <w:rsid w:val="00CB5765"/>
    <w:rsid w:val="00CC087F"/>
    <w:rsid w:val="00CC2C3C"/>
    <w:rsid w:val="00CC4008"/>
    <w:rsid w:val="00CC6392"/>
    <w:rsid w:val="00CC6B99"/>
    <w:rsid w:val="00CD5340"/>
    <w:rsid w:val="00CE05DF"/>
    <w:rsid w:val="00CE1E51"/>
    <w:rsid w:val="00CF05B4"/>
    <w:rsid w:val="00CF2067"/>
    <w:rsid w:val="00CF3270"/>
    <w:rsid w:val="00CF40BE"/>
    <w:rsid w:val="00CF513D"/>
    <w:rsid w:val="00CF5C17"/>
    <w:rsid w:val="00CF66DC"/>
    <w:rsid w:val="00CF73CD"/>
    <w:rsid w:val="00D02BB0"/>
    <w:rsid w:val="00D0788B"/>
    <w:rsid w:val="00D139AD"/>
    <w:rsid w:val="00D17B24"/>
    <w:rsid w:val="00D20310"/>
    <w:rsid w:val="00D212D7"/>
    <w:rsid w:val="00D2135A"/>
    <w:rsid w:val="00D214FD"/>
    <w:rsid w:val="00D24AE5"/>
    <w:rsid w:val="00D2557C"/>
    <w:rsid w:val="00D25673"/>
    <w:rsid w:val="00D31EE7"/>
    <w:rsid w:val="00D347ED"/>
    <w:rsid w:val="00D36F50"/>
    <w:rsid w:val="00D40033"/>
    <w:rsid w:val="00D42C6C"/>
    <w:rsid w:val="00D44B51"/>
    <w:rsid w:val="00D54C54"/>
    <w:rsid w:val="00D55FC7"/>
    <w:rsid w:val="00D6432E"/>
    <w:rsid w:val="00D64412"/>
    <w:rsid w:val="00D67977"/>
    <w:rsid w:val="00D702DD"/>
    <w:rsid w:val="00D72742"/>
    <w:rsid w:val="00D73FE2"/>
    <w:rsid w:val="00D854DF"/>
    <w:rsid w:val="00D9007C"/>
    <w:rsid w:val="00D93080"/>
    <w:rsid w:val="00D97301"/>
    <w:rsid w:val="00D97A3D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04484"/>
    <w:rsid w:val="00E0578F"/>
    <w:rsid w:val="00E068B3"/>
    <w:rsid w:val="00E15981"/>
    <w:rsid w:val="00E15A41"/>
    <w:rsid w:val="00E16D68"/>
    <w:rsid w:val="00E2119D"/>
    <w:rsid w:val="00E2370C"/>
    <w:rsid w:val="00E305E8"/>
    <w:rsid w:val="00E36BEB"/>
    <w:rsid w:val="00E40D37"/>
    <w:rsid w:val="00E43884"/>
    <w:rsid w:val="00E470DA"/>
    <w:rsid w:val="00E56427"/>
    <w:rsid w:val="00E57CA1"/>
    <w:rsid w:val="00E64DD6"/>
    <w:rsid w:val="00E660DE"/>
    <w:rsid w:val="00E6618E"/>
    <w:rsid w:val="00E701DB"/>
    <w:rsid w:val="00E71238"/>
    <w:rsid w:val="00E712D8"/>
    <w:rsid w:val="00E71417"/>
    <w:rsid w:val="00E737FC"/>
    <w:rsid w:val="00E7447C"/>
    <w:rsid w:val="00E75DEB"/>
    <w:rsid w:val="00E76DF5"/>
    <w:rsid w:val="00E76E1B"/>
    <w:rsid w:val="00E8098C"/>
    <w:rsid w:val="00E80D82"/>
    <w:rsid w:val="00E80F2B"/>
    <w:rsid w:val="00E810C5"/>
    <w:rsid w:val="00E810F9"/>
    <w:rsid w:val="00E850D1"/>
    <w:rsid w:val="00E8577C"/>
    <w:rsid w:val="00E86146"/>
    <w:rsid w:val="00E86429"/>
    <w:rsid w:val="00E90A3A"/>
    <w:rsid w:val="00E93805"/>
    <w:rsid w:val="00E9741E"/>
    <w:rsid w:val="00EA215D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214F"/>
    <w:rsid w:val="00ED4B7B"/>
    <w:rsid w:val="00ED4DB5"/>
    <w:rsid w:val="00ED60A3"/>
    <w:rsid w:val="00EE1D4A"/>
    <w:rsid w:val="00EE3264"/>
    <w:rsid w:val="00EE51F5"/>
    <w:rsid w:val="00EE656D"/>
    <w:rsid w:val="00EF14AA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225A6"/>
    <w:rsid w:val="00F2625F"/>
    <w:rsid w:val="00F30265"/>
    <w:rsid w:val="00F3199D"/>
    <w:rsid w:val="00F3483A"/>
    <w:rsid w:val="00F35AD0"/>
    <w:rsid w:val="00F35E80"/>
    <w:rsid w:val="00F41C39"/>
    <w:rsid w:val="00F46909"/>
    <w:rsid w:val="00F51E6B"/>
    <w:rsid w:val="00F62DFB"/>
    <w:rsid w:val="00F7324B"/>
    <w:rsid w:val="00F733DC"/>
    <w:rsid w:val="00F73810"/>
    <w:rsid w:val="00F762A7"/>
    <w:rsid w:val="00F764AE"/>
    <w:rsid w:val="00F824A6"/>
    <w:rsid w:val="00F83B6C"/>
    <w:rsid w:val="00F849F9"/>
    <w:rsid w:val="00F86774"/>
    <w:rsid w:val="00F86B6E"/>
    <w:rsid w:val="00F86F05"/>
    <w:rsid w:val="00F9112E"/>
    <w:rsid w:val="00F9221C"/>
    <w:rsid w:val="00F9341A"/>
    <w:rsid w:val="00F952B1"/>
    <w:rsid w:val="00F96FD7"/>
    <w:rsid w:val="00FA2C33"/>
    <w:rsid w:val="00FA3F21"/>
    <w:rsid w:val="00FA7824"/>
    <w:rsid w:val="00FA7A6B"/>
    <w:rsid w:val="00FB2921"/>
    <w:rsid w:val="00FB3D8B"/>
    <w:rsid w:val="00FB5931"/>
    <w:rsid w:val="00FB7412"/>
    <w:rsid w:val="00FC2F01"/>
    <w:rsid w:val="00FC76DD"/>
    <w:rsid w:val="00FD0394"/>
    <w:rsid w:val="00FD382C"/>
    <w:rsid w:val="00FD55D8"/>
    <w:rsid w:val="00FD6543"/>
    <w:rsid w:val="00FE3662"/>
    <w:rsid w:val="00FE65AC"/>
    <w:rsid w:val="00FE74AA"/>
    <w:rsid w:val="00FE77A9"/>
    <w:rsid w:val="00FF1CAB"/>
    <w:rsid w:val="00FF3C8C"/>
    <w:rsid w:val="00FF4515"/>
    <w:rsid w:val="00FF6157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docId w15:val="{CDF842DC-9C96-4B5E-9C43-6A1DB8A0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9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3eea91-e92d-4946-98cb-1f10ff758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CB87E09FC194D8066F061FB80382B" ma:contentTypeVersion="14" ma:contentTypeDescription="Create a new document." ma:contentTypeScope="" ma:versionID="4bcf01cfa6aca44763ddf581fa6e6766">
  <xsd:schema xmlns:xsd="http://www.w3.org/2001/XMLSchema" xmlns:xs="http://www.w3.org/2001/XMLSchema" xmlns:p="http://schemas.microsoft.com/office/2006/metadata/properties" xmlns:ns3="c53eea91-e92d-4946-98cb-1f10ff758948" xmlns:ns4="e02bb6a2-2d2a-479f-a8b4-bb18f3e7f83c" targetNamespace="http://schemas.microsoft.com/office/2006/metadata/properties" ma:root="true" ma:fieldsID="50604d97cf05e901d9d999d06199d352" ns3:_="" ns4:_="">
    <xsd:import namespace="c53eea91-e92d-4946-98cb-1f10ff758948"/>
    <xsd:import namespace="e02bb6a2-2d2a-479f-a8b4-bb18f3e7f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ea91-e92d-4946-98cb-1f10ff758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b6a2-2d2a-479f-a8b4-bb18f3e7f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A1EDC-D4C7-4AE3-B3E2-32965A71753A}">
  <ds:schemaRefs>
    <ds:schemaRef ds:uri="http://schemas.microsoft.com/office/2006/metadata/properties"/>
    <ds:schemaRef ds:uri="http://schemas.microsoft.com/office/infopath/2007/PartnerControls"/>
    <ds:schemaRef ds:uri="c53eea91-e92d-4946-98cb-1f10ff758948"/>
  </ds:schemaRefs>
</ds:datastoreItem>
</file>

<file path=customXml/itemProps3.xml><?xml version="1.0" encoding="utf-8"?>
<ds:datastoreItem xmlns:ds="http://schemas.openxmlformats.org/officeDocument/2006/customXml" ds:itemID="{98CEBAD1-1A65-42E3-9411-B16533E8B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B707C-9F65-4D7E-BED1-3C86B3943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eea91-e92d-4946-98cb-1f10ff758948"/>
    <ds:schemaRef ds:uri="e02bb6a2-2d2a-479f-a8b4-bb18f3e7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 Acosta</cp:lastModifiedBy>
  <cp:revision>3</cp:revision>
  <cp:lastPrinted>2019-08-27T16:47:00Z</cp:lastPrinted>
  <dcterms:created xsi:type="dcterms:W3CDTF">2024-08-12T12:49:00Z</dcterms:created>
  <dcterms:modified xsi:type="dcterms:W3CDTF">2024-08-12T12:49:00Z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0x010100F81CB87E09FC194D8066F061FB80382B</vt:lpwstr>
  </property>
</Properties>
</file>