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3E7B" w14:textId="56586B04" w:rsidR="00841503" w:rsidRPr="00497BA8" w:rsidRDefault="00841503" w:rsidP="00856847">
      <w:pPr>
        <w:rPr>
          <w:rFonts w:asciiTheme="majorHAnsi" w:hAnsiTheme="majorHAnsi" w:cstheme="majorHAnsi"/>
          <w:b/>
          <w:sz w:val="22"/>
          <w:szCs w:val="22"/>
        </w:rPr>
      </w:pPr>
      <w:r w:rsidRPr="00497BA8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08C4F0A0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474BE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921E7C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miércoles 11</w:t>
                            </w:r>
                            <w:r w:rsidR="0069658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de diciembre</w:t>
                            </w:r>
                            <w:r w:rsidR="00617159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de 2024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08C4F0A0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474BE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921E7C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miércoles 11</w:t>
                      </w:r>
                      <w:r w:rsidR="00696585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de diciembre</w:t>
                      </w:r>
                      <w:r w:rsidR="00617159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de 2024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03D9A" w14:textId="77777777" w:rsidR="00160907" w:rsidRPr="00497BA8" w:rsidRDefault="00160907" w:rsidP="00160907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D47AB1" w14:textId="63A9B74A" w:rsidR="00696585" w:rsidRPr="00696585" w:rsidRDefault="00696585" w:rsidP="00696585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CL"/>
        </w:rPr>
      </w:pPr>
      <w:r w:rsidRPr="00696585">
        <w:rPr>
          <w:rFonts w:asciiTheme="majorHAnsi" w:hAnsiTheme="majorHAnsi" w:cstheme="majorHAnsi"/>
          <w:b/>
          <w:bCs/>
          <w:sz w:val="28"/>
          <w:szCs w:val="28"/>
          <w:lang w:val="es-CL"/>
        </w:rPr>
        <w:t xml:space="preserve">Superintendencia inicia proceso de otorgamiento de permiso de operación para un cupo disponible </w:t>
      </w:r>
      <w:r w:rsidR="00921E7C">
        <w:rPr>
          <w:rFonts w:asciiTheme="majorHAnsi" w:hAnsiTheme="majorHAnsi" w:cstheme="majorHAnsi"/>
          <w:b/>
          <w:bCs/>
          <w:sz w:val="28"/>
          <w:szCs w:val="28"/>
          <w:lang w:val="es-CL"/>
        </w:rPr>
        <w:t>en la Región de Aysén</w:t>
      </w:r>
    </w:p>
    <w:p w14:paraId="1DC63B45" w14:textId="77777777" w:rsidR="00FF27B5" w:rsidRPr="00696585" w:rsidRDefault="00FF27B5" w:rsidP="009B7A65">
      <w:pPr>
        <w:jc w:val="both"/>
        <w:rPr>
          <w:rFonts w:asciiTheme="majorHAnsi" w:hAnsiTheme="majorHAnsi" w:cstheme="majorHAnsi"/>
          <w:b/>
          <w:sz w:val="28"/>
          <w:szCs w:val="28"/>
          <w:lang w:val="es-CL"/>
        </w:rPr>
      </w:pPr>
    </w:p>
    <w:p w14:paraId="1D2091D2" w14:textId="6B536FD8" w:rsidR="00696585" w:rsidRDefault="00E61894" w:rsidP="65F7B9C2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CL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Mediante </w:t>
      </w:r>
      <w:r w:rsidR="00696585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la Resolución Exenta N°9</w:t>
      </w:r>
      <w:r w:rsidR="00921E7C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29</w:t>
      </w:r>
      <w:r w:rsidR="00696585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del 0</w:t>
      </w:r>
      <w:r w:rsidR="00921E7C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4</w:t>
      </w:r>
      <w:r w:rsidR="00696585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de diciembre de 2024, la Superintendencia de Casinos de Juego (SCJ) inició un nuevo proceso de otorgamiento para un (1) permiso de operación de casino de juego </w:t>
      </w:r>
      <w:r w:rsidR="00921E7C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en la Región de Aysén</w:t>
      </w:r>
      <w:r w:rsidR="00696585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, en consideración al cupo que quedará disponible </w:t>
      </w:r>
      <w:r w:rsidR="5B3F25A0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producto del vencimiento del permiso </w:t>
      </w:r>
      <w:r w:rsidR="00AB38C5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autorizado a</w:t>
      </w:r>
      <w:r w:rsidR="5B3F25A0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la sociedad </w:t>
      </w:r>
      <w:r w:rsidR="00921E7C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Casino de Juegos Coyhaique</w:t>
      </w:r>
      <w:r w:rsidR="5B3F25A0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S.A.</w:t>
      </w:r>
      <w:r w:rsidR="00AB38C5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, </w:t>
      </w:r>
      <w:r w:rsidR="00E26E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en </w:t>
      </w:r>
      <w:r w:rsidR="00921E7C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abril</w:t>
      </w:r>
      <w:r w:rsidR="00696585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de 2027.</w:t>
      </w:r>
    </w:p>
    <w:p w14:paraId="131E39EC" w14:textId="77777777" w:rsidR="00696585" w:rsidRPr="00696585" w:rsidRDefault="00696585" w:rsidP="00696585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0586DA1E" w14:textId="2DE82433" w:rsidR="00696585" w:rsidRDefault="00E61894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C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Las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>bases técnicas</w:t>
      </w:r>
      <w:r w:rsidR="00D47FFA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,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así como </w:t>
      </w:r>
      <w:r w:rsidR="0077491E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también 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>e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>l</w:t>
      </w:r>
      <w:r w:rsidR="0077491E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S</w:t>
      </w:r>
      <w:r w:rsidR="0077491E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istema de Postulación de</w:t>
      </w:r>
      <w:r w:rsidR="00945943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Permisos de</w:t>
      </w:r>
      <w:r w:rsidR="0077491E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Operación de Casinos de Juego (SOPO)</w:t>
      </w:r>
      <w:r w:rsidR="0077491E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y su manual de uso, 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se podrán descargar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a través del siguiente link </w:t>
      </w:r>
      <w:hyperlink r:id="rId8" w:history="1">
        <w:r w:rsidR="00304403" w:rsidRPr="000E371D">
          <w:rPr>
            <w:rStyle w:val="Hipervnculo"/>
            <w:rFonts w:asciiTheme="majorHAnsi" w:hAnsiTheme="majorHAnsi" w:cstheme="majorHAnsi"/>
            <w:sz w:val="22"/>
            <w:szCs w:val="22"/>
            <w:lang w:val="es-CL"/>
          </w:rPr>
          <w:t>https://www.scj.gob.cl/procesos-de-la-industria/otorgamiento-de-permiso-de-operacion/2027</w:t>
        </w:r>
      </w:hyperlink>
      <w:r w:rsidR="00304403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del sitio web institucional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h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asta el </w:t>
      </w:r>
      <w:r w:rsidR="00921E7C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20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de abril de 2025.</w:t>
      </w:r>
    </w:p>
    <w:p w14:paraId="633344A6" w14:textId="77777777" w:rsidR="0077491E" w:rsidRDefault="0077491E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</w:p>
    <w:p w14:paraId="34F3ADAC" w14:textId="64971098" w:rsidR="00CD0620" w:rsidRDefault="00696585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De esta manera comienza la fase de preparación de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proyectos,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para lo cual los interesados </w:t>
      </w:r>
      <w:r w:rsidR="0077491E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en postular a un permiso de operación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cuentan con un plazo de </w:t>
      </w:r>
      <w:r w:rsidR="00F156E2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90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días hábiles hasta la entrega de 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éstos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en la 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audiencia </w:t>
      </w:r>
      <w:r w:rsidR="000D276A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de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Presentación de Ofertas Técnicas y Económicas, la que está programada para el 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lunes </w:t>
      </w:r>
      <w:r w:rsidR="00921E7C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21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de abril de 2025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, a las 10:00 horas, en las dependencias de la Superintendencia, ubicadas en Morandé N°360, piso 4, Santiago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.</w:t>
      </w:r>
    </w:p>
    <w:p w14:paraId="584302A1" w14:textId="07B2ECCF" w:rsidR="00D47FFA" w:rsidRDefault="00696585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 </w:t>
      </w:r>
      <w:r>
        <w:br/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Asimismo, en un plazo de diez días hábiles, 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es decir hasta el jueves </w:t>
      </w:r>
      <w:r w:rsidR="00821E59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2</w:t>
      </w:r>
      <w:r w:rsidR="003957E5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6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de diciembre de 2024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, se desarrollará el periodo de consultas y solicitud de aclaraciones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a las bases técnicas,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las que podrán realizarse a través del correo electrónico </w:t>
      </w:r>
      <w:hyperlink r:id="rId9" w:history="1">
        <w:r w:rsidR="0033765D" w:rsidRPr="00D82667">
          <w:rPr>
            <w:rStyle w:val="Hipervnculo"/>
            <w:rFonts w:asciiTheme="majorHAnsi" w:hAnsiTheme="majorHAnsi" w:cstheme="majorBidi"/>
            <w:sz w:val="22"/>
            <w:szCs w:val="22"/>
          </w:rPr>
          <w:t>consultasprocesoaysen@scj.gob.cl</w:t>
        </w:r>
      </w:hyperlink>
      <w:r w:rsidR="005D644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. En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tanto, la Superintendencia cuenta con un plazo de quince días para dar respuesta a las mismas.</w:t>
      </w:r>
    </w:p>
    <w:p w14:paraId="660F6583" w14:textId="77777777" w:rsidR="00E61894" w:rsidRDefault="00E61894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</w:p>
    <w:p w14:paraId="7C55EE2D" w14:textId="77777777" w:rsidR="00CD0620" w:rsidRDefault="00CD0620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ES"/>
        </w:rPr>
      </w:pPr>
    </w:p>
    <w:p w14:paraId="1DF1966D" w14:textId="77777777" w:rsidR="005D6442" w:rsidRDefault="005D6442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ES"/>
        </w:rPr>
      </w:pPr>
    </w:p>
    <w:p w14:paraId="51514C38" w14:textId="77777777" w:rsidR="00CD0620" w:rsidRPr="00E61894" w:rsidRDefault="00CD0620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ES"/>
        </w:rPr>
      </w:pPr>
    </w:p>
    <w:p w14:paraId="216A668D" w14:textId="26BD92B7" w:rsidR="00696585" w:rsidRDefault="00696585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CL"/>
        </w:rPr>
      </w:pPr>
    </w:p>
    <w:p w14:paraId="048491E4" w14:textId="77777777" w:rsidR="00D47FFA" w:rsidRPr="00696585" w:rsidRDefault="00D47FFA" w:rsidP="00E61894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60123B14" w14:textId="77777777" w:rsidR="00696585" w:rsidRPr="00696585" w:rsidRDefault="00696585" w:rsidP="00E61894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  <w:r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> </w:t>
      </w:r>
    </w:p>
    <w:p w14:paraId="4C524CA5" w14:textId="353A6AD1" w:rsidR="00856847" w:rsidRPr="00497BA8" w:rsidRDefault="00856847" w:rsidP="00696585">
      <w:pPr>
        <w:ind w:right="51"/>
        <w:jc w:val="both"/>
        <w:rPr>
          <w:rFonts w:asciiTheme="majorHAnsi" w:hAnsiTheme="majorHAnsi" w:cstheme="majorHAnsi"/>
          <w:sz w:val="22"/>
          <w:szCs w:val="22"/>
          <w:lang w:eastAsia="es-CL"/>
        </w:rPr>
      </w:pPr>
    </w:p>
    <w:sectPr w:rsidR="00856847" w:rsidRPr="00497BA8" w:rsidSect="00F94568">
      <w:headerReference w:type="default" r:id="rId10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83FA" w14:textId="77777777" w:rsidR="00A34C98" w:rsidRDefault="00A34C98" w:rsidP="00B15F33">
      <w:r>
        <w:separator/>
      </w:r>
    </w:p>
  </w:endnote>
  <w:endnote w:type="continuationSeparator" w:id="0">
    <w:p w14:paraId="548E8517" w14:textId="77777777" w:rsidR="00A34C98" w:rsidRDefault="00A34C98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32C1" w14:textId="77777777" w:rsidR="00A34C98" w:rsidRDefault="00A34C98" w:rsidP="00B15F33">
      <w:r>
        <w:separator/>
      </w:r>
    </w:p>
  </w:footnote>
  <w:footnote w:type="continuationSeparator" w:id="0">
    <w:p w14:paraId="0A084D0E" w14:textId="77777777" w:rsidR="00A34C98" w:rsidRDefault="00A34C98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1FDF8A1" wp14:editId="17380E36">
          <wp:extent cx="2489200" cy="673100"/>
          <wp:effectExtent l="0" t="0" r="0" b="12700"/>
          <wp:docPr id="6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10C73"/>
    <w:multiLevelType w:val="hybridMultilevel"/>
    <w:tmpl w:val="E8C67528"/>
    <w:lvl w:ilvl="0" w:tplc="1BE4612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2A7E4E46"/>
    <w:multiLevelType w:val="hybridMultilevel"/>
    <w:tmpl w:val="232A5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6982">
    <w:abstractNumId w:val="14"/>
  </w:num>
  <w:num w:numId="2" w16cid:durableId="1029452354">
    <w:abstractNumId w:val="10"/>
  </w:num>
  <w:num w:numId="3" w16cid:durableId="760681763">
    <w:abstractNumId w:val="9"/>
  </w:num>
  <w:num w:numId="4" w16cid:durableId="896748245">
    <w:abstractNumId w:val="16"/>
  </w:num>
  <w:num w:numId="5" w16cid:durableId="772283884">
    <w:abstractNumId w:val="11"/>
  </w:num>
  <w:num w:numId="6" w16cid:durableId="1097217756">
    <w:abstractNumId w:val="1"/>
  </w:num>
  <w:num w:numId="7" w16cid:durableId="190342267">
    <w:abstractNumId w:val="0"/>
  </w:num>
  <w:num w:numId="8" w16cid:durableId="1825925841">
    <w:abstractNumId w:val="15"/>
  </w:num>
  <w:num w:numId="9" w16cid:durableId="782503822">
    <w:abstractNumId w:val="6"/>
  </w:num>
  <w:num w:numId="10" w16cid:durableId="1597787968">
    <w:abstractNumId w:val="8"/>
  </w:num>
  <w:num w:numId="11" w16cid:durableId="14696902">
    <w:abstractNumId w:val="7"/>
  </w:num>
  <w:num w:numId="12" w16cid:durableId="2014674242">
    <w:abstractNumId w:val="13"/>
  </w:num>
  <w:num w:numId="13" w16cid:durableId="1324315637">
    <w:abstractNumId w:val="3"/>
  </w:num>
  <w:num w:numId="14" w16cid:durableId="629938957">
    <w:abstractNumId w:val="12"/>
  </w:num>
  <w:num w:numId="15" w16cid:durableId="946085316">
    <w:abstractNumId w:val="5"/>
  </w:num>
  <w:num w:numId="16" w16cid:durableId="1572734617">
    <w:abstractNumId w:val="2"/>
  </w:num>
  <w:num w:numId="17" w16cid:durableId="3797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1FE"/>
    <w:rsid w:val="00006B06"/>
    <w:rsid w:val="000100A1"/>
    <w:rsid w:val="00014FFD"/>
    <w:rsid w:val="000156D7"/>
    <w:rsid w:val="000232D9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B4468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276A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5DA9"/>
    <w:rsid w:val="000F726E"/>
    <w:rsid w:val="00100410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7D3"/>
    <w:rsid w:val="00176C2A"/>
    <w:rsid w:val="001819F2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3C8B"/>
    <w:rsid w:val="001D56DF"/>
    <w:rsid w:val="001D6FC3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46A4C"/>
    <w:rsid w:val="00250560"/>
    <w:rsid w:val="00251BFE"/>
    <w:rsid w:val="00252A9B"/>
    <w:rsid w:val="00253365"/>
    <w:rsid w:val="00261CDD"/>
    <w:rsid w:val="00262F82"/>
    <w:rsid w:val="00266FCE"/>
    <w:rsid w:val="00267CA8"/>
    <w:rsid w:val="002705BB"/>
    <w:rsid w:val="00273D26"/>
    <w:rsid w:val="00274BB7"/>
    <w:rsid w:val="0028323D"/>
    <w:rsid w:val="00285CC9"/>
    <w:rsid w:val="0028641D"/>
    <w:rsid w:val="0029288A"/>
    <w:rsid w:val="00294CCD"/>
    <w:rsid w:val="00295D24"/>
    <w:rsid w:val="00297558"/>
    <w:rsid w:val="002A1032"/>
    <w:rsid w:val="002A6032"/>
    <w:rsid w:val="002B3F92"/>
    <w:rsid w:val="002B459C"/>
    <w:rsid w:val="002B4D97"/>
    <w:rsid w:val="002C1312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7B6"/>
    <w:rsid w:val="002F7F47"/>
    <w:rsid w:val="00304403"/>
    <w:rsid w:val="0030475B"/>
    <w:rsid w:val="00310938"/>
    <w:rsid w:val="00311B53"/>
    <w:rsid w:val="00313917"/>
    <w:rsid w:val="00313ABA"/>
    <w:rsid w:val="003146F9"/>
    <w:rsid w:val="00314C93"/>
    <w:rsid w:val="00317B44"/>
    <w:rsid w:val="00322B98"/>
    <w:rsid w:val="00322C9E"/>
    <w:rsid w:val="003240D8"/>
    <w:rsid w:val="003261DB"/>
    <w:rsid w:val="00326F68"/>
    <w:rsid w:val="003328EF"/>
    <w:rsid w:val="003335EF"/>
    <w:rsid w:val="0033380E"/>
    <w:rsid w:val="00334E5F"/>
    <w:rsid w:val="0033765D"/>
    <w:rsid w:val="0034300A"/>
    <w:rsid w:val="00343642"/>
    <w:rsid w:val="0035714B"/>
    <w:rsid w:val="0036086C"/>
    <w:rsid w:val="00365464"/>
    <w:rsid w:val="003665B8"/>
    <w:rsid w:val="00370C26"/>
    <w:rsid w:val="00380094"/>
    <w:rsid w:val="0038167A"/>
    <w:rsid w:val="0038183B"/>
    <w:rsid w:val="003866B2"/>
    <w:rsid w:val="00391F10"/>
    <w:rsid w:val="00392C95"/>
    <w:rsid w:val="003957E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12841"/>
    <w:rsid w:val="00417525"/>
    <w:rsid w:val="0042024E"/>
    <w:rsid w:val="0042196F"/>
    <w:rsid w:val="004226F3"/>
    <w:rsid w:val="00430277"/>
    <w:rsid w:val="00430BBF"/>
    <w:rsid w:val="00432B82"/>
    <w:rsid w:val="00440F37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A7F11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2F6A"/>
    <w:rsid w:val="005535A2"/>
    <w:rsid w:val="00554AAA"/>
    <w:rsid w:val="0055544F"/>
    <w:rsid w:val="00566478"/>
    <w:rsid w:val="005711FA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A03C2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06DB"/>
    <w:rsid w:val="005D4E66"/>
    <w:rsid w:val="005D63FE"/>
    <w:rsid w:val="005D6442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673B"/>
    <w:rsid w:val="00606F73"/>
    <w:rsid w:val="00611B7F"/>
    <w:rsid w:val="00611BF7"/>
    <w:rsid w:val="0061233D"/>
    <w:rsid w:val="00612595"/>
    <w:rsid w:val="00612843"/>
    <w:rsid w:val="00612946"/>
    <w:rsid w:val="006143E5"/>
    <w:rsid w:val="00614742"/>
    <w:rsid w:val="0061713D"/>
    <w:rsid w:val="00617159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585"/>
    <w:rsid w:val="00696C86"/>
    <w:rsid w:val="00696E7C"/>
    <w:rsid w:val="006A1743"/>
    <w:rsid w:val="006A2020"/>
    <w:rsid w:val="006A2B7F"/>
    <w:rsid w:val="006A4223"/>
    <w:rsid w:val="006A46F3"/>
    <w:rsid w:val="006A4CFF"/>
    <w:rsid w:val="006B2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09C4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319"/>
    <w:rsid w:val="00723D7F"/>
    <w:rsid w:val="00726C10"/>
    <w:rsid w:val="00726D2B"/>
    <w:rsid w:val="00731899"/>
    <w:rsid w:val="007333FF"/>
    <w:rsid w:val="007336AA"/>
    <w:rsid w:val="00741BF7"/>
    <w:rsid w:val="00742BBE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491E"/>
    <w:rsid w:val="007752B9"/>
    <w:rsid w:val="00775477"/>
    <w:rsid w:val="00775BC3"/>
    <w:rsid w:val="00775DCB"/>
    <w:rsid w:val="007817F7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7E7B"/>
    <w:rsid w:val="007E0A10"/>
    <w:rsid w:val="007E0C7E"/>
    <w:rsid w:val="007E2FB2"/>
    <w:rsid w:val="007E489C"/>
    <w:rsid w:val="007E6A3D"/>
    <w:rsid w:val="007F0F33"/>
    <w:rsid w:val="007F16E6"/>
    <w:rsid w:val="007F39BE"/>
    <w:rsid w:val="007F69FF"/>
    <w:rsid w:val="007F6D13"/>
    <w:rsid w:val="007F7F96"/>
    <w:rsid w:val="008004D4"/>
    <w:rsid w:val="00804EB4"/>
    <w:rsid w:val="008067D8"/>
    <w:rsid w:val="0080717E"/>
    <w:rsid w:val="00807FEA"/>
    <w:rsid w:val="00814FC9"/>
    <w:rsid w:val="0081611E"/>
    <w:rsid w:val="00817648"/>
    <w:rsid w:val="00817BB3"/>
    <w:rsid w:val="00821E59"/>
    <w:rsid w:val="00823186"/>
    <w:rsid w:val="00823C04"/>
    <w:rsid w:val="00830ABE"/>
    <w:rsid w:val="00830B4C"/>
    <w:rsid w:val="00831235"/>
    <w:rsid w:val="00831409"/>
    <w:rsid w:val="00831A50"/>
    <w:rsid w:val="008336FE"/>
    <w:rsid w:val="0083457C"/>
    <w:rsid w:val="0083547D"/>
    <w:rsid w:val="00835C8C"/>
    <w:rsid w:val="008364A1"/>
    <w:rsid w:val="00841503"/>
    <w:rsid w:val="0084307D"/>
    <w:rsid w:val="008430AA"/>
    <w:rsid w:val="0084434F"/>
    <w:rsid w:val="008459BC"/>
    <w:rsid w:val="008508EB"/>
    <w:rsid w:val="0085130B"/>
    <w:rsid w:val="0085380A"/>
    <w:rsid w:val="00855A1C"/>
    <w:rsid w:val="00856252"/>
    <w:rsid w:val="00856344"/>
    <w:rsid w:val="00856847"/>
    <w:rsid w:val="008624DC"/>
    <w:rsid w:val="008635C6"/>
    <w:rsid w:val="00866A83"/>
    <w:rsid w:val="00867861"/>
    <w:rsid w:val="008771B8"/>
    <w:rsid w:val="00881819"/>
    <w:rsid w:val="0088259B"/>
    <w:rsid w:val="00886D32"/>
    <w:rsid w:val="0089082D"/>
    <w:rsid w:val="0089218B"/>
    <w:rsid w:val="0089404A"/>
    <w:rsid w:val="008A2CA8"/>
    <w:rsid w:val="008A7152"/>
    <w:rsid w:val="008A739F"/>
    <w:rsid w:val="008B0AE0"/>
    <w:rsid w:val="008B17EB"/>
    <w:rsid w:val="008B2438"/>
    <w:rsid w:val="008C191D"/>
    <w:rsid w:val="008C1C9A"/>
    <w:rsid w:val="008C3BC7"/>
    <w:rsid w:val="008D2111"/>
    <w:rsid w:val="008D4433"/>
    <w:rsid w:val="008D562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28B"/>
    <w:rsid w:val="00900FDB"/>
    <w:rsid w:val="009024E3"/>
    <w:rsid w:val="00903D36"/>
    <w:rsid w:val="009048BD"/>
    <w:rsid w:val="00905553"/>
    <w:rsid w:val="00921C22"/>
    <w:rsid w:val="00921E7C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1323"/>
    <w:rsid w:val="009458D9"/>
    <w:rsid w:val="00945943"/>
    <w:rsid w:val="00946E80"/>
    <w:rsid w:val="009506DE"/>
    <w:rsid w:val="00952C6B"/>
    <w:rsid w:val="00954CFD"/>
    <w:rsid w:val="00954F2D"/>
    <w:rsid w:val="00956D34"/>
    <w:rsid w:val="00956DE4"/>
    <w:rsid w:val="00960986"/>
    <w:rsid w:val="00960DA5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5BE7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A65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D3FFD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BF5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4C98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490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8C5"/>
    <w:rsid w:val="00AB3FBE"/>
    <w:rsid w:val="00AB5F73"/>
    <w:rsid w:val="00AB61EA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D61CA"/>
    <w:rsid w:val="00AE2F0E"/>
    <w:rsid w:val="00AE364F"/>
    <w:rsid w:val="00AE3E34"/>
    <w:rsid w:val="00AF14A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2418"/>
    <w:rsid w:val="00B4278B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6569F"/>
    <w:rsid w:val="00B66DBF"/>
    <w:rsid w:val="00B745B9"/>
    <w:rsid w:val="00B8128E"/>
    <w:rsid w:val="00B84EBD"/>
    <w:rsid w:val="00B91395"/>
    <w:rsid w:val="00B96DEF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47EB"/>
    <w:rsid w:val="00BF77EE"/>
    <w:rsid w:val="00C00C89"/>
    <w:rsid w:val="00C04044"/>
    <w:rsid w:val="00C056BC"/>
    <w:rsid w:val="00C10F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474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31F6"/>
    <w:rsid w:val="00C74C28"/>
    <w:rsid w:val="00C9034A"/>
    <w:rsid w:val="00C93EF1"/>
    <w:rsid w:val="00C9676B"/>
    <w:rsid w:val="00CA0333"/>
    <w:rsid w:val="00CA6000"/>
    <w:rsid w:val="00CA6641"/>
    <w:rsid w:val="00CB10B8"/>
    <w:rsid w:val="00CB1A2B"/>
    <w:rsid w:val="00CB1C15"/>
    <w:rsid w:val="00CB1E5C"/>
    <w:rsid w:val="00CB5ED6"/>
    <w:rsid w:val="00CB74D0"/>
    <w:rsid w:val="00CC2A24"/>
    <w:rsid w:val="00CC324C"/>
    <w:rsid w:val="00CC4574"/>
    <w:rsid w:val="00CD0620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CF3402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6E5B"/>
    <w:rsid w:val="00D370E8"/>
    <w:rsid w:val="00D4056F"/>
    <w:rsid w:val="00D408F5"/>
    <w:rsid w:val="00D44AAD"/>
    <w:rsid w:val="00D47FFA"/>
    <w:rsid w:val="00D51CBA"/>
    <w:rsid w:val="00D5491F"/>
    <w:rsid w:val="00D55CDB"/>
    <w:rsid w:val="00D610AB"/>
    <w:rsid w:val="00D61D44"/>
    <w:rsid w:val="00D62446"/>
    <w:rsid w:val="00D63C8B"/>
    <w:rsid w:val="00D64351"/>
    <w:rsid w:val="00D6511B"/>
    <w:rsid w:val="00D71D30"/>
    <w:rsid w:val="00D71EE7"/>
    <w:rsid w:val="00D8195D"/>
    <w:rsid w:val="00D821E9"/>
    <w:rsid w:val="00D8351F"/>
    <w:rsid w:val="00D865C5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B4AD0"/>
    <w:rsid w:val="00DC0A32"/>
    <w:rsid w:val="00DD0439"/>
    <w:rsid w:val="00DD4455"/>
    <w:rsid w:val="00DD5E75"/>
    <w:rsid w:val="00DD5FC2"/>
    <w:rsid w:val="00DD60E0"/>
    <w:rsid w:val="00DE578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26E20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1894"/>
    <w:rsid w:val="00E62403"/>
    <w:rsid w:val="00E65C5C"/>
    <w:rsid w:val="00E71305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0329"/>
    <w:rsid w:val="00EA191F"/>
    <w:rsid w:val="00EA7EBD"/>
    <w:rsid w:val="00EB08D3"/>
    <w:rsid w:val="00EB26F9"/>
    <w:rsid w:val="00EB3479"/>
    <w:rsid w:val="00EB36C4"/>
    <w:rsid w:val="00EB4F31"/>
    <w:rsid w:val="00EC0E8A"/>
    <w:rsid w:val="00EC1BF0"/>
    <w:rsid w:val="00EC23FC"/>
    <w:rsid w:val="00EC410E"/>
    <w:rsid w:val="00EC446F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6A38"/>
    <w:rsid w:val="00F0748F"/>
    <w:rsid w:val="00F119AE"/>
    <w:rsid w:val="00F12EBE"/>
    <w:rsid w:val="00F1478D"/>
    <w:rsid w:val="00F156E2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452D9"/>
    <w:rsid w:val="00F556CD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4568"/>
    <w:rsid w:val="00FA1952"/>
    <w:rsid w:val="00FA388E"/>
    <w:rsid w:val="00FA5A0B"/>
    <w:rsid w:val="00FA6941"/>
    <w:rsid w:val="00FB0587"/>
    <w:rsid w:val="00FB074A"/>
    <w:rsid w:val="00FB42D9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129D"/>
    <w:rsid w:val="00FF23DF"/>
    <w:rsid w:val="00FF27B5"/>
    <w:rsid w:val="00FF423A"/>
    <w:rsid w:val="00FF46E3"/>
    <w:rsid w:val="00FF5697"/>
    <w:rsid w:val="116B72C3"/>
    <w:rsid w:val="28E758FC"/>
    <w:rsid w:val="3BCEA69E"/>
    <w:rsid w:val="5B3F25A0"/>
    <w:rsid w:val="65F7B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A5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eastAsia="Times New Roman" w:hAnsi="Cambria"/>
      <w:lang w:val="es-ES" w:eastAsia="es-ES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  <w:rPr>
      <w:rFonts w:eastAsia="Times New Roman"/>
      <w:lang w:val="es-ES" w:eastAsia="es-ES"/>
    </w:r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  <w:rPr>
      <w:rFonts w:eastAsia="Times New Roman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n1">
    <w:name w:val="Mención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  <w:rPr>
      <w:rFonts w:eastAsia="Times New Roman"/>
      <w:lang w:val="es-ES" w:eastAsia="es-ES"/>
    </w:r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4490"/>
    <w:rPr>
      <w:rFonts w:eastAsia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60DA5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B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2331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5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79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604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gob.cl/procesos-de-la-industria/otorgamiento-de-permiso-de-operacion/20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ltasprocesoaysen@scj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01E-45A4-4E04-8617-FEF643D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3</cp:revision>
  <cp:lastPrinted>2017-09-29T15:39:00Z</cp:lastPrinted>
  <dcterms:created xsi:type="dcterms:W3CDTF">2024-12-11T17:55:00Z</dcterms:created>
  <dcterms:modified xsi:type="dcterms:W3CDTF">2024-12-17T15:19:00Z</dcterms:modified>
</cp:coreProperties>
</file>