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CB9" w:rsidRDefault="00330CB9" w:rsidP="00B71602">
      <w:pPr>
        <w:rPr>
          <w:rFonts w:ascii="Arial" w:hAnsi="Arial" w:cs="Arial"/>
          <w:b/>
        </w:rPr>
      </w:pPr>
      <w:bookmarkStart w:id="0" w:name="_GoBack"/>
      <w:bookmarkEnd w:id="0"/>
    </w:p>
    <w:p w:rsidR="00974095" w:rsidRPr="00F174BA" w:rsidRDefault="00974095" w:rsidP="00A711D3">
      <w:pPr>
        <w:ind w:left="-600" w:firstLine="1308"/>
        <w:rPr>
          <w:rFonts w:ascii="Arial" w:hAnsi="Arial" w:cs="Arial"/>
          <w:b/>
        </w:rPr>
      </w:pPr>
    </w:p>
    <w:p w:rsidR="00330CB9" w:rsidRPr="00F174BA" w:rsidRDefault="00330CB9" w:rsidP="00330CB9">
      <w:pPr>
        <w:ind w:left="-600"/>
      </w:pPr>
    </w:p>
    <w:p w:rsidR="00330CB9" w:rsidRPr="00F174BA" w:rsidRDefault="00330CB9" w:rsidP="00330CB9">
      <w:pPr>
        <w:ind w:left="-600"/>
      </w:pPr>
    </w:p>
    <w:p w:rsidR="00330CB9" w:rsidRPr="007D1882" w:rsidRDefault="00B71602" w:rsidP="00330CB9">
      <w:pPr>
        <w:ind w:left="-600"/>
        <w:rPr>
          <w:rFonts w:ascii="Calibri" w:hAnsi="Calibri"/>
          <w:b/>
          <w:sz w:val="28"/>
          <w:szCs w:val="28"/>
        </w:rPr>
      </w:pPr>
      <w:r w:rsidRPr="007D1882">
        <w:rPr>
          <w:rFonts w:ascii="Calibri" w:hAnsi="Calibri"/>
          <w:b/>
          <w:sz w:val="28"/>
          <w:szCs w:val="28"/>
        </w:rPr>
        <w:t xml:space="preserve">           E6188/2015</w:t>
      </w:r>
    </w:p>
    <w:tbl>
      <w:tblPr>
        <w:tblW w:w="3480"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tblGrid>
      <w:tr w:rsidR="00330CB9" w:rsidRPr="006606AE" w:rsidTr="00FD192D">
        <w:tc>
          <w:tcPr>
            <w:tcW w:w="3480" w:type="dxa"/>
            <w:shd w:val="clear" w:color="auto" w:fill="auto"/>
          </w:tcPr>
          <w:p w:rsidR="00330CB9" w:rsidRPr="006606AE" w:rsidRDefault="00330CB9" w:rsidP="00FD192D">
            <w:pPr>
              <w:jc w:val="center"/>
              <w:rPr>
                <w:rFonts w:ascii="Arial" w:hAnsi="Arial"/>
                <w:b/>
                <w:sz w:val="20"/>
                <w:szCs w:val="20"/>
                <w:lang w:val="es-CL"/>
              </w:rPr>
            </w:pPr>
            <w:r w:rsidRPr="006606AE">
              <w:rPr>
                <w:rFonts w:ascii="Arial" w:hAnsi="Arial"/>
                <w:b/>
                <w:sz w:val="20"/>
                <w:szCs w:val="20"/>
                <w:lang w:val="es-CL"/>
              </w:rPr>
              <w:t>MINISTERIO DE  HACIENDA</w:t>
            </w:r>
          </w:p>
          <w:p w:rsidR="00330CB9" w:rsidRPr="006606AE" w:rsidRDefault="00330CB9" w:rsidP="00FD192D">
            <w:pPr>
              <w:jc w:val="center"/>
              <w:rPr>
                <w:rFonts w:ascii="Arial" w:hAnsi="Arial"/>
                <w:b/>
                <w:sz w:val="20"/>
                <w:szCs w:val="20"/>
                <w:lang w:val="es-CL"/>
              </w:rPr>
            </w:pPr>
            <w:r w:rsidRPr="006606AE">
              <w:rPr>
                <w:rFonts w:ascii="Arial" w:hAnsi="Arial"/>
                <w:b/>
                <w:sz w:val="20"/>
                <w:szCs w:val="20"/>
                <w:lang w:val="es-CL"/>
              </w:rPr>
              <w:t>OFICINA DE  PARTES</w:t>
            </w:r>
          </w:p>
          <w:p w:rsidR="00330CB9" w:rsidRPr="006606AE" w:rsidRDefault="00330CB9" w:rsidP="00FD192D">
            <w:pPr>
              <w:jc w:val="center"/>
              <w:rPr>
                <w:rFonts w:ascii="Arial" w:hAnsi="Arial"/>
                <w:b/>
                <w:sz w:val="20"/>
                <w:szCs w:val="20"/>
                <w:lang w:val="es-CL"/>
              </w:rPr>
            </w:pPr>
          </w:p>
          <w:p w:rsidR="00330CB9" w:rsidRPr="006606AE" w:rsidRDefault="00330CB9" w:rsidP="00FD192D">
            <w:pPr>
              <w:jc w:val="center"/>
              <w:rPr>
                <w:rFonts w:ascii="Arial" w:hAnsi="Arial"/>
                <w:b/>
                <w:sz w:val="20"/>
                <w:szCs w:val="20"/>
                <w:lang w:val="es-CL"/>
              </w:rPr>
            </w:pPr>
          </w:p>
          <w:p w:rsidR="00330CB9" w:rsidRPr="006606AE" w:rsidRDefault="00330CB9" w:rsidP="00FD192D">
            <w:pPr>
              <w:jc w:val="center"/>
              <w:rPr>
                <w:rFonts w:ascii="Arial" w:hAnsi="Arial"/>
                <w:b/>
                <w:sz w:val="20"/>
                <w:szCs w:val="20"/>
                <w:lang w:val="es-CL"/>
              </w:rPr>
            </w:pPr>
            <w:r w:rsidRPr="006606AE">
              <w:rPr>
                <w:rFonts w:ascii="Arial" w:hAnsi="Arial"/>
                <w:b/>
                <w:sz w:val="20"/>
                <w:szCs w:val="20"/>
                <w:lang w:val="es-CL"/>
              </w:rPr>
              <w:t>RECIBO</w:t>
            </w:r>
          </w:p>
        </w:tc>
      </w:tr>
    </w:tbl>
    <w:p w:rsidR="00330CB9" w:rsidRPr="00F174BA" w:rsidRDefault="00330CB9" w:rsidP="00330CB9">
      <w:pPr>
        <w:rPr>
          <w:lang w:val="es-CL"/>
        </w:rPr>
      </w:pPr>
    </w:p>
    <w:tbl>
      <w:tblPr>
        <w:tblW w:w="3480" w:type="dxa"/>
        <w:tblInd w:w="-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445"/>
        <w:gridCol w:w="1296"/>
      </w:tblGrid>
      <w:tr w:rsidR="00330CB9" w:rsidRPr="006606AE" w:rsidTr="00FD192D">
        <w:tc>
          <w:tcPr>
            <w:tcW w:w="3480" w:type="dxa"/>
            <w:gridSpan w:val="3"/>
            <w:shd w:val="clear" w:color="auto" w:fill="auto"/>
          </w:tcPr>
          <w:p w:rsidR="00330CB9" w:rsidRPr="006606AE" w:rsidRDefault="00330CB9" w:rsidP="00FD192D">
            <w:pPr>
              <w:jc w:val="center"/>
              <w:rPr>
                <w:rFonts w:ascii="Arial" w:hAnsi="Arial"/>
                <w:b/>
                <w:sz w:val="20"/>
                <w:szCs w:val="20"/>
                <w:lang w:val="es-CL"/>
              </w:rPr>
            </w:pPr>
            <w:r w:rsidRPr="006606AE">
              <w:rPr>
                <w:rFonts w:ascii="Arial" w:hAnsi="Arial"/>
                <w:b/>
                <w:sz w:val="20"/>
                <w:szCs w:val="20"/>
                <w:lang w:val="es-CL"/>
              </w:rPr>
              <w:t>CONTRALORIA GENERAL</w:t>
            </w:r>
          </w:p>
          <w:p w:rsidR="00330CB9" w:rsidRPr="006606AE" w:rsidRDefault="00330CB9" w:rsidP="00FD192D">
            <w:pPr>
              <w:jc w:val="center"/>
              <w:rPr>
                <w:rFonts w:ascii="Arial" w:hAnsi="Arial"/>
                <w:b/>
                <w:sz w:val="20"/>
                <w:szCs w:val="20"/>
                <w:lang w:val="es-CL"/>
              </w:rPr>
            </w:pPr>
            <w:r w:rsidRPr="006606AE">
              <w:rPr>
                <w:rFonts w:ascii="Arial" w:hAnsi="Arial"/>
                <w:b/>
                <w:sz w:val="20"/>
                <w:szCs w:val="20"/>
                <w:lang w:val="es-CL"/>
              </w:rPr>
              <w:t>TOMA DE  RAZON</w:t>
            </w:r>
          </w:p>
          <w:p w:rsidR="00330CB9" w:rsidRPr="006606AE" w:rsidRDefault="00330CB9" w:rsidP="00FD192D">
            <w:pPr>
              <w:jc w:val="center"/>
              <w:rPr>
                <w:rFonts w:ascii="Arial" w:hAnsi="Arial"/>
                <w:b/>
                <w:sz w:val="20"/>
                <w:szCs w:val="20"/>
                <w:lang w:val="es-CL"/>
              </w:rPr>
            </w:pPr>
          </w:p>
          <w:p w:rsidR="00330CB9" w:rsidRPr="006606AE" w:rsidRDefault="00330CB9" w:rsidP="00FD192D">
            <w:pPr>
              <w:jc w:val="center"/>
              <w:rPr>
                <w:rFonts w:ascii="Arial" w:hAnsi="Arial"/>
                <w:b/>
                <w:sz w:val="20"/>
                <w:szCs w:val="20"/>
                <w:lang w:val="es-CL"/>
              </w:rPr>
            </w:pPr>
          </w:p>
          <w:p w:rsidR="00330CB9" w:rsidRPr="006606AE" w:rsidRDefault="00330CB9" w:rsidP="00FD192D">
            <w:pPr>
              <w:jc w:val="center"/>
              <w:rPr>
                <w:rFonts w:ascii="Arial" w:hAnsi="Arial"/>
                <w:b/>
                <w:sz w:val="20"/>
                <w:szCs w:val="20"/>
                <w:lang w:val="es-CL"/>
              </w:rPr>
            </w:pPr>
          </w:p>
          <w:p w:rsidR="00330CB9" w:rsidRPr="006606AE" w:rsidRDefault="00330CB9" w:rsidP="00FD192D">
            <w:pPr>
              <w:jc w:val="center"/>
              <w:rPr>
                <w:rFonts w:ascii="Arial" w:hAnsi="Arial"/>
                <w:b/>
                <w:sz w:val="20"/>
                <w:szCs w:val="20"/>
                <w:lang w:val="es-CL"/>
              </w:rPr>
            </w:pPr>
            <w:r w:rsidRPr="006606AE">
              <w:rPr>
                <w:rFonts w:ascii="Arial" w:hAnsi="Arial"/>
                <w:b/>
                <w:sz w:val="20"/>
                <w:szCs w:val="20"/>
                <w:lang w:val="es-CL"/>
              </w:rPr>
              <w:t>RECEPCION</w:t>
            </w:r>
          </w:p>
        </w:tc>
      </w:tr>
      <w:tr w:rsidR="00330CB9" w:rsidRPr="006606AE" w:rsidTr="00FD192D">
        <w:trPr>
          <w:trHeight w:val="184"/>
        </w:trPr>
        <w:tc>
          <w:tcPr>
            <w:tcW w:w="1438" w:type="dxa"/>
            <w:vMerge w:val="restart"/>
            <w:shd w:val="clear" w:color="auto" w:fill="auto"/>
          </w:tcPr>
          <w:p w:rsidR="00330CB9" w:rsidRPr="006606AE" w:rsidRDefault="00330CB9" w:rsidP="00FD192D">
            <w:pPr>
              <w:jc w:val="center"/>
              <w:rPr>
                <w:rFonts w:ascii="Arial" w:hAnsi="Arial"/>
                <w:b/>
                <w:sz w:val="20"/>
                <w:szCs w:val="20"/>
                <w:lang w:val="es-CL"/>
              </w:rPr>
            </w:pPr>
            <w:r w:rsidRPr="006606AE">
              <w:rPr>
                <w:rFonts w:ascii="Arial" w:hAnsi="Arial"/>
                <w:b/>
                <w:sz w:val="20"/>
                <w:szCs w:val="20"/>
                <w:lang w:val="es-CL"/>
              </w:rPr>
              <w:t>DEPART</w:t>
            </w:r>
          </w:p>
          <w:p w:rsidR="00330CB9" w:rsidRPr="006606AE" w:rsidRDefault="00330CB9" w:rsidP="00FD192D">
            <w:pPr>
              <w:jc w:val="center"/>
              <w:rPr>
                <w:sz w:val="20"/>
                <w:szCs w:val="20"/>
                <w:lang w:val="es-CL"/>
              </w:rPr>
            </w:pPr>
            <w:r w:rsidRPr="006606AE">
              <w:rPr>
                <w:rFonts w:ascii="Arial" w:hAnsi="Arial"/>
                <w:b/>
                <w:sz w:val="20"/>
                <w:szCs w:val="20"/>
                <w:lang w:val="es-CL"/>
              </w:rPr>
              <w:t>JURIDICO</w:t>
            </w:r>
          </w:p>
        </w:tc>
        <w:tc>
          <w:tcPr>
            <w:tcW w:w="461" w:type="dxa"/>
            <w:shd w:val="clear" w:color="auto" w:fill="auto"/>
          </w:tcPr>
          <w:p w:rsidR="00330CB9" w:rsidRPr="006606AE" w:rsidRDefault="00330CB9" w:rsidP="00FD192D">
            <w:pPr>
              <w:rPr>
                <w:sz w:val="20"/>
                <w:szCs w:val="20"/>
                <w:lang w:val="es-CL"/>
              </w:rPr>
            </w:pPr>
          </w:p>
        </w:tc>
        <w:tc>
          <w:tcPr>
            <w:tcW w:w="1581" w:type="dxa"/>
            <w:vMerge w:val="restart"/>
            <w:shd w:val="clear" w:color="auto" w:fill="auto"/>
          </w:tcPr>
          <w:p w:rsidR="00330CB9" w:rsidRPr="006606AE" w:rsidRDefault="00330CB9" w:rsidP="00FD192D">
            <w:pPr>
              <w:ind w:left="252"/>
              <w:rPr>
                <w:sz w:val="20"/>
                <w:szCs w:val="20"/>
                <w:lang w:val="es-CL"/>
              </w:rPr>
            </w:pPr>
          </w:p>
        </w:tc>
      </w:tr>
      <w:tr w:rsidR="00330CB9" w:rsidRPr="006606AE" w:rsidTr="00FD192D">
        <w:trPr>
          <w:trHeight w:val="184"/>
        </w:trPr>
        <w:tc>
          <w:tcPr>
            <w:tcW w:w="1438" w:type="dxa"/>
            <w:vMerge/>
            <w:shd w:val="clear" w:color="auto" w:fill="auto"/>
          </w:tcPr>
          <w:p w:rsidR="00330CB9" w:rsidRPr="006606AE" w:rsidRDefault="00330CB9" w:rsidP="00FD192D">
            <w:pPr>
              <w:jc w:val="center"/>
              <w:rPr>
                <w:rFonts w:ascii="Arial" w:hAnsi="Arial"/>
                <w:b/>
                <w:sz w:val="20"/>
                <w:szCs w:val="20"/>
                <w:lang w:val="es-CL"/>
              </w:rPr>
            </w:pPr>
          </w:p>
        </w:tc>
        <w:tc>
          <w:tcPr>
            <w:tcW w:w="461" w:type="dxa"/>
            <w:shd w:val="clear" w:color="auto" w:fill="auto"/>
          </w:tcPr>
          <w:p w:rsidR="00330CB9" w:rsidRPr="006606AE" w:rsidRDefault="00330CB9" w:rsidP="00FD192D">
            <w:pPr>
              <w:rPr>
                <w:sz w:val="20"/>
                <w:szCs w:val="20"/>
                <w:lang w:val="es-CL"/>
              </w:rPr>
            </w:pPr>
          </w:p>
        </w:tc>
        <w:tc>
          <w:tcPr>
            <w:tcW w:w="1581" w:type="dxa"/>
            <w:vMerge/>
            <w:shd w:val="clear" w:color="auto" w:fill="auto"/>
          </w:tcPr>
          <w:p w:rsidR="00330CB9" w:rsidRPr="006606AE" w:rsidRDefault="00330CB9" w:rsidP="00FD192D">
            <w:pPr>
              <w:ind w:left="252"/>
              <w:rPr>
                <w:sz w:val="20"/>
                <w:szCs w:val="20"/>
                <w:lang w:val="es-CL"/>
              </w:rPr>
            </w:pPr>
          </w:p>
        </w:tc>
      </w:tr>
      <w:tr w:rsidR="00330CB9" w:rsidRPr="006606AE" w:rsidTr="00FD192D">
        <w:trPr>
          <w:trHeight w:val="184"/>
        </w:trPr>
        <w:tc>
          <w:tcPr>
            <w:tcW w:w="1438" w:type="dxa"/>
            <w:vMerge w:val="restart"/>
            <w:shd w:val="clear" w:color="auto" w:fill="auto"/>
          </w:tcPr>
          <w:p w:rsidR="00330CB9" w:rsidRPr="006606AE" w:rsidRDefault="00330CB9" w:rsidP="00FD192D">
            <w:pPr>
              <w:jc w:val="center"/>
              <w:rPr>
                <w:sz w:val="20"/>
                <w:szCs w:val="20"/>
                <w:lang w:val="es-CL"/>
              </w:rPr>
            </w:pPr>
            <w:r w:rsidRPr="006606AE">
              <w:rPr>
                <w:rFonts w:ascii="Arial" w:hAnsi="Arial"/>
                <w:b/>
                <w:sz w:val="20"/>
                <w:szCs w:val="20"/>
                <w:lang w:val="es-CL"/>
              </w:rPr>
              <w:t>DEP.T.R. Y REGISTRO</w:t>
            </w:r>
          </w:p>
        </w:tc>
        <w:tc>
          <w:tcPr>
            <w:tcW w:w="461" w:type="dxa"/>
            <w:shd w:val="clear" w:color="auto" w:fill="auto"/>
          </w:tcPr>
          <w:p w:rsidR="00330CB9" w:rsidRPr="006606AE" w:rsidRDefault="00330CB9" w:rsidP="00FD192D">
            <w:pPr>
              <w:rPr>
                <w:sz w:val="20"/>
                <w:szCs w:val="20"/>
                <w:lang w:val="es-CL"/>
              </w:rPr>
            </w:pPr>
          </w:p>
        </w:tc>
        <w:tc>
          <w:tcPr>
            <w:tcW w:w="1581" w:type="dxa"/>
            <w:vMerge w:val="restart"/>
            <w:shd w:val="clear" w:color="auto" w:fill="auto"/>
          </w:tcPr>
          <w:p w:rsidR="00330CB9" w:rsidRPr="006606AE" w:rsidRDefault="00330CB9" w:rsidP="00FD192D">
            <w:pPr>
              <w:ind w:left="252"/>
              <w:rPr>
                <w:sz w:val="20"/>
                <w:szCs w:val="20"/>
                <w:lang w:val="es-CL"/>
              </w:rPr>
            </w:pPr>
          </w:p>
        </w:tc>
      </w:tr>
      <w:tr w:rsidR="00330CB9" w:rsidRPr="006606AE" w:rsidTr="00FD192D">
        <w:trPr>
          <w:trHeight w:val="184"/>
        </w:trPr>
        <w:tc>
          <w:tcPr>
            <w:tcW w:w="1438" w:type="dxa"/>
            <w:vMerge/>
            <w:shd w:val="clear" w:color="auto" w:fill="auto"/>
          </w:tcPr>
          <w:p w:rsidR="00330CB9" w:rsidRPr="006606AE" w:rsidRDefault="00330CB9" w:rsidP="00FD192D">
            <w:pPr>
              <w:jc w:val="center"/>
              <w:rPr>
                <w:rFonts w:ascii="Arial" w:hAnsi="Arial"/>
                <w:b/>
                <w:sz w:val="20"/>
                <w:szCs w:val="20"/>
                <w:lang w:val="es-CL"/>
              </w:rPr>
            </w:pPr>
          </w:p>
        </w:tc>
        <w:tc>
          <w:tcPr>
            <w:tcW w:w="461" w:type="dxa"/>
            <w:shd w:val="clear" w:color="auto" w:fill="auto"/>
          </w:tcPr>
          <w:p w:rsidR="00330CB9" w:rsidRPr="006606AE" w:rsidRDefault="00330CB9" w:rsidP="00FD192D">
            <w:pPr>
              <w:rPr>
                <w:sz w:val="20"/>
                <w:szCs w:val="20"/>
                <w:lang w:val="es-CL"/>
              </w:rPr>
            </w:pPr>
          </w:p>
        </w:tc>
        <w:tc>
          <w:tcPr>
            <w:tcW w:w="1581" w:type="dxa"/>
            <w:vMerge/>
            <w:shd w:val="clear" w:color="auto" w:fill="auto"/>
          </w:tcPr>
          <w:p w:rsidR="00330CB9" w:rsidRPr="006606AE" w:rsidRDefault="00330CB9" w:rsidP="00FD192D">
            <w:pPr>
              <w:ind w:left="252"/>
              <w:rPr>
                <w:sz w:val="20"/>
                <w:szCs w:val="20"/>
                <w:lang w:val="es-CL"/>
              </w:rPr>
            </w:pPr>
          </w:p>
        </w:tc>
      </w:tr>
      <w:tr w:rsidR="00330CB9" w:rsidRPr="006606AE" w:rsidTr="00FD192D">
        <w:trPr>
          <w:trHeight w:val="184"/>
        </w:trPr>
        <w:tc>
          <w:tcPr>
            <w:tcW w:w="1438" w:type="dxa"/>
            <w:vMerge w:val="restart"/>
            <w:shd w:val="clear" w:color="auto" w:fill="auto"/>
          </w:tcPr>
          <w:p w:rsidR="00330CB9" w:rsidRPr="006606AE" w:rsidRDefault="00330CB9" w:rsidP="00FD192D">
            <w:pPr>
              <w:jc w:val="center"/>
              <w:rPr>
                <w:rFonts w:ascii="Arial" w:hAnsi="Arial"/>
                <w:b/>
                <w:sz w:val="20"/>
                <w:szCs w:val="20"/>
                <w:lang w:val="es-CL"/>
              </w:rPr>
            </w:pPr>
            <w:r w:rsidRPr="006606AE">
              <w:rPr>
                <w:rFonts w:ascii="Arial" w:hAnsi="Arial"/>
                <w:b/>
                <w:sz w:val="20"/>
                <w:szCs w:val="20"/>
                <w:lang w:val="es-CL"/>
              </w:rPr>
              <w:t>DEPART.</w:t>
            </w:r>
          </w:p>
          <w:p w:rsidR="00330CB9" w:rsidRPr="006606AE" w:rsidRDefault="00330CB9" w:rsidP="00FD192D">
            <w:pPr>
              <w:rPr>
                <w:sz w:val="20"/>
                <w:szCs w:val="20"/>
                <w:lang w:val="es-CL"/>
              </w:rPr>
            </w:pPr>
            <w:r w:rsidRPr="006606AE">
              <w:rPr>
                <w:rFonts w:ascii="Arial" w:hAnsi="Arial"/>
                <w:b/>
                <w:sz w:val="20"/>
                <w:szCs w:val="20"/>
                <w:lang w:val="es-CL"/>
              </w:rPr>
              <w:t>CONTABILIDAD</w:t>
            </w:r>
          </w:p>
        </w:tc>
        <w:tc>
          <w:tcPr>
            <w:tcW w:w="461" w:type="dxa"/>
            <w:shd w:val="clear" w:color="auto" w:fill="auto"/>
          </w:tcPr>
          <w:p w:rsidR="00330CB9" w:rsidRPr="006606AE" w:rsidRDefault="00330CB9" w:rsidP="00FD192D">
            <w:pPr>
              <w:rPr>
                <w:sz w:val="20"/>
                <w:szCs w:val="20"/>
                <w:lang w:val="es-CL"/>
              </w:rPr>
            </w:pPr>
          </w:p>
        </w:tc>
        <w:tc>
          <w:tcPr>
            <w:tcW w:w="1581" w:type="dxa"/>
            <w:vMerge w:val="restart"/>
            <w:shd w:val="clear" w:color="auto" w:fill="auto"/>
          </w:tcPr>
          <w:p w:rsidR="00330CB9" w:rsidRPr="006606AE" w:rsidRDefault="00330CB9" w:rsidP="00FD192D">
            <w:pPr>
              <w:rPr>
                <w:sz w:val="20"/>
                <w:szCs w:val="20"/>
                <w:lang w:val="es-CL"/>
              </w:rPr>
            </w:pPr>
          </w:p>
        </w:tc>
      </w:tr>
      <w:tr w:rsidR="00330CB9" w:rsidRPr="006606AE" w:rsidTr="00FD192D">
        <w:trPr>
          <w:trHeight w:val="184"/>
        </w:trPr>
        <w:tc>
          <w:tcPr>
            <w:tcW w:w="1438" w:type="dxa"/>
            <w:vMerge/>
            <w:shd w:val="clear" w:color="auto" w:fill="auto"/>
          </w:tcPr>
          <w:p w:rsidR="00330CB9" w:rsidRPr="006606AE" w:rsidRDefault="00330CB9" w:rsidP="00FD192D">
            <w:pPr>
              <w:jc w:val="center"/>
              <w:rPr>
                <w:rFonts w:ascii="Arial" w:hAnsi="Arial"/>
                <w:b/>
                <w:sz w:val="20"/>
                <w:szCs w:val="20"/>
                <w:lang w:val="es-CL"/>
              </w:rPr>
            </w:pPr>
          </w:p>
        </w:tc>
        <w:tc>
          <w:tcPr>
            <w:tcW w:w="461" w:type="dxa"/>
            <w:shd w:val="clear" w:color="auto" w:fill="auto"/>
          </w:tcPr>
          <w:p w:rsidR="00330CB9" w:rsidRPr="006606AE" w:rsidRDefault="00330CB9" w:rsidP="00FD192D">
            <w:pPr>
              <w:rPr>
                <w:sz w:val="20"/>
                <w:szCs w:val="20"/>
                <w:lang w:val="es-CL"/>
              </w:rPr>
            </w:pPr>
          </w:p>
        </w:tc>
        <w:tc>
          <w:tcPr>
            <w:tcW w:w="1581" w:type="dxa"/>
            <w:vMerge/>
            <w:shd w:val="clear" w:color="auto" w:fill="auto"/>
          </w:tcPr>
          <w:p w:rsidR="00330CB9" w:rsidRPr="006606AE" w:rsidRDefault="00330CB9" w:rsidP="00FD192D">
            <w:pPr>
              <w:rPr>
                <w:sz w:val="20"/>
                <w:szCs w:val="20"/>
                <w:lang w:val="es-CL"/>
              </w:rPr>
            </w:pPr>
          </w:p>
        </w:tc>
      </w:tr>
      <w:tr w:rsidR="00330CB9" w:rsidRPr="006606AE" w:rsidTr="00FD192D">
        <w:trPr>
          <w:trHeight w:val="184"/>
        </w:trPr>
        <w:tc>
          <w:tcPr>
            <w:tcW w:w="1438" w:type="dxa"/>
            <w:vMerge w:val="restart"/>
            <w:shd w:val="clear" w:color="auto" w:fill="auto"/>
          </w:tcPr>
          <w:p w:rsidR="00330CB9" w:rsidRPr="006606AE" w:rsidRDefault="00330CB9" w:rsidP="00FD192D">
            <w:pPr>
              <w:jc w:val="center"/>
              <w:rPr>
                <w:rFonts w:ascii="Arial" w:hAnsi="Arial"/>
                <w:b/>
                <w:sz w:val="20"/>
                <w:szCs w:val="20"/>
                <w:lang w:val="es-CL"/>
              </w:rPr>
            </w:pPr>
            <w:r w:rsidRPr="006606AE">
              <w:rPr>
                <w:rFonts w:ascii="Arial" w:hAnsi="Arial"/>
                <w:b/>
                <w:sz w:val="20"/>
                <w:szCs w:val="20"/>
                <w:lang w:val="es-CL"/>
              </w:rPr>
              <w:t>SUB. DEP.</w:t>
            </w:r>
          </w:p>
          <w:p w:rsidR="00330CB9" w:rsidRPr="006606AE" w:rsidRDefault="00330CB9" w:rsidP="00FD192D">
            <w:pPr>
              <w:jc w:val="center"/>
              <w:rPr>
                <w:rFonts w:ascii="Arial" w:hAnsi="Arial"/>
                <w:b/>
                <w:sz w:val="20"/>
                <w:szCs w:val="20"/>
                <w:lang w:val="es-CL"/>
              </w:rPr>
            </w:pPr>
            <w:r w:rsidRPr="006606AE">
              <w:rPr>
                <w:rFonts w:ascii="Arial" w:hAnsi="Arial"/>
                <w:b/>
                <w:sz w:val="20"/>
                <w:szCs w:val="20"/>
                <w:lang w:val="es-CL"/>
              </w:rPr>
              <w:t>C. CENTRAL</w:t>
            </w:r>
          </w:p>
        </w:tc>
        <w:tc>
          <w:tcPr>
            <w:tcW w:w="461" w:type="dxa"/>
            <w:shd w:val="clear" w:color="auto" w:fill="auto"/>
          </w:tcPr>
          <w:p w:rsidR="00330CB9" w:rsidRPr="006606AE" w:rsidRDefault="00330CB9" w:rsidP="00FD192D">
            <w:pPr>
              <w:rPr>
                <w:sz w:val="20"/>
                <w:szCs w:val="20"/>
                <w:lang w:val="es-CL"/>
              </w:rPr>
            </w:pPr>
          </w:p>
        </w:tc>
        <w:tc>
          <w:tcPr>
            <w:tcW w:w="1581" w:type="dxa"/>
            <w:vMerge w:val="restart"/>
            <w:shd w:val="clear" w:color="auto" w:fill="auto"/>
          </w:tcPr>
          <w:p w:rsidR="00330CB9" w:rsidRPr="006606AE" w:rsidRDefault="00330CB9" w:rsidP="00FD192D">
            <w:pPr>
              <w:rPr>
                <w:sz w:val="20"/>
                <w:szCs w:val="20"/>
                <w:lang w:val="es-CL"/>
              </w:rPr>
            </w:pPr>
          </w:p>
        </w:tc>
      </w:tr>
      <w:tr w:rsidR="00330CB9" w:rsidRPr="006606AE" w:rsidTr="00FD192D">
        <w:trPr>
          <w:trHeight w:val="184"/>
        </w:trPr>
        <w:tc>
          <w:tcPr>
            <w:tcW w:w="1438" w:type="dxa"/>
            <w:vMerge/>
            <w:shd w:val="clear" w:color="auto" w:fill="auto"/>
          </w:tcPr>
          <w:p w:rsidR="00330CB9" w:rsidRPr="006606AE" w:rsidRDefault="00330CB9" w:rsidP="00FD192D">
            <w:pPr>
              <w:jc w:val="center"/>
              <w:rPr>
                <w:rFonts w:ascii="Arial" w:hAnsi="Arial"/>
                <w:b/>
                <w:sz w:val="20"/>
                <w:szCs w:val="20"/>
                <w:lang w:val="es-CL"/>
              </w:rPr>
            </w:pPr>
          </w:p>
        </w:tc>
        <w:tc>
          <w:tcPr>
            <w:tcW w:w="461" w:type="dxa"/>
            <w:shd w:val="clear" w:color="auto" w:fill="auto"/>
          </w:tcPr>
          <w:p w:rsidR="00330CB9" w:rsidRPr="006606AE" w:rsidRDefault="00330CB9" w:rsidP="00FD192D">
            <w:pPr>
              <w:rPr>
                <w:sz w:val="20"/>
                <w:szCs w:val="20"/>
                <w:lang w:val="es-CL"/>
              </w:rPr>
            </w:pPr>
          </w:p>
        </w:tc>
        <w:tc>
          <w:tcPr>
            <w:tcW w:w="1581" w:type="dxa"/>
            <w:vMerge/>
            <w:shd w:val="clear" w:color="auto" w:fill="auto"/>
          </w:tcPr>
          <w:p w:rsidR="00330CB9" w:rsidRPr="006606AE" w:rsidRDefault="00330CB9" w:rsidP="00FD192D">
            <w:pPr>
              <w:rPr>
                <w:sz w:val="20"/>
                <w:szCs w:val="20"/>
                <w:lang w:val="es-CL"/>
              </w:rPr>
            </w:pPr>
          </w:p>
        </w:tc>
      </w:tr>
      <w:tr w:rsidR="00330CB9" w:rsidRPr="006606AE" w:rsidTr="00FD192D">
        <w:trPr>
          <w:trHeight w:val="184"/>
        </w:trPr>
        <w:tc>
          <w:tcPr>
            <w:tcW w:w="1438" w:type="dxa"/>
            <w:vMerge w:val="restart"/>
            <w:shd w:val="clear" w:color="auto" w:fill="auto"/>
          </w:tcPr>
          <w:p w:rsidR="00330CB9" w:rsidRPr="006606AE" w:rsidRDefault="00330CB9" w:rsidP="00FD192D">
            <w:pPr>
              <w:jc w:val="center"/>
              <w:rPr>
                <w:rFonts w:ascii="Arial" w:hAnsi="Arial"/>
                <w:b/>
                <w:sz w:val="20"/>
                <w:szCs w:val="20"/>
                <w:lang w:val="es-CL"/>
              </w:rPr>
            </w:pPr>
            <w:r w:rsidRPr="006606AE">
              <w:rPr>
                <w:rFonts w:ascii="Arial" w:hAnsi="Arial"/>
                <w:b/>
                <w:sz w:val="20"/>
                <w:szCs w:val="20"/>
                <w:lang w:val="es-CL"/>
              </w:rPr>
              <w:t>SUB. DEP.</w:t>
            </w:r>
          </w:p>
          <w:p w:rsidR="00330CB9" w:rsidRPr="006606AE" w:rsidRDefault="00330CB9" w:rsidP="00FD192D">
            <w:pPr>
              <w:jc w:val="center"/>
              <w:rPr>
                <w:rFonts w:ascii="Arial" w:hAnsi="Arial"/>
                <w:b/>
                <w:sz w:val="20"/>
                <w:szCs w:val="20"/>
                <w:lang w:val="es-CL"/>
              </w:rPr>
            </w:pPr>
            <w:r w:rsidRPr="006606AE">
              <w:rPr>
                <w:rFonts w:ascii="Arial" w:hAnsi="Arial"/>
                <w:b/>
                <w:sz w:val="20"/>
                <w:szCs w:val="20"/>
                <w:lang w:val="es-CL"/>
              </w:rPr>
              <w:t>E. CUENTAS</w:t>
            </w:r>
          </w:p>
        </w:tc>
        <w:tc>
          <w:tcPr>
            <w:tcW w:w="461" w:type="dxa"/>
            <w:shd w:val="clear" w:color="auto" w:fill="auto"/>
          </w:tcPr>
          <w:p w:rsidR="00330CB9" w:rsidRPr="006606AE" w:rsidRDefault="00330CB9" w:rsidP="00FD192D">
            <w:pPr>
              <w:rPr>
                <w:sz w:val="20"/>
                <w:szCs w:val="20"/>
                <w:lang w:val="es-CL"/>
              </w:rPr>
            </w:pPr>
          </w:p>
        </w:tc>
        <w:tc>
          <w:tcPr>
            <w:tcW w:w="1581" w:type="dxa"/>
            <w:vMerge w:val="restart"/>
            <w:shd w:val="clear" w:color="auto" w:fill="auto"/>
          </w:tcPr>
          <w:p w:rsidR="00330CB9" w:rsidRPr="006606AE" w:rsidRDefault="00330CB9" w:rsidP="00FD192D">
            <w:pPr>
              <w:rPr>
                <w:sz w:val="20"/>
                <w:szCs w:val="20"/>
                <w:lang w:val="es-CL"/>
              </w:rPr>
            </w:pPr>
          </w:p>
        </w:tc>
      </w:tr>
      <w:tr w:rsidR="00330CB9" w:rsidRPr="006606AE" w:rsidTr="00FD192D">
        <w:trPr>
          <w:trHeight w:val="184"/>
        </w:trPr>
        <w:tc>
          <w:tcPr>
            <w:tcW w:w="1438" w:type="dxa"/>
            <w:vMerge/>
            <w:shd w:val="clear" w:color="auto" w:fill="auto"/>
          </w:tcPr>
          <w:p w:rsidR="00330CB9" w:rsidRPr="006606AE" w:rsidRDefault="00330CB9" w:rsidP="00FD192D">
            <w:pPr>
              <w:jc w:val="center"/>
              <w:rPr>
                <w:rFonts w:ascii="Arial" w:hAnsi="Arial"/>
                <w:b/>
                <w:sz w:val="20"/>
                <w:szCs w:val="20"/>
                <w:lang w:val="es-CL"/>
              </w:rPr>
            </w:pPr>
          </w:p>
        </w:tc>
        <w:tc>
          <w:tcPr>
            <w:tcW w:w="461" w:type="dxa"/>
            <w:shd w:val="clear" w:color="auto" w:fill="auto"/>
          </w:tcPr>
          <w:p w:rsidR="00330CB9" w:rsidRPr="006606AE" w:rsidRDefault="00330CB9" w:rsidP="00FD192D">
            <w:pPr>
              <w:rPr>
                <w:sz w:val="20"/>
                <w:szCs w:val="20"/>
                <w:lang w:val="es-CL"/>
              </w:rPr>
            </w:pPr>
          </w:p>
        </w:tc>
        <w:tc>
          <w:tcPr>
            <w:tcW w:w="1581" w:type="dxa"/>
            <w:vMerge/>
            <w:shd w:val="clear" w:color="auto" w:fill="auto"/>
          </w:tcPr>
          <w:p w:rsidR="00330CB9" w:rsidRPr="006606AE" w:rsidRDefault="00330CB9" w:rsidP="00FD192D">
            <w:pPr>
              <w:rPr>
                <w:sz w:val="20"/>
                <w:szCs w:val="20"/>
                <w:lang w:val="es-CL"/>
              </w:rPr>
            </w:pPr>
          </w:p>
        </w:tc>
      </w:tr>
      <w:tr w:rsidR="00330CB9" w:rsidRPr="006606AE" w:rsidTr="00FD192D">
        <w:trPr>
          <w:trHeight w:val="272"/>
        </w:trPr>
        <w:tc>
          <w:tcPr>
            <w:tcW w:w="1438" w:type="dxa"/>
            <w:vMerge w:val="restart"/>
            <w:shd w:val="clear" w:color="auto" w:fill="auto"/>
          </w:tcPr>
          <w:p w:rsidR="00330CB9" w:rsidRPr="006606AE" w:rsidRDefault="00330CB9" w:rsidP="00FD192D">
            <w:pPr>
              <w:jc w:val="center"/>
              <w:rPr>
                <w:rFonts w:ascii="Arial" w:hAnsi="Arial"/>
                <w:b/>
                <w:sz w:val="20"/>
                <w:szCs w:val="20"/>
                <w:lang w:val="es-CL"/>
              </w:rPr>
            </w:pPr>
            <w:r w:rsidRPr="006606AE">
              <w:rPr>
                <w:rFonts w:ascii="Arial" w:hAnsi="Arial"/>
                <w:b/>
                <w:sz w:val="20"/>
                <w:szCs w:val="20"/>
                <w:lang w:val="es-CL"/>
              </w:rPr>
              <w:t>SUB. DEP.</w:t>
            </w:r>
          </w:p>
          <w:p w:rsidR="00330CB9" w:rsidRPr="006606AE" w:rsidRDefault="00330CB9" w:rsidP="00FD192D">
            <w:pPr>
              <w:jc w:val="center"/>
              <w:rPr>
                <w:rFonts w:ascii="Arial" w:hAnsi="Arial"/>
                <w:b/>
                <w:sz w:val="20"/>
                <w:szCs w:val="20"/>
                <w:lang w:val="es-CL"/>
              </w:rPr>
            </w:pPr>
            <w:r w:rsidRPr="006606AE">
              <w:rPr>
                <w:rFonts w:ascii="Arial" w:hAnsi="Arial"/>
                <w:b/>
                <w:sz w:val="20"/>
                <w:szCs w:val="20"/>
                <w:lang w:val="es-CL"/>
              </w:rPr>
              <w:t>C.P.Y</w:t>
            </w:r>
          </w:p>
          <w:p w:rsidR="00330CB9" w:rsidRPr="006606AE" w:rsidRDefault="00330CB9" w:rsidP="00FD192D">
            <w:pPr>
              <w:jc w:val="center"/>
              <w:rPr>
                <w:rFonts w:ascii="Arial" w:hAnsi="Arial"/>
                <w:b/>
                <w:sz w:val="20"/>
                <w:szCs w:val="20"/>
                <w:lang w:val="es-CL"/>
              </w:rPr>
            </w:pPr>
            <w:r w:rsidRPr="006606AE">
              <w:rPr>
                <w:rFonts w:ascii="Arial" w:hAnsi="Arial"/>
                <w:b/>
                <w:sz w:val="20"/>
                <w:szCs w:val="20"/>
                <w:lang w:val="es-CL"/>
              </w:rPr>
              <w:t>BIENES NAC.</w:t>
            </w:r>
          </w:p>
        </w:tc>
        <w:tc>
          <w:tcPr>
            <w:tcW w:w="461" w:type="dxa"/>
            <w:shd w:val="clear" w:color="auto" w:fill="auto"/>
          </w:tcPr>
          <w:p w:rsidR="00330CB9" w:rsidRPr="006606AE" w:rsidRDefault="00330CB9" w:rsidP="00FD192D">
            <w:pPr>
              <w:rPr>
                <w:sz w:val="20"/>
                <w:szCs w:val="20"/>
                <w:lang w:val="es-CL"/>
              </w:rPr>
            </w:pPr>
          </w:p>
        </w:tc>
        <w:tc>
          <w:tcPr>
            <w:tcW w:w="1581" w:type="dxa"/>
            <w:vMerge w:val="restart"/>
            <w:shd w:val="clear" w:color="auto" w:fill="auto"/>
          </w:tcPr>
          <w:p w:rsidR="00330CB9" w:rsidRPr="006606AE" w:rsidRDefault="00330CB9" w:rsidP="00FD192D">
            <w:pPr>
              <w:rPr>
                <w:sz w:val="20"/>
                <w:szCs w:val="20"/>
                <w:lang w:val="es-CL"/>
              </w:rPr>
            </w:pPr>
          </w:p>
        </w:tc>
      </w:tr>
      <w:tr w:rsidR="00330CB9" w:rsidRPr="006606AE" w:rsidTr="00FD192D">
        <w:trPr>
          <w:trHeight w:val="272"/>
        </w:trPr>
        <w:tc>
          <w:tcPr>
            <w:tcW w:w="1438" w:type="dxa"/>
            <w:vMerge/>
            <w:shd w:val="clear" w:color="auto" w:fill="auto"/>
          </w:tcPr>
          <w:p w:rsidR="00330CB9" w:rsidRPr="006606AE" w:rsidRDefault="00330CB9" w:rsidP="00FD192D">
            <w:pPr>
              <w:jc w:val="center"/>
              <w:rPr>
                <w:rFonts w:ascii="Arial" w:hAnsi="Arial"/>
                <w:b/>
                <w:sz w:val="20"/>
                <w:szCs w:val="20"/>
                <w:lang w:val="es-CL"/>
              </w:rPr>
            </w:pPr>
          </w:p>
        </w:tc>
        <w:tc>
          <w:tcPr>
            <w:tcW w:w="461" w:type="dxa"/>
            <w:shd w:val="clear" w:color="auto" w:fill="auto"/>
          </w:tcPr>
          <w:p w:rsidR="00330CB9" w:rsidRPr="006606AE" w:rsidRDefault="00330CB9" w:rsidP="00FD192D">
            <w:pPr>
              <w:rPr>
                <w:sz w:val="20"/>
                <w:szCs w:val="20"/>
                <w:lang w:val="es-CL"/>
              </w:rPr>
            </w:pPr>
          </w:p>
        </w:tc>
        <w:tc>
          <w:tcPr>
            <w:tcW w:w="1581" w:type="dxa"/>
            <w:vMerge/>
            <w:shd w:val="clear" w:color="auto" w:fill="auto"/>
          </w:tcPr>
          <w:p w:rsidR="00330CB9" w:rsidRPr="006606AE" w:rsidRDefault="00330CB9" w:rsidP="00FD192D">
            <w:pPr>
              <w:rPr>
                <w:sz w:val="20"/>
                <w:szCs w:val="20"/>
                <w:lang w:val="es-CL"/>
              </w:rPr>
            </w:pPr>
          </w:p>
        </w:tc>
      </w:tr>
      <w:tr w:rsidR="00330CB9" w:rsidRPr="006606AE" w:rsidTr="00FD192D">
        <w:trPr>
          <w:trHeight w:val="184"/>
        </w:trPr>
        <w:tc>
          <w:tcPr>
            <w:tcW w:w="1438" w:type="dxa"/>
            <w:vMerge w:val="restart"/>
            <w:shd w:val="clear" w:color="auto" w:fill="auto"/>
          </w:tcPr>
          <w:p w:rsidR="00330CB9" w:rsidRPr="006606AE" w:rsidRDefault="00330CB9" w:rsidP="00FD192D">
            <w:pPr>
              <w:jc w:val="center"/>
              <w:rPr>
                <w:rFonts w:ascii="Arial" w:hAnsi="Arial"/>
                <w:b/>
                <w:sz w:val="20"/>
                <w:szCs w:val="20"/>
                <w:lang w:val="es-CL"/>
              </w:rPr>
            </w:pPr>
            <w:r w:rsidRPr="006606AE">
              <w:rPr>
                <w:rFonts w:ascii="Arial" w:hAnsi="Arial"/>
                <w:b/>
                <w:sz w:val="20"/>
                <w:szCs w:val="20"/>
                <w:lang w:val="es-CL"/>
              </w:rPr>
              <w:t>DEPART.</w:t>
            </w:r>
          </w:p>
          <w:p w:rsidR="00330CB9" w:rsidRPr="006606AE" w:rsidRDefault="00330CB9" w:rsidP="00FD192D">
            <w:pPr>
              <w:jc w:val="center"/>
              <w:rPr>
                <w:rFonts w:ascii="Arial" w:hAnsi="Arial"/>
                <w:b/>
                <w:sz w:val="20"/>
                <w:szCs w:val="20"/>
                <w:lang w:val="es-CL"/>
              </w:rPr>
            </w:pPr>
            <w:r w:rsidRPr="006606AE">
              <w:rPr>
                <w:rFonts w:ascii="Arial" w:hAnsi="Arial"/>
                <w:b/>
                <w:sz w:val="20"/>
                <w:szCs w:val="20"/>
                <w:lang w:val="es-CL"/>
              </w:rPr>
              <w:t>AUDITORIA</w:t>
            </w:r>
          </w:p>
        </w:tc>
        <w:tc>
          <w:tcPr>
            <w:tcW w:w="461" w:type="dxa"/>
            <w:shd w:val="clear" w:color="auto" w:fill="auto"/>
          </w:tcPr>
          <w:p w:rsidR="00330CB9" w:rsidRPr="006606AE" w:rsidRDefault="00330CB9" w:rsidP="00FD192D">
            <w:pPr>
              <w:rPr>
                <w:sz w:val="20"/>
                <w:szCs w:val="20"/>
                <w:lang w:val="es-CL"/>
              </w:rPr>
            </w:pPr>
          </w:p>
        </w:tc>
        <w:tc>
          <w:tcPr>
            <w:tcW w:w="1581" w:type="dxa"/>
            <w:vMerge w:val="restart"/>
            <w:shd w:val="clear" w:color="auto" w:fill="auto"/>
          </w:tcPr>
          <w:p w:rsidR="00330CB9" w:rsidRPr="006606AE" w:rsidRDefault="00330CB9" w:rsidP="00FD192D">
            <w:pPr>
              <w:rPr>
                <w:sz w:val="20"/>
                <w:szCs w:val="20"/>
                <w:lang w:val="es-CL"/>
              </w:rPr>
            </w:pPr>
          </w:p>
        </w:tc>
      </w:tr>
      <w:tr w:rsidR="00330CB9" w:rsidRPr="006606AE" w:rsidTr="00FD192D">
        <w:trPr>
          <w:trHeight w:val="184"/>
        </w:trPr>
        <w:tc>
          <w:tcPr>
            <w:tcW w:w="1438" w:type="dxa"/>
            <w:vMerge/>
            <w:shd w:val="clear" w:color="auto" w:fill="auto"/>
          </w:tcPr>
          <w:p w:rsidR="00330CB9" w:rsidRPr="006606AE" w:rsidRDefault="00330CB9" w:rsidP="00FD192D">
            <w:pPr>
              <w:jc w:val="center"/>
              <w:rPr>
                <w:rFonts w:ascii="Arial" w:hAnsi="Arial"/>
                <w:b/>
                <w:sz w:val="20"/>
                <w:szCs w:val="20"/>
                <w:lang w:val="es-CL"/>
              </w:rPr>
            </w:pPr>
          </w:p>
        </w:tc>
        <w:tc>
          <w:tcPr>
            <w:tcW w:w="461" w:type="dxa"/>
            <w:shd w:val="clear" w:color="auto" w:fill="auto"/>
          </w:tcPr>
          <w:p w:rsidR="00330CB9" w:rsidRPr="006606AE" w:rsidRDefault="00330CB9" w:rsidP="00FD192D">
            <w:pPr>
              <w:rPr>
                <w:sz w:val="20"/>
                <w:szCs w:val="20"/>
                <w:lang w:val="es-CL"/>
              </w:rPr>
            </w:pPr>
          </w:p>
        </w:tc>
        <w:tc>
          <w:tcPr>
            <w:tcW w:w="1581" w:type="dxa"/>
            <w:vMerge/>
            <w:shd w:val="clear" w:color="auto" w:fill="auto"/>
          </w:tcPr>
          <w:p w:rsidR="00330CB9" w:rsidRPr="006606AE" w:rsidRDefault="00330CB9" w:rsidP="00FD192D">
            <w:pPr>
              <w:rPr>
                <w:sz w:val="20"/>
                <w:szCs w:val="20"/>
                <w:lang w:val="es-CL"/>
              </w:rPr>
            </w:pPr>
          </w:p>
        </w:tc>
      </w:tr>
      <w:tr w:rsidR="00330CB9" w:rsidRPr="006606AE" w:rsidTr="00FD192D">
        <w:trPr>
          <w:trHeight w:val="184"/>
        </w:trPr>
        <w:tc>
          <w:tcPr>
            <w:tcW w:w="1438" w:type="dxa"/>
            <w:vMerge w:val="restart"/>
            <w:shd w:val="clear" w:color="auto" w:fill="auto"/>
          </w:tcPr>
          <w:p w:rsidR="00330CB9" w:rsidRPr="006606AE" w:rsidRDefault="00330CB9" w:rsidP="00FD192D">
            <w:pPr>
              <w:jc w:val="center"/>
              <w:rPr>
                <w:rFonts w:ascii="Arial" w:hAnsi="Arial"/>
                <w:b/>
                <w:sz w:val="20"/>
                <w:szCs w:val="20"/>
                <w:lang w:val="es-CL"/>
              </w:rPr>
            </w:pPr>
            <w:r w:rsidRPr="006606AE">
              <w:rPr>
                <w:rFonts w:ascii="Arial" w:hAnsi="Arial"/>
                <w:b/>
                <w:sz w:val="20"/>
                <w:szCs w:val="20"/>
                <w:lang w:val="es-CL"/>
              </w:rPr>
              <w:t>DEPART.</w:t>
            </w:r>
          </w:p>
          <w:p w:rsidR="00330CB9" w:rsidRPr="006606AE" w:rsidRDefault="00330CB9" w:rsidP="00FD192D">
            <w:pPr>
              <w:jc w:val="center"/>
              <w:rPr>
                <w:rFonts w:ascii="Arial" w:hAnsi="Arial"/>
                <w:b/>
                <w:sz w:val="20"/>
                <w:szCs w:val="20"/>
                <w:lang w:val="es-CL"/>
              </w:rPr>
            </w:pPr>
            <w:r w:rsidRPr="006606AE">
              <w:rPr>
                <w:rFonts w:ascii="Arial" w:hAnsi="Arial"/>
                <w:b/>
                <w:sz w:val="20"/>
                <w:szCs w:val="20"/>
                <w:lang w:val="es-CL"/>
              </w:rPr>
              <w:t>V.O.P.U Y T.</w:t>
            </w:r>
          </w:p>
        </w:tc>
        <w:tc>
          <w:tcPr>
            <w:tcW w:w="461" w:type="dxa"/>
            <w:shd w:val="clear" w:color="auto" w:fill="auto"/>
          </w:tcPr>
          <w:p w:rsidR="00330CB9" w:rsidRPr="006606AE" w:rsidRDefault="00330CB9" w:rsidP="00FD192D">
            <w:pPr>
              <w:rPr>
                <w:sz w:val="20"/>
                <w:szCs w:val="20"/>
                <w:lang w:val="es-CL"/>
              </w:rPr>
            </w:pPr>
          </w:p>
        </w:tc>
        <w:tc>
          <w:tcPr>
            <w:tcW w:w="1581" w:type="dxa"/>
            <w:vMerge w:val="restart"/>
            <w:shd w:val="clear" w:color="auto" w:fill="auto"/>
          </w:tcPr>
          <w:p w:rsidR="00330CB9" w:rsidRPr="006606AE" w:rsidRDefault="00330CB9" w:rsidP="00FD192D">
            <w:pPr>
              <w:rPr>
                <w:sz w:val="20"/>
                <w:szCs w:val="20"/>
                <w:lang w:val="es-CL"/>
              </w:rPr>
            </w:pPr>
          </w:p>
        </w:tc>
      </w:tr>
      <w:tr w:rsidR="00330CB9" w:rsidRPr="006606AE" w:rsidTr="00FD192D">
        <w:trPr>
          <w:trHeight w:val="184"/>
        </w:trPr>
        <w:tc>
          <w:tcPr>
            <w:tcW w:w="1438" w:type="dxa"/>
            <w:vMerge/>
            <w:shd w:val="clear" w:color="auto" w:fill="auto"/>
          </w:tcPr>
          <w:p w:rsidR="00330CB9" w:rsidRPr="006606AE" w:rsidRDefault="00330CB9" w:rsidP="00FD192D">
            <w:pPr>
              <w:jc w:val="center"/>
              <w:rPr>
                <w:rFonts w:ascii="Arial" w:hAnsi="Arial"/>
                <w:b/>
                <w:sz w:val="20"/>
                <w:szCs w:val="20"/>
                <w:lang w:val="es-CL"/>
              </w:rPr>
            </w:pPr>
          </w:p>
        </w:tc>
        <w:tc>
          <w:tcPr>
            <w:tcW w:w="461" w:type="dxa"/>
            <w:shd w:val="clear" w:color="auto" w:fill="auto"/>
          </w:tcPr>
          <w:p w:rsidR="00330CB9" w:rsidRPr="006606AE" w:rsidRDefault="00330CB9" w:rsidP="00FD192D">
            <w:pPr>
              <w:rPr>
                <w:sz w:val="20"/>
                <w:szCs w:val="20"/>
                <w:lang w:val="es-CL"/>
              </w:rPr>
            </w:pPr>
          </w:p>
        </w:tc>
        <w:tc>
          <w:tcPr>
            <w:tcW w:w="1581" w:type="dxa"/>
            <w:vMerge/>
            <w:shd w:val="clear" w:color="auto" w:fill="auto"/>
          </w:tcPr>
          <w:p w:rsidR="00330CB9" w:rsidRPr="006606AE" w:rsidRDefault="00330CB9" w:rsidP="00FD192D">
            <w:pPr>
              <w:rPr>
                <w:sz w:val="20"/>
                <w:szCs w:val="20"/>
                <w:lang w:val="es-CL"/>
              </w:rPr>
            </w:pPr>
          </w:p>
        </w:tc>
      </w:tr>
      <w:tr w:rsidR="00330CB9" w:rsidRPr="006606AE" w:rsidTr="00FD192D">
        <w:trPr>
          <w:trHeight w:val="184"/>
        </w:trPr>
        <w:tc>
          <w:tcPr>
            <w:tcW w:w="1438" w:type="dxa"/>
            <w:vMerge w:val="restart"/>
            <w:shd w:val="clear" w:color="auto" w:fill="auto"/>
          </w:tcPr>
          <w:p w:rsidR="00330CB9" w:rsidRPr="006606AE" w:rsidRDefault="00330CB9" w:rsidP="00FD192D">
            <w:pPr>
              <w:jc w:val="center"/>
              <w:rPr>
                <w:rFonts w:ascii="Arial" w:hAnsi="Arial"/>
                <w:b/>
                <w:sz w:val="20"/>
                <w:szCs w:val="20"/>
                <w:lang w:val="es-CL"/>
              </w:rPr>
            </w:pPr>
            <w:r w:rsidRPr="006606AE">
              <w:rPr>
                <w:rFonts w:ascii="Arial" w:hAnsi="Arial"/>
                <w:b/>
                <w:sz w:val="20"/>
                <w:szCs w:val="20"/>
                <w:lang w:val="es-CL"/>
              </w:rPr>
              <w:t>SUB. DEP.</w:t>
            </w:r>
          </w:p>
          <w:p w:rsidR="00330CB9" w:rsidRPr="006606AE" w:rsidRDefault="00330CB9" w:rsidP="00FD192D">
            <w:pPr>
              <w:jc w:val="center"/>
              <w:rPr>
                <w:rFonts w:ascii="Arial" w:hAnsi="Arial"/>
                <w:b/>
                <w:sz w:val="20"/>
                <w:szCs w:val="20"/>
                <w:lang w:val="es-CL"/>
              </w:rPr>
            </w:pPr>
            <w:r w:rsidRPr="006606AE">
              <w:rPr>
                <w:rFonts w:ascii="Arial" w:hAnsi="Arial"/>
                <w:b/>
                <w:sz w:val="20"/>
                <w:szCs w:val="20"/>
                <w:lang w:val="es-CL"/>
              </w:rPr>
              <w:t>MUNICIPAL</w:t>
            </w:r>
          </w:p>
        </w:tc>
        <w:tc>
          <w:tcPr>
            <w:tcW w:w="461" w:type="dxa"/>
            <w:shd w:val="clear" w:color="auto" w:fill="auto"/>
          </w:tcPr>
          <w:p w:rsidR="00330CB9" w:rsidRPr="006606AE" w:rsidRDefault="00330CB9" w:rsidP="00FD192D">
            <w:pPr>
              <w:rPr>
                <w:sz w:val="20"/>
                <w:szCs w:val="20"/>
                <w:lang w:val="es-CL"/>
              </w:rPr>
            </w:pPr>
          </w:p>
        </w:tc>
        <w:tc>
          <w:tcPr>
            <w:tcW w:w="1581" w:type="dxa"/>
            <w:vMerge w:val="restart"/>
            <w:shd w:val="clear" w:color="auto" w:fill="auto"/>
          </w:tcPr>
          <w:p w:rsidR="00330CB9" w:rsidRPr="006606AE" w:rsidRDefault="00330CB9" w:rsidP="00FD192D">
            <w:pPr>
              <w:rPr>
                <w:sz w:val="20"/>
                <w:szCs w:val="20"/>
                <w:lang w:val="es-CL"/>
              </w:rPr>
            </w:pPr>
          </w:p>
        </w:tc>
      </w:tr>
      <w:tr w:rsidR="00330CB9" w:rsidRPr="006606AE" w:rsidTr="00FD192D">
        <w:trPr>
          <w:trHeight w:val="184"/>
        </w:trPr>
        <w:tc>
          <w:tcPr>
            <w:tcW w:w="1438" w:type="dxa"/>
            <w:vMerge/>
            <w:shd w:val="clear" w:color="auto" w:fill="auto"/>
          </w:tcPr>
          <w:p w:rsidR="00330CB9" w:rsidRPr="006606AE" w:rsidRDefault="00330CB9" w:rsidP="00FD192D">
            <w:pPr>
              <w:jc w:val="center"/>
              <w:rPr>
                <w:rFonts w:ascii="Arial" w:hAnsi="Arial"/>
                <w:b/>
                <w:sz w:val="20"/>
                <w:szCs w:val="20"/>
                <w:lang w:val="es-CL"/>
              </w:rPr>
            </w:pPr>
          </w:p>
        </w:tc>
        <w:tc>
          <w:tcPr>
            <w:tcW w:w="461" w:type="dxa"/>
            <w:shd w:val="clear" w:color="auto" w:fill="auto"/>
          </w:tcPr>
          <w:p w:rsidR="00330CB9" w:rsidRPr="006606AE" w:rsidRDefault="00330CB9" w:rsidP="00FD192D">
            <w:pPr>
              <w:rPr>
                <w:sz w:val="20"/>
                <w:szCs w:val="20"/>
                <w:lang w:val="es-CL"/>
              </w:rPr>
            </w:pPr>
          </w:p>
        </w:tc>
        <w:tc>
          <w:tcPr>
            <w:tcW w:w="1581" w:type="dxa"/>
            <w:vMerge/>
            <w:shd w:val="clear" w:color="auto" w:fill="auto"/>
          </w:tcPr>
          <w:p w:rsidR="00330CB9" w:rsidRPr="006606AE" w:rsidRDefault="00330CB9" w:rsidP="00FD192D">
            <w:pPr>
              <w:rPr>
                <w:sz w:val="20"/>
                <w:szCs w:val="20"/>
                <w:lang w:val="es-CL"/>
              </w:rPr>
            </w:pPr>
          </w:p>
        </w:tc>
      </w:tr>
      <w:tr w:rsidR="00330CB9" w:rsidRPr="006606AE" w:rsidTr="00FD192D">
        <w:trPr>
          <w:trHeight w:val="136"/>
        </w:trPr>
        <w:tc>
          <w:tcPr>
            <w:tcW w:w="1438" w:type="dxa"/>
            <w:vMerge w:val="restart"/>
            <w:shd w:val="clear" w:color="auto" w:fill="auto"/>
          </w:tcPr>
          <w:p w:rsidR="00330CB9" w:rsidRPr="006606AE" w:rsidRDefault="00330CB9" w:rsidP="00FD192D">
            <w:pPr>
              <w:jc w:val="center"/>
              <w:rPr>
                <w:rFonts w:ascii="Arial" w:hAnsi="Arial"/>
                <w:b/>
                <w:sz w:val="20"/>
                <w:szCs w:val="20"/>
                <w:lang w:val="es-CL"/>
              </w:rPr>
            </w:pPr>
          </w:p>
        </w:tc>
        <w:tc>
          <w:tcPr>
            <w:tcW w:w="461" w:type="dxa"/>
            <w:shd w:val="clear" w:color="auto" w:fill="auto"/>
          </w:tcPr>
          <w:p w:rsidR="00330CB9" w:rsidRPr="006606AE" w:rsidRDefault="00330CB9" w:rsidP="00FD192D">
            <w:pPr>
              <w:rPr>
                <w:sz w:val="20"/>
                <w:szCs w:val="20"/>
                <w:lang w:val="es-CL"/>
              </w:rPr>
            </w:pPr>
          </w:p>
        </w:tc>
        <w:tc>
          <w:tcPr>
            <w:tcW w:w="1581" w:type="dxa"/>
            <w:vMerge w:val="restart"/>
            <w:shd w:val="clear" w:color="auto" w:fill="auto"/>
          </w:tcPr>
          <w:p w:rsidR="00330CB9" w:rsidRPr="006606AE" w:rsidRDefault="00330CB9" w:rsidP="00FD192D">
            <w:pPr>
              <w:rPr>
                <w:sz w:val="20"/>
                <w:szCs w:val="20"/>
                <w:lang w:val="es-CL"/>
              </w:rPr>
            </w:pPr>
          </w:p>
        </w:tc>
      </w:tr>
      <w:tr w:rsidR="00330CB9" w:rsidRPr="006606AE" w:rsidTr="00FD192D">
        <w:trPr>
          <w:trHeight w:val="136"/>
        </w:trPr>
        <w:tc>
          <w:tcPr>
            <w:tcW w:w="1438" w:type="dxa"/>
            <w:vMerge/>
            <w:shd w:val="clear" w:color="auto" w:fill="auto"/>
          </w:tcPr>
          <w:p w:rsidR="00330CB9" w:rsidRPr="006606AE" w:rsidRDefault="00330CB9" w:rsidP="00FD192D">
            <w:pPr>
              <w:jc w:val="center"/>
              <w:rPr>
                <w:rFonts w:ascii="Arial" w:hAnsi="Arial"/>
                <w:b/>
                <w:sz w:val="20"/>
                <w:szCs w:val="20"/>
                <w:lang w:val="es-CL"/>
              </w:rPr>
            </w:pPr>
          </w:p>
        </w:tc>
        <w:tc>
          <w:tcPr>
            <w:tcW w:w="461" w:type="dxa"/>
            <w:shd w:val="clear" w:color="auto" w:fill="auto"/>
          </w:tcPr>
          <w:p w:rsidR="00330CB9" w:rsidRPr="006606AE" w:rsidRDefault="00330CB9" w:rsidP="00FD192D">
            <w:pPr>
              <w:rPr>
                <w:sz w:val="20"/>
                <w:szCs w:val="20"/>
                <w:lang w:val="es-CL"/>
              </w:rPr>
            </w:pPr>
          </w:p>
        </w:tc>
        <w:tc>
          <w:tcPr>
            <w:tcW w:w="1581" w:type="dxa"/>
            <w:vMerge/>
            <w:shd w:val="clear" w:color="auto" w:fill="auto"/>
          </w:tcPr>
          <w:p w:rsidR="00330CB9" w:rsidRPr="006606AE" w:rsidRDefault="00330CB9" w:rsidP="00FD192D">
            <w:pPr>
              <w:rPr>
                <w:sz w:val="20"/>
                <w:szCs w:val="20"/>
                <w:lang w:val="es-CL"/>
              </w:rPr>
            </w:pPr>
          </w:p>
        </w:tc>
      </w:tr>
      <w:tr w:rsidR="00330CB9" w:rsidRPr="006606AE" w:rsidTr="00FD192D">
        <w:tc>
          <w:tcPr>
            <w:tcW w:w="3480" w:type="dxa"/>
            <w:gridSpan w:val="3"/>
            <w:shd w:val="clear" w:color="auto" w:fill="auto"/>
          </w:tcPr>
          <w:p w:rsidR="00330CB9" w:rsidRPr="006606AE" w:rsidRDefault="00330CB9" w:rsidP="00FD192D">
            <w:pPr>
              <w:jc w:val="center"/>
              <w:rPr>
                <w:rFonts w:ascii="Arial" w:hAnsi="Arial"/>
                <w:b/>
                <w:sz w:val="20"/>
                <w:szCs w:val="20"/>
                <w:lang w:val="es-CL"/>
              </w:rPr>
            </w:pPr>
          </w:p>
          <w:p w:rsidR="00330CB9" w:rsidRPr="006606AE" w:rsidRDefault="00330CB9" w:rsidP="00FD192D">
            <w:pPr>
              <w:jc w:val="center"/>
              <w:rPr>
                <w:rFonts w:ascii="Arial" w:hAnsi="Arial"/>
                <w:b/>
                <w:sz w:val="20"/>
                <w:szCs w:val="20"/>
                <w:lang w:val="es-CL"/>
              </w:rPr>
            </w:pPr>
            <w:r w:rsidRPr="006606AE">
              <w:rPr>
                <w:rFonts w:ascii="Arial" w:hAnsi="Arial"/>
                <w:b/>
                <w:sz w:val="20"/>
                <w:szCs w:val="20"/>
                <w:lang w:val="es-CL"/>
              </w:rPr>
              <w:t>REFRENDACION</w:t>
            </w:r>
          </w:p>
          <w:p w:rsidR="00330CB9" w:rsidRPr="006606AE" w:rsidRDefault="00330CB9" w:rsidP="00FD192D">
            <w:pPr>
              <w:jc w:val="center"/>
              <w:rPr>
                <w:sz w:val="20"/>
                <w:szCs w:val="20"/>
                <w:lang w:val="es-CL"/>
              </w:rPr>
            </w:pPr>
          </w:p>
        </w:tc>
      </w:tr>
      <w:tr w:rsidR="00330CB9" w:rsidRPr="006606AE" w:rsidTr="00FD192D">
        <w:tc>
          <w:tcPr>
            <w:tcW w:w="3480" w:type="dxa"/>
            <w:gridSpan w:val="3"/>
            <w:shd w:val="clear" w:color="auto" w:fill="auto"/>
          </w:tcPr>
          <w:p w:rsidR="00330CB9" w:rsidRPr="006606AE" w:rsidRDefault="00330CB9" w:rsidP="00FD192D">
            <w:pPr>
              <w:rPr>
                <w:rFonts w:ascii="Arial" w:hAnsi="Arial"/>
                <w:b/>
                <w:sz w:val="20"/>
                <w:szCs w:val="20"/>
                <w:lang w:val="es-CL"/>
              </w:rPr>
            </w:pPr>
          </w:p>
          <w:p w:rsidR="00330CB9" w:rsidRPr="006606AE" w:rsidRDefault="00330CB9" w:rsidP="00FD192D">
            <w:pPr>
              <w:rPr>
                <w:rFonts w:ascii="Arial" w:hAnsi="Arial"/>
                <w:b/>
                <w:sz w:val="20"/>
                <w:szCs w:val="20"/>
                <w:lang w:val="es-CL"/>
              </w:rPr>
            </w:pPr>
            <w:r w:rsidRPr="006606AE">
              <w:rPr>
                <w:rFonts w:ascii="Arial" w:hAnsi="Arial"/>
                <w:b/>
                <w:sz w:val="20"/>
                <w:szCs w:val="20"/>
                <w:lang w:val="es-CL"/>
              </w:rPr>
              <w:t>REF. POR           $_____________________</w:t>
            </w:r>
          </w:p>
          <w:p w:rsidR="00330CB9" w:rsidRPr="006606AE" w:rsidRDefault="00330CB9" w:rsidP="00FD192D">
            <w:pPr>
              <w:rPr>
                <w:rFonts w:ascii="Arial" w:hAnsi="Arial"/>
                <w:b/>
                <w:sz w:val="20"/>
                <w:szCs w:val="20"/>
                <w:lang w:val="es-CL"/>
              </w:rPr>
            </w:pPr>
          </w:p>
          <w:p w:rsidR="00330CB9" w:rsidRPr="006606AE" w:rsidRDefault="00330CB9" w:rsidP="00FD192D">
            <w:pPr>
              <w:rPr>
                <w:rFonts w:ascii="Arial" w:hAnsi="Arial"/>
                <w:b/>
                <w:sz w:val="20"/>
                <w:szCs w:val="20"/>
                <w:lang w:val="es-CL"/>
              </w:rPr>
            </w:pPr>
            <w:r w:rsidRPr="006606AE">
              <w:rPr>
                <w:rFonts w:ascii="Arial" w:hAnsi="Arial"/>
                <w:b/>
                <w:sz w:val="20"/>
                <w:szCs w:val="20"/>
                <w:lang w:val="es-CL"/>
              </w:rPr>
              <w:t>IMPUTAC.             _____________________</w:t>
            </w:r>
          </w:p>
          <w:p w:rsidR="00330CB9" w:rsidRPr="006606AE" w:rsidRDefault="00330CB9" w:rsidP="00FD192D">
            <w:pPr>
              <w:rPr>
                <w:rFonts w:ascii="Arial" w:hAnsi="Arial"/>
                <w:b/>
                <w:sz w:val="20"/>
                <w:szCs w:val="20"/>
                <w:lang w:val="es-CL"/>
              </w:rPr>
            </w:pPr>
          </w:p>
          <w:p w:rsidR="00330CB9" w:rsidRPr="006606AE" w:rsidRDefault="00330CB9" w:rsidP="00FD192D">
            <w:pPr>
              <w:rPr>
                <w:rFonts w:ascii="Arial" w:hAnsi="Arial"/>
                <w:b/>
                <w:sz w:val="20"/>
                <w:szCs w:val="20"/>
                <w:lang w:val="es-CL"/>
              </w:rPr>
            </w:pPr>
            <w:r w:rsidRPr="006606AE">
              <w:rPr>
                <w:rFonts w:ascii="Arial" w:hAnsi="Arial"/>
                <w:b/>
                <w:sz w:val="20"/>
                <w:szCs w:val="20"/>
                <w:lang w:val="es-CL"/>
              </w:rPr>
              <w:t>ANOT. POR        $_____________________</w:t>
            </w:r>
          </w:p>
          <w:p w:rsidR="00330CB9" w:rsidRPr="006606AE" w:rsidRDefault="00330CB9" w:rsidP="00FD192D">
            <w:pPr>
              <w:rPr>
                <w:rFonts w:ascii="Arial" w:hAnsi="Arial"/>
                <w:b/>
                <w:sz w:val="20"/>
                <w:szCs w:val="20"/>
                <w:lang w:val="es-CL"/>
              </w:rPr>
            </w:pPr>
          </w:p>
          <w:p w:rsidR="00330CB9" w:rsidRPr="006606AE" w:rsidRDefault="00330CB9" w:rsidP="00FD192D">
            <w:pPr>
              <w:rPr>
                <w:rFonts w:ascii="Arial" w:hAnsi="Arial"/>
                <w:b/>
                <w:sz w:val="20"/>
                <w:szCs w:val="20"/>
                <w:lang w:val="es-CL"/>
              </w:rPr>
            </w:pPr>
            <w:r w:rsidRPr="006606AE">
              <w:rPr>
                <w:rFonts w:ascii="Arial" w:hAnsi="Arial"/>
                <w:b/>
                <w:sz w:val="20"/>
                <w:szCs w:val="20"/>
                <w:lang w:val="es-CL"/>
              </w:rPr>
              <w:lastRenderedPageBreak/>
              <w:t>IMPUT.                  _____________________</w:t>
            </w:r>
          </w:p>
          <w:p w:rsidR="00330CB9" w:rsidRPr="006606AE" w:rsidRDefault="00330CB9" w:rsidP="00FD192D">
            <w:pPr>
              <w:rPr>
                <w:sz w:val="20"/>
                <w:szCs w:val="20"/>
                <w:lang w:val="es-CL"/>
              </w:rPr>
            </w:pPr>
          </w:p>
        </w:tc>
      </w:tr>
      <w:tr w:rsidR="00330CB9" w:rsidRPr="006606AE" w:rsidTr="00FD192D">
        <w:tc>
          <w:tcPr>
            <w:tcW w:w="3480" w:type="dxa"/>
            <w:gridSpan w:val="3"/>
            <w:shd w:val="clear" w:color="auto" w:fill="auto"/>
          </w:tcPr>
          <w:p w:rsidR="00330CB9" w:rsidRPr="006606AE" w:rsidRDefault="00330CB9" w:rsidP="00FD192D">
            <w:pPr>
              <w:rPr>
                <w:rFonts w:ascii="Arial" w:hAnsi="Arial"/>
                <w:b/>
                <w:sz w:val="20"/>
                <w:szCs w:val="20"/>
                <w:lang w:val="es-CL"/>
              </w:rPr>
            </w:pPr>
          </w:p>
          <w:p w:rsidR="00330CB9" w:rsidRPr="006606AE" w:rsidRDefault="00330CB9" w:rsidP="00FD192D">
            <w:pPr>
              <w:rPr>
                <w:rFonts w:ascii="Arial" w:hAnsi="Arial"/>
                <w:b/>
                <w:sz w:val="20"/>
                <w:szCs w:val="20"/>
                <w:lang w:val="es-CL"/>
              </w:rPr>
            </w:pPr>
            <w:r w:rsidRPr="006606AE">
              <w:rPr>
                <w:rFonts w:ascii="Arial" w:hAnsi="Arial"/>
                <w:b/>
                <w:sz w:val="20"/>
                <w:szCs w:val="20"/>
                <w:lang w:val="es-CL"/>
              </w:rPr>
              <w:t>DEDUC. DCTO.   _____________________</w:t>
            </w:r>
          </w:p>
          <w:p w:rsidR="00330CB9" w:rsidRPr="006606AE" w:rsidRDefault="00330CB9" w:rsidP="00FD192D">
            <w:pPr>
              <w:rPr>
                <w:sz w:val="20"/>
                <w:szCs w:val="20"/>
                <w:lang w:val="es-CL"/>
              </w:rPr>
            </w:pPr>
            <w:r w:rsidRPr="006606AE">
              <w:rPr>
                <w:rFonts w:ascii="Arial" w:hAnsi="Arial"/>
                <w:b/>
                <w:sz w:val="20"/>
                <w:szCs w:val="20"/>
                <w:lang w:val="es-CL"/>
              </w:rPr>
              <w:t xml:space="preserve">                  </w:t>
            </w:r>
          </w:p>
        </w:tc>
      </w:tr>
      <w:tr w:rsidR="00330CB9" w:rsidRPr="006606AE" w:rsidTr="00FD192D">
        <w:trPr>
          <w:trHeight w:val="136"/>
        </w:trPr>
        <w:tc>
          <w:tcPr>
            <w:tcW w:w="1438" w:type="dxa"/>
            <w:vMerge w:val="restart"/>
            <w:shd w:val="clear" w:color="auto" w:fill="auto"/>
          </w:tcPr>
          <w:p w:rsidR="00330CB9" w:rsidRPr="006606AE" w:rsidRDefault="00330CB9" w:rsidP="00FD192D">
            <w:pPr>
              <w:jc w:val="center"/>
              <w:rPr>
                <w:rFonts w:ascii="Arial" w:hAnsi="Arial"/>
                <w:b/>
                <w:sz w:val="20"/>
                <w:szCs w:val="20"/>
                <w:lang w:val="es-CL"/>
              </w:rPr>
            </w:pPr>
          </w:p>
        </w:tc>
        <w:tc>
          <w:tcPr>
            <w:tcW w:w="461" w:type="dxa"/>
            <w:shd w:val="clear" w:color="auto" w:fill="auto"/>
          </w:tcPr>
          <w:p w:rsidR="00330CB9" w:rsidRPr="006606AE" w:rsidRDefault="00330CB9" w:rsidP="00FD192D">
            <w:pPr>
              <w:rPr>
                <w:sz w:val="20"/>
                <w:szCs w:val="20"/>
                <w:lang w:val="es-CL"/>
              </w:rPr>
            </w:pPr>
          </w:p>
        </w:tc>
        <w:tc>
          <w:tcPr>
            <w:tcW w:w="1581" w:type="dxa"/>
            <w:vMerge w:val="restart"/>
            <w:shd w:val="clear" w:color="auto" w:fill="auto"/>
          </w:tcPr>
          <w:p w:rsidR="00330CB9" w:rsidRPr="006606AE" w:rsidRDefault="00330CB9" w:rsidP="00FD192D">
            <w:pPr>
              <w:rPr>
                <w:sz w:val="20"/>
                <w:szCs w:val="20"/>
                <w:lang w:val="es-CL"/>
              </w:rPr>
            </w:pPr>
          </w:p>
        </w:tc>
      </w:tr>
      <w:tr w:rsidR="00330CB9" w:rsidRPr="006606AE" w:rsidTr="00FD192D">
        <w:trPr>
          <w:trHeight w:val="136"/>
        </w:trPr>
        <w:tc>
          <w:tcPr>
            <w:tcW w:w="1438" w:type="dxa"/>
            <w:vMerge/>
            <w:shd w:val="clear" w:color="auto" w:fill="auto"/>
          </w:tcPr>
          <w:p w:rsidR="00330CB9" w:rsidRPr="006606AE" w:rsidRDefault="00330CB9" w:rsidP="00FD192D">
            <w:pPr>
              <w:jc w:val="center"/>
              <w:rPr>
                <w:rFonts w:ascii="Arial" w:hAnsi="Arial"/>
                <w:b/>
                <w:sz w:val="20"/>
                <w:szCs w:val="20"/>
                <w:lang w:val="es-CL"/>
              </w:rPr>
            </w:pPr>
          </w:p>
        </w:tc>
        <w:tc>
          <w:tcPr>
            <w:tcW w:w="461" w:type="dxa"/>
            <w:shd w:val="clear" w:color="auto" w:fill="auto"/>
          </w:tcPr>
          <w:p w:rsidR="00330CB9" w:rsidRPr="006606AE" w:rsidRDefault="00330CB9" w:rsidP="00FD192D">
            <w:pPr>
              <w:rPr>
                <w:sz w:val="20"/>
                <w:szCs w:val="20"/>
                <w:lang w:val="es-CL"/>
              </w:rPr>
            </w:pPr>
          </w:p>
        </w:tc>
        <w:tc>
          <w:tcPr>
            <w:tcW w:w="1581" w:type="dxa"/>
            <w:vMerge/>
            <w:shd w:val="clear" w:color="auto" w:fill="auto"/>
          </w:tcPr>
          <w:p w:rsidR="00330CB9" w:rsidRPr="006606AE" w:rsidRDefault="00330CB9" w:rsidP="00FD192D">
            <w:pPr>
              <w:rPr>
                <w:sz w:val="20"/>
                <w:szCs w:val="20"/>
                <w:lang w:val="es-CL"/>
              </w:rPr>
            </w:pPr>
          </w:p>
        </w:tc>
      </w:tr>
    </w:tbl>
    <w:p w:rsidR="00330CB9" w:rsidRPr="00F174BA" w:rsidRDefault="00330CB9" w:rsidP="00330CB9">
      <w:pPr>
        <w:ind w:left="-601"/>
        <w:jc w:val="both"/>
        <w:rPr>
          <w:lang w:val="es-CL"/>
        </w:rPr>
      </w:pPr>
      <w:r w:rsidRPr="00F174BA">
        <w:rPr>
          <w:lang w:val="es-CL"/>
        </w:rPr>
        <w:tab/>
      </w:r>
      <w:r w:rsidRPr="00F174BA">
        <w:rPr>
          <w:lang w:val="es-CL"/>
        </w:rPr>
        <w:tab/>
      </w:r>
      <w:r w:rsidRPr="00F174BA">
        <w:rPr>
          <w:lang w:val="es-CL"/>
        </w:rPr>
        <w:tab/>
      </w:r>
    </w:p>
    <w:p w:rsidR="00330CB9" w:rsidRPr="00F174BA" w:rsidRDefault="00330CB9" w:rsidP="00330CB9">
      <w:pPr>
        <w:ind w:left="-601"/>
        <w:jc w:val="both"/>
        <w:rPr>
          <w:lang w:val="es-CL"/>
        </w:rPr>
      </w:pPr>
    </w:p>
    <w:p w:rsidR="00330CB9" w:rsidRPr="00F174BA" w:rsidRDefault="00330CB9" w:rsidP="00330CB9">
      <w:pPr>
        <w:ind w:left="-601"/>
        <w:jc w:val="both"/>
        <w:rPr>
          <w:lang w:val="es-CL"/>
        </w:rPr>
      </w:pPr>
    </w:p>
    <w:p w:rsidR="00330CB9" w:rsidRPr="00F174BA" w:rsidRDefault="00330CB9" w:rsidP="00330CB9">
      <w:pPr>
        <w:rPr>
          <w:lang w:val="es-CL"/>
        </w:rPr>
      </w:pPr>
    </w:p>
    <w:p w:rsidR="00636B98" w:rsidRDefault="00636B98" w:rsidP="00330CB9">
      <w:pPr>
        <w:pStyle w:val="Textoindependiente"/>
        <w:keepNext/>
        <w:keepLines/>
        <w:suppressLineNumbers/>
        <w:pBdr>
          <w:bottom w:val="single" w:sz="12" w:space="1" w:color="auto"/>
        </w:pBdr>
        <w:suppressAutoHyphens/>
        <w:ind w:left="2880" w:right="-1365"/>
        <w:rPr>
          <w:rFonts w:ascii="Arial" w:hAnsi="Arial" w:cs="Arial"/>
          <w:caps/>
          <w:spacing w:val="-3"/>
        </w:rPr>
      </w:pPr>
    </w:p>
    <w:p w:rsidR="00636B98" w:rsidRDefault="00636B98" w:rsidP="00330CB9">
      <w:pPr>
        <w:pStyle w:val="Textoindependiente"/>
        <w:keepNext/>
        <w:keepLines/>
        <w:suppressLineNumbers/>
        <w:pBdr>
          <w:bottom w:val="single" w:sz="12" w:space="1" w:color="auto"/>
        </w:pBdr>
        <w:suppressAutoHyphens/>
        <w:ind w:left="2880" w:right="-1365"/>
        <w:rPr>
          <w:rFonts w:ascii="Arial" w:hAnsi="Arial" w:cs="Arial"/>
          <w:caps/>
          <w:spacing w:val="-3"/>
        </w:rPr>
      </w:pPr>
    </w:p>
    <w:p w:rsidR="00330CB9" w:rsidRPr="00F174BA" w:rsidRDefault="00330CB9" w:rsidP="00330CB9">
      <w:pPr>
        <w:pStyle w:val="Textoindependiente"/>
        <w:keepNext/>
        <w:keepLines/>
        <w:suppressLineNumbers/>
        <w:pBdr>
          <w:bottom w:val="single" w:sz="12" w:space="1" w:color="auto"/>
        </w:pBdr>
        <w:suppressAutoHyphens/>
        <w:ind w:left="2880" w:right="-1365"/>
        <w:rPr>
          <w:rFonts w:ascii="Arial" w:hAnsi="Arial" w:cs="Arial"/>
          <w:caps/>
        </w:rPr>
      </w:pPr>
      <w:r w:rsidRPr="00F174BA">
        <w:rPr>
          <w:rFonts w:ascii="Arial" w:hAnsi="Arial" w:cs="Arial"/>
          <w:caps/>
          <w:spacing w:val="-3"/>
        </w:rPr>
        <w:t xml:space="preserve">APRUEBA </w:t>
      </w:r>
      <w:r w:rsidR="007C756E">
        <w:rPr>
          <w:rFonts w:ascii="Arial" w:hAnsi="Arial" w:cs="Arial"/>
          <w:caps/>
          <w:spacing w:val="-3"/>
        </w:rPr>
        <w:t xml:space="preserve"> </w:t>
      </w:r>
      <w:r w:rsidRPr="00F174BA">
        <w:rPr>
          <w:rFonts w:ascii="Arial" w:hAnsi="Arial" w:cs="Arial"/>
          <w:caps/>
          <w:spacing w:val="-3"/>
        </w:rPr>
        <w:t>REGLAMENTO</w:t>
      </w:r>
      <w:r w:rsidR="007C756E">
        <w:rPr>
          <w:rFonts w:ascii="Arial" w:hAnsi="Arial" w:cs="Arial"/>
          <w:caps/>
          <w:spacing w:val="-3"/>
        </w:rPr>
        <w:t xml:space="preserve"> </w:t>
      </w:r>
      <w:r w:rsidR="007C756E" w:rsidRPr="007C756E">
        <w:rPr>
          <w:rFonts w:ascii="Arial" w:hAnsi="Arial" w:cs="Arial"/>
          <w:caps/>
          <w:spacing w:val="-3"/>
        </w:rPr>
        <w:t>para la tramitación y otorgamiento de permisos de operación de casinos de juego</w:t>
      </w:r>
      <w:r w:rsidR="00851B38">
        <w:rPr>
          <w:rFonts w:ascii="Arial" w:hAnsi="Arial" w:cs="Arial"/>
          <w:caps/>
          <w:spacing w:val="-3"/>
        </w:rPr>
        <w:t xml:space="preserve"> y</w:t>
      </w:r>
      <w:r w:rsidR="00851B38" w:rsidRPr="00851B38">
        <w:rPr>
          <w:rFonts w:ascii="Arial" w:hAnsi="Arial" w:cs="Arial"/>
          <w:caps/>
          <w:spacing w:val="-3"/>
        </w:rPr>
        <w:t xml:space="preserve"> </w:t>
      </w:r>
      <w:r w:rsidR="00851B38">
        <w:rPr>
          <w:rFonts w:ascii="Arial" w:hAnsi="Arial" w:cs="Arial"/>
          <w:caps/>
          <w:spacing w:val="-3"/>
        </w:rPr>
        <w:t xml:space="preserve">Deroga </w:t>
      </w:r>
      <w:r w:rsidR="00851B38" w:rsidRPr="00F174BA">
        <w:rPr>
          <w:rFonts w:ascii="Arial" w:hAnsi="Arial" w:cs="Arial"/>
          <w:caps/>
          <w:spacing w:val="-3"/>
        </w:rPr>
        <w:t xml:space="preserve">DECRETO SUPREMO N° </w:t>
      </w:r>
      <w:r w:rsidR="00851B38">
        <w:rPr>
          <w:rFonts w:ascii="Arial" w:hAnsi="Arial" w:cs="Arial"/>
          <w:caps/>
          <w:spacing w:val="-3"/>
        </w:rPr>
        <w:t>211</w:t>
      </w:r>
      <w:r w:rsidR="00851B38" w:rsidRPr="00F174BA">
        <w:rPr>
          <w:rFonts w:ascii="Arial" w:hAnsi="Arial" w:cs="Arial"/>
          <w:caps/>
          <w:spacing w:val="-3"/>
        </w:rPr>
        <w:t>, del</w:t>
      </w:r>
      <w:r w:rsidR="00851B38">
        <w:rPr>
          <w:rFonts w:ascii="Arial" w:hAnsi="Arial" w:cs="Arial"/>
          <w:caps/>
          <w:spacing w:val="-3"/>
        </w:rPr>
        <w:t xml:space="preserve"> MINISTERIO DE HACIENDA, DE 2005.</w:t>
      </w:r>
    </w:p>
    <w:p w:rsidR="00EE588C" w:rsidRDefault="00EE588C" w:rsidP="00EE588C">
      <w:pPr>
        <w:tabs>
          <w:tab w:val="left" w:pos="-22"/>
          <w:tab w:val="left" w:pos="2137"/>
          <w:tab w:val="left" w:pos="3145"/>
          <w:tab w:val="left" w:pos="5161"/>
          <w:tab w:val="left" w:pos="6457"/>
        </w:tabs>
        <w:suppressAutoHyphens/>
        <w:ind w:left="2880" w:right="-1365"/>
        <w:jc w:val="both"/>
        <w:rPr>
          <w:rFonts w:ascii="Arial" w:hAnsi="Arial" w:cs="Arial"/>
          <w:b/>
          <w:spacing w:val="-3"/>
        </w:rPr>
      </w:pPr>
    </w:p>
    <w:p w:rsidR="00EE588C" w:rsidRPr="00EE588C" w:rsidRDefault="00EE588C" w:rsidP="00EE588C">
      <w:pPr>
        <w:tabs>
          <w:tab w:val="left" w:pos="-22"/>
          <w:tab w:val="left" w:pos="2137"/>
          <w:tab w:val="left" w:pos="3145"/>
          <w:tab w:val="left" w:pos="5161"/>
          <w:tab w:val="left" w:pos="6457"/>
        </w:tabs>
        <w:suppressAutoHyphens/>
        <w:ind w:left="2880" w:right="-1365"/>
        <w:jc w:val="both"/>
        <w:rPr>
          <w:rFonts w:ascii="Arial" w:hAnsi="Arial" w:cs="Arial"/>
          <w:b/>
          <w:spacing w:val="-3"/>
        </w:rPr>
      </w:pPr>
    </w:p>
    <w:p w:rsidR="00330CB9" w:rsidRPr="00F174BA" w:rsidRDefault="00330CB9" w:rsidP="00330CB9">
      <w:pPr>
        <w:ind w:left="600"/>
        <w:rPr>
          <w:rFonts w:ascii="Arial" w:hAnsi="Arial"/>
          <w:lang w:val="es-CL"/>
        </w:rPr>
      </w:pPr>
    </w:p>
    <w:p w:rsidR="00330CB9" w:rsidRPr="00F174BA" w:rsidRDefault="00330CB9" w:rsidP="00330CB9">
      <w:pPr>
        <w:tabs>
          <w:tab w:val="left" w:pos="-22"/>
          <w:tab w:val="left" w:pos="2880"/>
          <w:tab w:val="left" w:pos="4200"/>
          <w:tab w:val="left" w:pos="5161"/>
          <w:tab w:val="left" w:pos="6457"/>
        </w:tabs>
        <w:suppressAutoHyphens/>
        <w:ind w:left="600" w:right="-1365"/>
        <w:jc w:val="both"/>
        <w:rPr>
          <w:rFonts w:ascii="Arial" w:hAnsi="Arial" w:cs="Arial"/>
          <w:b/>
          <w:spacing w:val="-3"/>
        </w:rPr>
      </w:pPr>
      <w:r w:rsidRPr="00F174BA">
        <w:rPr>
          <w:rFonts w:ascii="Arial" w:hAnsi="Arial" w:cs="Arial"/>
          <w:b/>
          <w:spacing w:val="-3"/>
        </w:rPr>
        <w:tab/>
        <w:t>N° _________________/</w:t>
      </w:r>
    </w:p>
    <w:p w:rsidR="00330CB9" w:rsidRPr="00F174BA" w:rsidRDefault="00330CB9" w:rsidP="001220C8">
      <w:pPr>
        <w:rPr>
          <w:rFonts w:ascii="Arial" w:hAnsi="Arial"/>
          <w:b/>
          <w:lang w:val="es-CL"/>
        </w:rPr>
      </w:pPr>
    </w:p>
    <w:p w:rsidR="00330CB9" w:rsidRPr="00F174BA" w:rsidRDefault="00330CB9" w:rsidP="00330CB9">
      <w:pPr>
        <w:ind w:left="600"/>
        <w:rPr>
          <w:rFonts w:ascii="Arial" w:hAnsi="Arial"/>
          <w:b/>
          <w:lang w:val="es-CL"/>
        </w:rPr>
      </w:pPr>
    </w:p>
    <w:p w:rsidR="00330CB9" w:rsidRPr="00F174BA" w:rsidRDefault="00330CB9" w:rsidP="001220C8">
      <w:pPr>
        <w:ind w:left="600"/>
        <w:rPr>
          <w:rFonts w:ascii="Arial" w:hAnsi="Arial"/>
          <w:b/>
          <w:lang w:val="es-CL"/>
        </w:rPr>
      </w:pPr>
      <w:r w:rsidRPr="00F174BA">
        <w:rPr>
          <w:rFonts w:ascii="Arial" w:hAnsi="Arial"/>
          <w:b/>
          <w:lang w:val="es-CL"/>
        </w:rPr>
        <w:tab/>
      </w:r>
      <w:r w:rsidRPr="00F174BA">
        <w:rPr>
          <w:rFonts w:ascii="Arial" w:hAnsi="Arial"/>
          <w:b/>
          <w:lang w:val="es-CL"/>
        </w:rPr>
        <w:tab/>
      </w:r>
      <w:r w:rsidRPr="00F174BA">
        <w:rPr>
          <w:rFonts w:ascii="Arial" w:hAnsi="Arial"/>
          <w:b/>
          <w:lang w:val="es-CL"/>
        </w:rPr>
        <w:tab/>
      </w:r>
      <w:r w:rsidRPr="00F174BA">
        <w:rPr>
          <w:rFonts w:ascii="Arial" w:hAnsi="Arial"/>
          <w:b/>
          <w:lang w:val="es-CL"/>
        </w:rPr>
        <w:tab/>
        <w:t>SANTIAGO,</w:t>
      </w:r>
    </w:p>
    <w:p w:rsidR="00330CB9" w:rsidRPr="00F174BA" w:rsidRDefault="00330CB9" w:rsidP="001220C8">
      <w:pPr>
        <w:jc w:val="both"/>
        <w:rPr>
          <w:rFonts w:ascii="Arial" w:hAnsi="Arial" w:cs="Arial"/>
          <w:lang w:val="es-CL"/>
        </w:rPr>
      </w:pPr>
    </w:p>
    <w:p w:rsidR="00330CB9" w:rsidRPr="00F174BA" w:rsidRDefault="00330CB9" w:rsidP="00330CB9">
      <w:pPr>
        <w:ind w:left="240" w:right="-1365"/>
        <w:jc w:val="both"/>
        <w:rPr>
          <w:rFonts w:ascii="Arial" w:hAnsi="Arial" w:cs="Arial"/>
          <w:bCs/>
          <w:spacing w:val="-3"/>
        </w:rPr>
      </w:pPr>
      <w:r w:rsidRPr="00F174BA">
        <w:rPr>
          <w:rFonts w:ascii="Arial" w:hAnsi="Arial" w:cs="Arial"/>
          <w:b/>
        </w:rPr>
        <w:tab/>
      </w:r>
      <w:r w:rsidRPr="00F174BA">
        <w:rPr>
          <w:rFonts w:ascii="Arial" w:hAnsi="Arial" w:cs="Arial"/>
          <w:b/>
        </w:rPr>
        <w:tab/>
      </w:r>
      <w:r w:rsidRPr="00F174BA">
        <w:rPr>
          <w:rFonts w:ascii="Arial" w:hAnsi="Arial" w:cs="Arial"/>
          <w:b/>
        </w:rPr>
        <w:tab/>
      </w:r>
      <w:r w:rsidRPr="00F174BA">
        <w:rPr>
          <w:rFonts w:ascii="Arial" w:hAnsi="Arial" w:cs="Arial"/>
          <w:b/>
        </w:rPr>
        <w:tab/>
        <w:t>VISTOS</w:t>
      </w:r>
      <w:r w:rsidRPr="00F174BA">
        <w:rPr>
          <w:rFonts w:ascii="Arial" w:hAnsi="Arial" w:cs="Arial"/>
        </w:rPr>
        <w:t>:</w:t>
      </w:r>
      <w:r w:rsidRPr="00F174BA">
        <w:rPr>
          <w:rFonts w:ascii="Arial" w:hAnsi="Arial" w:cs="Arial"/>
        </w:rPr>
        <w:tab/>
      </w:r>
      <w:r w:rsidRPr="00F174BA">
        <w:rPr>
          <w:rFonts w:ascii="Arial" w:hAnsi="Arial" w:cs="Arial"/>
          <w:bCs/>
          <w:spacing w:val="-3"/>
        </w:rPr>
        <w:t>Lo dispuesto en los artículos 24 y 32 N° 6 de la Constitución Política de la República</w:t>
      </w:r>
      <w:r w:rsidR="001220C8" w:rsidRPr="00F174BA">
        <w:rPr>
          <w:rFonts w:ascii="Arial" w:hAnsi="Arial" w:cs="Arial"/>
          <w:bCs/>
          <w:spacing w:val="-3"/>
        </w:rPr>
        <w:t xml:space="preserve">; </w:t>
      </w:r>
      <w:r w:rsidR="00636B98">
        <w:rPr>
          <w:rFonts w:ascii="Arial" w:hAnsi="Arial" w:cs="Arial"/>
          <w:bCs/>
          <w:spacing w:val="-3"/>
        </w:rPr>
        <w:t xml:space="preserve"> </w:t>
      </w:r>
      <w:r w:rsidR="001220C8" w:rsidRPr="00F174BA">
        <w:rPr>
          <w:rFonts w:ascii="Arial" w:hAnsi="Arial" w:cs="Arial"/>
          <w:bCs/>
          <w:spacing w:val="-3"/>
        </w:rPr>
        <w:t>la</w:t>
      </w:r>
      <w:r w:rsidRPr="00F174BA">
        <w:rPr>
          <w:rFonts w:ascii="Arial" w:hAnsi="Arial" w:cs="Arial"/>
          <w:bCs/>
          <w:spacing w:val="-3"/>
        </w:rPr>
        <w:t xml:space="preserve"> ley N° 19.</w:t>
      </w:r>
      <w:r w:rsidR="007C756E">
        <w:rPr>
          <w:rFonts w:ascii="Arial" w:hAnsi="Arial" w:cs="Arial"/>
          <w:bCs/>
          <w:spacing w:val="-3"/>
        </w:rPr>
        <w:t>995</w:t>
      </w:r>
      <w:r w:rsidRPr="00F174BA">
        <w:rPr>
          <w:rFonts w:ascii="Arial" w:hAnsi="Arial" w:cs="Arial"/>
          <w:bCs/>
          <w:spacing w:val="-3"/>
        </w:rPr>
        <w:t xml:space="preserve">, </w:t>
      </w:r>
      <w:r w:rsidR="007C756E">
        <w:rPr>
          <w:rFonts w:ascii="Arial" w:hAnsi="Arial" w:cs="Arial"/>
          <w:bCs/>
          <w:spacing w:val="-3"/>
        </w:rPr>
        <w:t>que e</w:t>
      </w:r>
      <w:r w:rsidR="007C756E" w:rsidRPr="007C756E">
        <w:rPr>
          <w:rFonts w:ascii="Arial" w:hAnsi="Arial" w:cs="Arial"/>
          <w:bCs/>
          <w:spacing w:val="-3"/>
        </w:rPr>
        <w:t>stablece las bases generales para la autorización, funcionamiento y fiscalización de casinos de juego</w:t>
      </w:r>
      <w:r w:rsidRPr="00F174BA">
        <w:rPr>
          <w:rFonts w:ascii="Arial" w:hAnsi="Arial" w:cs="Arial"/>
          <w:bCs/>
          <w:spacing w:val="-3"/>
        </w:rPr>
        <w:t>, y</w:t>
      </w:r>
    </w:p>
    <w:p w:rsidR="00330CB9" w:rsidRPr="00F174BA" w:rsidRDefault="00330CB9" w:rsidP="00330CB9">
      <w:pPr>
        <w:ind w:left="240" w:right="-1365"/>
        <w:jc w:val="both"/>
        <w:rPr>
          <w:rFonts w:ascii="Arial" w:hAnsi="Arial" w:cs="Arial"/>
          <w:bCs/>
          <w:spacing w:val="-3"/>
        </w:rPr>
      </w:pPr>
    </w:p>
    <w:p w:rsidR="00330CB9" w:rsidRPr="00F174BA" w:rsidRDefault="00330CB9" w:rsidP="00330CB9">
      <w:pPr>
        <w:ind w:left="240" w:right="-1365"/>
        <w:jc w:val="both"/>
        <w:rPr>
          <w:rFonts w:ascii="Arial" w:hAnsi="Arial" w:cs="Arial"/>
          <w:bCs/>
          <w:spacing w:val="-3"/>
        </w:rPr>
      </w:pPr>
    </w:p>
    <w:p w:rsidR="00C87371" w:rsidRPr="00F174BA" w:rsidRDefault="00330CB9" w:rsidP="00C87371">
      <w:pPr>
        <w:ind w:left="240" w:right="-1365"/>
        <w:jc w:val="both"/>
        <w:rPr>
          <w:rFonts w:ascii="Arial" w:hAnsi="Arial" w:cs="Arial"/>
        </w:rPr>
      </w:pPr>
      <w:r w:rsidRPr="00F174BA">
        <w:rPr>
          <w:rFonts w:ascii="Arial" w:hAnsi="Arial" w:cs="Arial"/>
          <w:b/>
          <w:bCs/>
          <w:spacing w:val="-3"/>
        </w:rPr>
        <w:tab/>
      </w:r>
      <w:r w:rsidRPr="00F174BA">
        <w:rPr>
          <w:rFonts w:ascii="Arial" w:hAnsi="Arial" w:cs="Arial"/>
          <w:b/>
          <w:bCs/>
          <w:spacing w:val="-3"/>
        </w:rPr>
        <w:tab/>
      </w:r>
      <w:r w:rsidRPr="00F174BA">
        <w:rPr>
          <w:rFonts w:ascii="Arial" w:hAnsi="Arial" w:cs="Arial"/>
          <w:b/>
          <w:bCs/>
          <w:spacing w:val="-3"/>
        </w:rPr>
        <w:tab/>
      </w:r>
      <w:r w:rsidRPr="00F174BA">
        <w:rPr>
          <w:rFonts w:ascii="Arial" w:hAnsi="Arial" w:cs="Arial"/>
          <w:b/>
          <w:bCs/>
          <w:spacing w:val="-3"/>
        </w:rPr>
        <w:tab/>
        <w:t>CONSIDERANDO</w:t>
      </w:r>
      <w:r w:rsidRPr="00F174BA">
        <w:rPr>
          <w:rFonts w:ascii="Arial" w:hAnsi="Arial" w:cs="Arial"/>
          <w:bCs/>
          <w:spacing w:val="-3"/>
        </w:rPr>
        <w:t xml:space="preserve">: </w:t>
      </w:r>
    </w:p>
    <w:p w:rsidR="00C87371" w:rsidRPr="00F174BA" w:rsidRDefault="00C87371" w:rsidP="00330CB9">
      <w:pPr>
        <w:ind w:left="240" w:right="-1365"/>
        <w:jc w:val="both"/>
        <w:rPr>
          <w:rFonts w:ascii="Arial" w:hAnsi="Arial" w:cs="Arial"/>
        </w:rPr>
      </w:pPr>
    </w:p>
    <w:p w:rsidR="007C756E" w:rsidRDefault="00C87371" w:rsidP="00330CB9">
      <w:pPr>
        <w:ind w:left="240" w:right="-1365"/>
        <w:jc w:val="both"/>
        <w:rPr>
          <w:rFonts w:ascii="Arial" w:hAnsi="Arial" w:cs="Arial"/>
        </w:rPr>
      </w:pPr>
      <w:r w:rsidRPr="00F174BA">
        <w:rPr>
          <w:rFonts w:ascii="Arial" w:hAnsi="Arial" w:cs="Arial"/>
        </w:rPr>
        <w:t>1.- Que</w:t>
      </w:r>
      <w:r w:rsidR="00AB34C8">
        <w:rPr>
          <w:rFonts w:ascii="Arial" w:hAnsi="Arial" w:cs="Arial"/>
        </w:rPr>
        <w:t>,</w:t>
      </w:r>
      <w:r w:rsidRPr="00F174BA">
        <w:rPr>
          <w:rFonts w:ascii="Arial" w:hAnsi="Arial" w:cs="Arial"/>
        </w:rPr>
        <w:t xml:space="preserve"> </w:t>
      </w:r>
      <w:r w:rsidR="007C756E">
        <w:rPr>
          <w:rFonts w:ascii="Arial" w:hAnsi="Arial" w:cs="Arial"/>
        </w:rPr>
        <w:t xml:space="preserve">la ley N° </w:t>
      </w:r>
      <w:r w:rsidR="00FA5918">
        <w:rPr>
          <w:rFonts w:ascii="Arial" w:hAnsi="Arial" w:cs="Arial"/>
        </w:rPr>
        <w:t>20.856</w:t>
      </w:r>
      <w:r w:rsidR="007C756E">
        <w:rPr>
          <w:rFonts w:ascii="Arial" w:hAnsi="Arial" w:cs="Arial"/>
        </w:rPr>
        <w:t xml:space="preserve">, </w:t>
      </w:r>
      <w:r w:rsidR="00636B98">
        <w:rPr>
          <w:rFonts w:ascii="Arial" w:hAnsi="Arial" w:cs="Arial"/>
        </w:rPr>
        <w:t xml:space="preserve">ha </w:t>
      </w:r>
      <w:r w:rsidR="007C756E">
        <w:rPr>
          <w:rFonts w:ascii="Arial" w:hAnsi="Arial" w:cs="Arial"/>
        </w:rPr>
        <w:t>introduc</w:t>
      </w:r>
      <w:r w:rsidR="00636B98">
        <w:rPr>
          <w:rFonts w:ascii="Arial" w:hAnsi="Arial" w:cs="Arial"/>
        </w:rPr>
        <w:t>ido</w:t>
      </w:r>
      <w:r w:rsidR="007C756E" w:rsidRPr="007C756E">
        <w:rPr>
          <w:rFonts w:ascii="Arial" w:hAnsi="Arial" w:cs="Arial"/>
        </w:rPr>
        <w:t xml:space="preserve"> </w:t>
      </w:r>
      <w:r w:rsidR="007C756E">
        <w:rPr>
          <w:rFonts w:ascii="Arial" w:hAnsi="Arial" w:cs="Arial"/>
        </w:rPr>
        <w:t xml:space="preserve">una serie de </w:t>
      </w:r>
      <w:r w:rsidR="007C756E" w:rsidRPr="007C756E">
        <w:rPr>
          <w:rFonts w:ascii="Arial" w:hAnsi="Arial" w:cs="Arial"/>
        </w:rPr>
        <w:t xml:space="preserve">modificaciones </w:t>
      </w:r>
      <w:r w:rsidR="008105E2">
        <w:rPr>
          <w:rFonts w:ascii="Arial" w:hAnsi="Arial" w:cs="Arial"/>
        </w:rPr>
        <w:t xml:space="preserve">a </w:t>
      </w:r>
      <w:r w:rsidR="007C756E" w:rsidRPr="007C756E">
        <w:rPr>
          <w:rFonts w:ascii="Arial" w:hAnsi="Arial" w:cs="Arial"/>
        </w:rPr>
        <w:t xml:space="preserve"> la ley N°19.995</w:t>
      </w:r>
      <w:r w:rsidR="007C756E">
        <w:rPr>
          <w:rFonts w:ascii="Arial" w:hAnsi="Arial" w:cs="Arial"/>
        </w:rPr>
        <w:t xml:space="preserve">, </w:t>
      </w:r>
      <w:r w:rsidR="00440246">
        <w:rPr>
          <w:rFonts w:ascii="Arial" w:hAnsi="Arial" w:cs="Arial"/>
        </w:rPr>
        <w:t xml:space="preserve"> </w:t>
      </w:r>
      <w:r w:rsidR="00636B98">
        <w:rPr>
          <w:rFonts w:ascii="Arial" w:hAnsi="Arial" w:cs="Arial"/>
        </w:rPr>
        <w:t xml:space="preserve">las </w:t>
      </w:r>
      <w:r w:rsidR="00440246">
        <w:rPr>
          <w:rFonts w:ascii="Arial" w:hAnsi="Arial" w:cs="Arial"/>
        </w:rPr>
        <w:t>que tienen una incidencia directa en la forma que la Superintendencia de Casinos de Juego otorga los respectivos permisos de operación.</w:t>
      </w:r>
    </w:p>
    <w:p w:rsidR="00C87371" w:rsidRPr="00F174BA" w:rsidRDefault="00C87371" w:rsidP="00330CB9">
      <w:pPr>
        <w:ind w:left="240" w:right="-1365"/>
        <w:jc w:val="both"/>
        <w:rPr>
          <w:rFonts w:ascii="Arial" w:hAnsi="Arial" w:cs="Arial"/>
        </w:rPr>
      </w:pPr>
    </w:p>
    <w:p w:rsidR="00330CB9" w:rsidRPr="00F174BA" w:rsidRDefault="00C87371" w:rsidP="00330CB9">
      <w:pPr>
        <w:ind w:left="240" w:right="-1365"/>
        <w:jc w:val="both"/>
        <w:rPr>
          <w:rFonts w:ascii="Arial" w:hAnsi="Arial" w:cs="Arial"/>
        </w:rPr>
      </w:pPr>
      <w:r w:rsidRPr="00F174BA">
        <w:rPr>
          <w:rFonts w:ascii="Arial" w:hAnsi="Arial" w:cs="Arial"/>
        </w:rPr>
        <w:lastRenderedPageBreak/>
        <w:t xml:space="preserve">2.- </w:t>
      </w:r>
      <w:r w:rsidR="00330CB9" w:rsidRPr="00F174BA">
        <w:rPr>
          <w:rFonts w:ascii="Arial" w:hAnsi="Arial" w:cs="Arial"/>
        </w:rPr>
        <w:t>Que</w:t>
      </w:r>
      <w:r w:rsidR="005E6178" w:rsidRPr="00F174BA">
        <w:rPr>
          <w:rFonts w:ascii="Arial" w:hAnsi="Arial" w:cs="Arial"/>
        </w:rPr>
        <w:t>, en conformidad a</w:t>
      </w:r>
      <w:r w:rsidR="001220C8" w:rsidRPr="00F174BA">
        <w:rPr>
          <w:rFonts w:ascii="Arial" w:hAnsi="Arial" w:cs="Arial"/>
        </w:rPr>
        <w:t xml:space="preserve"> lo </w:t>
      </w:r>
      <w:r w:rsidR="00AD0058" w:rsidRPr="00F174BA">
        <w:rPr>
          <w:rFonts w:ascii="Arial" w:hAnsi="Arial" w:cs="Arial"/>
        </w:rPr>
        <w:t xml:space="preserve">anterior y </w:t>
      </w:r>
      <w:r w:rsidR="005E6178" w:rsidRPr="00F174BA">
        <w:rPr>
          <w:rFonts w:ascii="Arial" w:hAnsi="Arial" w:cs="Arial"/>
        </w:rPr>
        <w:t xml:space="preserve">teniendo en cuenta </w:t>
      </w:r>
      <w:r w:rsidR="00AD0058" w:rsidRPr="00F174BA">
        <w:rPr>
          <w:rFonts w:ascii="Arial" w:hAnsi="Arial" w:cs="Arial"/>
        </w:rPr>
        <w:t>la</w:t>
      </w:r>
      <w:r w:rsidR="00330CB9" w:rsidRPr="00F174BA">
        <w:rPr>
          <w:rFonts w:ascii="Arial" w:hAnsi="Arial" w:cs="Arial"/>
        </w:rPr>
        <w:t xml:space="preserve"> </w:t>
      </w:r>
      <w:r w:rsidR="00440246">
        <w:rPr>
          <w:rFonts w:ascii="Arial" w:hAnsi="Arial" w:cs="Arial"/>
        </w:rPr>
        <w:t xml:space="preserve">gran cantidad de </w:t>
      </w:r>
      <w:r w:rsidR="00636B98">
        <w:rPr>
          <w:rFonts w:ascii="Arial" w:hAnsi="Arial" w:cs="Arial"/>
        </w:rPr>
        <w:t>adecuaciones</w:t>
      </w:r>
      <w:r w:rsidR="00440246">
        <w:rPr>
          <w:rFonts w:ascii="Arial" w:hAnsi="Arial" w:cs="Arial"/>
        </w:rPr>
        <w:t xml:space="preserve"> que requeriría</w:t>
      </w:r>
      <w:r w:rsidR="00330CB9" w:rsidRPr="00F174BA">
        <w:rPr>
          <w:rFonts w:ascii="Arial" w:hAnsi="Arial" w:cs="Arial"/>
        </w:rPr>
        <w:t xml:space="preserve"> </w:t>
      </w:r>
      <w:r w:rsidR="00440246">
        <w:rPr>
          <w:rFonts w:ascii="Arial" w:hAnsi="Arial" w:cs="Arial"/>
        </w:rPr>
        <w:t>e</w:t>
      </w:r>
      <w:r w:rsidR="00330CB9" w:rsidRPr="00F174BA">
        <w:rPr>
          <w:rFonts w:ascii="Arial" w:hAnsi="Arial" w:cs="Arial"/>
        </w:rPr>
        <w:t>l Decreto Supremo N° 2</w:t>
      </w:r>
      <w:r w:rsidR="00440246">
        <w:rPr>
          <w:rFonts w:ascii="Arial" w:hAnsi="Arial" w:cs="Arial"/>
        </w:rPr>
        <w:t>11</w:t>
      </w:r>
      <w:r w:rsidR="00330CB9" w:rsidRPr="00F174BA">
        <w:rPr>
          <w:rFonts w:ascii="Arial" w:hAnsi="Arial" w:cs="Arial"/>
        </w:rPr>
        <w:t>, de</w:t>
      </w:r>
      <w:r w:rsidR="00AD0058" w:rsidRPr="00F174BA">
        <w:rPr>
          <w:rFonts w:ascii="Arial" w:hAnsi="Arial" w:cs="Arial"/>
        </w:rPr>
        <w:t>l Ministerio de Hacienda</w:t>
      </w:r>
      <w:r w:rsidR="00440246">
        <w:rPr>
          <w:rFonts w:ascii="Arial" w:hAnsi="Arial" w:cs="Arial"/>
        </w:rPr>
        <w:t>, de 2005</w:t>
      </w:r>
      <w:r w:rsidR="00330CB9" w:rsidRPr="00F174BA">
        <w:rPr>
          <w:rFonts w:ascii="Arial" w:hAnsi="Arial" w:cs="Arial"/>
        </w:rPr>
        <w:t xml:space="preserve">, </w:t>
      </w:r>
      <w:r w:rsidR="00636B98">
        <w:rPr>
          <w:rFonts w:ascii="Arial" w:hAnsi="Arial" w:cs="Arial"/>
        </w:rPr>
        <w:t xml:space="preserve">que actualmente reglamenta la tramitación y otorgamiento de permisos de operación de Casinos de Juego, </w:t>
      </w:r>
      <w:r w:rsidR="00440246">
        <w:rPr>
          <w:rFonts w:ascii="Arial" w:hAnsi="Arial" w:cs="Arial"/>
        </w:rPr>
        <w:t>se ha estimado necesario dejarlo sin efecto y dictar un nuevo reglamento sobre la materia.</w:t>
      </w:r>
    </w:p>
    <w:p w:rsidR="00330CB9" w:rsidRPr="00F174BA" w:rsidRDefault="00330CB9" w:rsidP="00330CB9">
      <w:pPr>
        <w:suppressAutoHyphens/>
        <w:ind w:left="240" w:right="-1365"/>
        <w:jc w:val="both"/>
        <w:rPr>
          <w:rFonts w:ascii="Arial" w:hAnsi="Arial" w:cs="Arial"/>
          <w:bCs/>
          <w:spacing w:val="-3"/>
        </w:rPr>
      </w:pPr>
    </w:p>
    <w:p w:rsidR="00330CB9" w:rsidRPr="00F174BA" w:rsidRDefault="00330CB9" w:rsidP="00330CB9">
      <w:pPr>
        <w:ind w:left="240" w:right="-1356"/>
        <w:jc w:val="both"/>
        <w:rPr>
          <w:rFonts w:ascii="Arial" w:hAnsi="Arial"/>
          <w:b/>
        </w:rPr>
      </w:pPr>
      <w:r w:rsidRPr="00F174BA">
        <w:rPr>
          <w:rFonts w:ascii="Arial" w:hAnsi="Arial"/>
          <w:b/>
        </w:rPr>
        <w:t xml:space="preserve">             </w:t>
      </w:r>
      <w:r w:rsidRPr="00F174BA">
        <w:rPr>
          <w:rFonts w:ascii="Arial" w:hAnsi="Arial"/>
          <w:b/>
        </w:rPr>
        <w:tab/>
      </w:r>
      <w:r w:rsidRPr="00F174BA">
        <w:rPr>
          <w:rFonts w:ascii="Arial" w:hAnsi="Arial"/>
          <w:b/>
        </w:rPr>
        <w:tab/>
      </w:r>
      <w:r w:rsidRPr="00F174BA">
        <w:rPr>
          <w:rFonts w:ascii="Arial" w:hAnsi="Arial"/>
          <w:b/>
        </w:rPr>
        <w:tab/>
        <w:t>DECRETO:</w:t>
      </w:r>
    </w:p>
    <w:p w:rsidR="00330CB9" w:rsidRPr="00F174BA" w:rsidRDefault="00330CB9" w:rsidP="00330CB9">
      <w:pPr>
        <w:ind w:left="240" w:right="-1356"/>
        <w:jc w:val="both"/>
        <w:rPr>
          <w:rFonts w:ascii="Arial" w:hAnsi="Arial"/>
          <w:b/>
        </w:rPr>
      </w:pPr>
    </w:p>
    <w:p w:rsidR="00330CB9" w:rsidRPr="00F174BA" w:rsidRDefault="00330CB9" w:rsidP="00330CB9">
      <w:pPr>
        <w:ind w:left="240" w:right="-1356"/>
        <w:jc w:val="both"/>
        <w:rPr>
          <w:rFonts w:ascii="Arial" w:hAnsi="Arial"/>
          <w:b/>
        </w:rPr>
      </w:pPr>
    </w:p>
    <w:p w:rsidR="00330CB9" w:rsidRDefault="00330CB9" w:rsidP="00330CB9">
      <w:pPr>
        <w:ind w:left="240" w:right="-1365"/>
        <w:jc w:val="both"/>
        <w:rPr>
          <w:rFonts w:ascii="Arial" w:hAnsi="Arial" w:cs="Arial"/>
          <w:color w:val="000000"/>
        </w:rPr>
      </w:pPr>
      <w:r w:rsidRPr="00F174BA">
        <w:rPr>
          <w:b/>
          <w:color w:val="000000"/>
        </w:rPr>
        <w:tab/>
      </w:r>
      <w:r w:rsidRPr="00F174BA">
        <w:rPr>
          <w:b/>
          <w:color w:val="000000"/>
        </w:rPr>
        <w:tab/>
      </w:r>
      <w:r w:rsidRPr="00F174BA">
        <w:rPr>
          <w:b/>
          <w:color w:val="000000"/>
        </w:rPr>
        <w:tab/>
      </w:r>
      <w:r w:rsidRPr="00F174BA">
        <w:rPr>
          <w:b/>
          <w:color w:val="000000"/>
        </w:rPr>
        <w:tab/>
      </w:r>
      <w:r w:rsidR="00440246">
        <w:rPr>
          <w:rFonts w:ascii="Arial" w:hAnsi="Arial" w:cs="Arial"/>
          <w:color w:val="000000"/>
        </w:rPr>
        <w:t xml:space="preserve"> </w:t>
      </w:r>
    </w:p>
    <w:p w:rsidR="00440246" w:rsidRDefault="00440246" w:rsidP="00330CB9">
      <w:pPr>
        <w:ind w:left="240" w:right="-1365"/>
        <w:jc w:val="both"/>
        <w:rPr>
          <w:rFonts w:ascii="Arial" w:hAnsi="Arial" w:cs="Arial"/>
          <w:color w:val="000000"/>
        </w:rPr>
      </w:pPr>
    </w:p>
    <w:p w:rsidR="00440246" w:rsidRDefault="00440246" w:rsidP="00330CB9">
      <w:pPr>
        <w:ind w:left="240" w:right="-1365"/>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b/>
          <w:color w:val="000000"/>
        </w:rPr>
        <w:t xml:space="preserve">ARTÍCULO </w:t>
      </w:r>
      <w:r w:rsidR="00851B38">
        <w:rPr>
          <w:rFonts w:ascii="Arial" w:hAnsi="Arial" w:cs="Arial"/>
          <w:b/>
          <w:color w:val="000000"/>
        </w:rPr>
        <w:t>PRIMERO</w:t>
      </w:r>
      <w:r>
        <w:rPr>
          <w:rFonts w:ascii="Arial" w:hAnsi="Arial" w:cs="Arial"/>
          <w:b/>
          <w:color w:val="000000"/>
        </w:rPr>
        <w:t>:</w:t>
      </w:r>
      <w:r>
        <w:rPr>
          <w:rFonts w:ascii="Arial" w:hAnsi="Arial" w:cs="Arial"/>
          <w:color w:val="000000"/>
        </w:rPr>
        <w:t xml:space="preserve"> </w:t>
      </w:r>
      <w:r w:rsidR="00851B38">
        <w:rPr>
          <w:rFonts w:ascii="Arial" w:hAnsi="Arial" w:cs="Arial"/>
          <w:color w:val="000000"/>
        </w:rPr>
        <w:t xml:space="preserve">Apruébase </w:t>
      </w:r>
      <w:r w:rsidRPr="00440246">
        <w:rPr>
          <w:rFonts w:ascii="Arial" w:hAnsi="Arial" w:cs="Arial"/>
          <w:color w:val="000000"/>
        </w:rPr>
        <w:t xml:space="preserve"> el siguiente </w:t>
      </w:r>
      <w:r w:rsidR="000C7F05">
        <w:rPr>
          <w:rFonts w:ascii="Arial" w:hAnsi="Arial" w:cs="Arial"/>
          <w:color w:val="000000"/>
        </w:rPr>
        <w:t>Reglamento</w:t>
      </w:r>
      <w:r w:rsidRPr="00440246">
        <w:rPr>
          <w:rFonts w:ascii="Arial" w:hAnsi="Arial" w:cs="Arial"/>
          <w:color w:val="000000"/>
        </w:rPr>
        <w:t xml:space="preserve"> para la Tramitación y Otorgamiento de Permisos de Operación de Casinos de Juego:</w:t>
      </w:r>
    </w:p>
    <w:p w:rsidR="00440246" w:rsidRDefault="00440246" w:rsidP="00330CB9">
      <w:pPr>
        <w:ind w:left="240" w:right="-1365"/>
        <w:jc w:val="both"/>
        <w:rPr>
          <w:rFonts w:ascii="Arial" w:hAnsi="Arial" w:cs="Arial"/>
          <w:color w:val="000000"/>
        </w:rPr>
      </w:pPr>
    </w:p>
    <w:p w:rsidR="00440246" w:rsidRDefault="00440246" w:rsidP="00330CB9">
      <w:pPr>
        <w:ind w:left="240" w:right="-1365"/>
        <w:jc w:val="both"/>
        <w:rPr>
          <w:rFonts w:ascii="Arial" w:hAnsi="Arial" w:cs="Arial"/>
          <w:color w:val="000000"/>
        </w:rPr>
      </w:pPr>
    </w:p>
    <w:p w:rsidR="00440246" w:rsidRDefault="00440246" w:rsidP="00330CB9">
      <w:pPr>
        <w:ind w:left="240" w:right="-1365"/>
        <w:jc w:val="both"/>
        <w:rPr>
          <w:rFonts w:ascii="Arial" w:hAnsi="Arial" w:cs="Arial"/>
          <w:color w:val="000000"/>
        </w:rPr>
      </w:pPr>
    </w:p>
    <w:p w:rsidR="00440246" w:rsidRDefault="00440246" w:rsidP="00330CB9">
      <w:pPr>
        <w:ind w:left="240" w:right="-1365"/>
        <w:jc w:val="both"/>
        <w:rPr>
          <w:rFonts w:ascii="Arial" w:hAnsi="Arial" w:cs="Arial"/>
          <w:color w:val="000000"/>
        </w:rPr>
      </w:pPr>
    </w:p>
    <w:p w:rsidR="00440246" w:rsidRDefault="00440246" w:rsidP="00330CB9">
      <w:pPr>
        <w:ind w:left="240" w:right="-1365"/>
        <w:jc w:val="both"/>
        <w:rPr>
          <w:rFonts w:ascii="Arial" w:hAnsi="Arial" w:cs="Arial"/>
          <w:color w:val="000000"/>
        </w:rPr>
      </w:pPr>
    </w:p>
    <w:p w:rsidR="00330CB9" w:rsidRPr="00F174BA" w:rsidRDefault="00330CB9" w:rsidP="00330CB9">
      <w:pPr>
        <w:ind w:left="1920" w:right="-1365"/>
        <w:jc w:val="both"/>
        <w:rPr>
          <w:rFonts w:ascii="Arial" w:hAnsi="Arial" w:cs="Arial"/>
          <w:color w:val="000000"/>
        </w:rPr>
        <w:sectPr w:rsidR="00330CB9" w:rsidRPr="00F174BA" w:rsidSect="00636B98">
          <w:headerReference w:type="even" r:id="rId8"/>
          <w:headerReference w:type="default" r:id="rId9"/>
          <w:footerReference w:type="even" r:id="rId10"/>
          <w:footerReference w:type="default" r:id="rId11"/>
          <w:headerReference w:type="first" r:id="rId12"/>
          <w:pgSz w:w="12242" w:h="20162" w:code="5"/>
          <w:pgMar w:top="1418" w:right="2268" w:bottom="3119" w:left="1418" w:header="709" w:footer="709" w:gutter="0"/>
          <w:paperSrc w:first="15" w:other="15"/>
          <w:pgNumType w:start="1"/>
          <w:cols w:num="2" w:space="1640" w:equalWidth="0">
            <w:col w:w="2482" w:space="599"/>
            <w:col w:w="5475"/>
          </w:cols>
          <w:titlePg/>
          <w:docGrid w:linePitch="360"/>
        </w:sectPr>
      </w:pPr>
    </w:p>
    <w:p w:rsidR="00C63923" w:rsidRDefault="00C63923" w:rsidP="00636B98">
      <w:pPr>
        <w:spacing w:line="276" w:lineRule="auto"/>
        <w:jc w:val="center"/>
        <w:rPr>
          <w:rFonts w:ascii="Arial" w:hAnsi="Arial" w:cs="Arial"/>
          <w:b/>
        </w:rPr>
      </w:pPr>
    </w:p>
    <w:p w:rsidR="00440246" w:rsidRPr="00636B98" w:rsidRDefault="00440246" w:rsidP="00636B98">
      <w:pPr>
        <w:spacing w:line="276" w:lineRule="auto"/>
        <w:jc w:val="center"/>
        <w:rPr>
          <w:rFonts w:ascii="Arial" w:hAnsi="Arial" w:cs="Arial"/>
          <w:b/>
        </w:rPr>
      </w:pPr>
      <w:r w:rsidRPr="00636B98">
        <w:rPr>
          <w:rFonts w:ascii="Arial" w:hAnsi="Arial" w:cs="Arial"/>
          <w:b/>
        </w:rPr>
        <w:t>TITULO I</w:t>
      </w:r>
      <w:r w:rsidR="00973AE2" w:rsidRPr="00636B98">
        <w:rPr>
          <w:rFonts w:ascii="Arial" w:hAnsi="Arial" w:cs="Arial"/>
          <w:b/>
        </w:rPr>
        <w:t>.</w:t>
      </w:r>
      <w:r w:rsidRPr="00636B98">
        <w:rPr>
          <w:rFonts w:ascii="Arial" w:hAnsi="Arial" w:cs="Arial"/>
          <w:b/>
        </w:rPr>
        <w:t xml:space="preserve"> Disposiciones generales</w:t>
      </w:r>
    </w:p>
    <w:p w:rsidR="00440246" w:rsidRPr="00851B38" w:rsidRDefault="00440246" w:rsidP="00851B38">
      <w:pPr>
        <w:spacing w:line="276" w:lineRule="auto"/>
        <w:jc w:val="both"/>
        <w:rPr>
          <w:rFonts w:ascii="Arial" w:hAnsi="Arial" w:cs="Arial"/>
        </w:rPr>
      </w:pPr>
    </w:p>
    <w:p w:rsidR="00440246" w:rsidRPr="00851B38" w:rsidRDefault="00440246" w:rsidP="00C63923">
      <w:pPr>
        <w:spacing w:line="276" w:lineRule="auto"/>
        <w:ind w:left="-284"/>
        <w:jc w:val="both"/>
        <w:rPr>
          <w:rFonts w:ascii="Arial" w:hAnsi="Arial" w:cs="Arial"/>
        </w:rPr>
      </w:pPr>
      <w:r w:rsidRPr="00146A5C">
        <w:rPr>
          <w:rFonts w:ascii="Arial" w:hAnsi="Arial" w:cs="Arial"/>
          <w:b/>
        </w:rPr>
        <w:t>Artículo 1º.-</w:t>
      </w:r>
      <w:r w:rsidRPr="00851B38">
        <w:rPr>
          <w:rFonts w:ascii="Arial" w:hAnsi="Arial" w:cs="Arial"/>
        </w:rPr>
        <w:t xml:space="preserve"> La tramitación y otorgamiento de permisos de operación para la explotación de casinos de juego, se regirán por las disposiciones contenidas en la ley Nº</w:t>
      </w:r>
      <w:r w:rsidR="000C7F05" w:rsidRPr="00851B38">
        <w:rPr>
          <w:rFonts w:ascii="Arial" w:hAnsi="Arial" w:cs="Arial"/>
        </w:rPr>
        <w:t xml:space="preserve"> </w:t>
      </w:r>
      <w:r w:rsidRPr="00851B38">
        <w:rPr>
          <w:rFonts w:ascii="Arial" w:hAnsi="Arial" w:cs="Arial"/>
        </w:rPr>
        <w:t xml:space="preserve">19.995, en adelante "la Ley", y por las del </w:t>
      </w:r>
      <w:r w:rsidR="00F94BD6" w:rsidRPr="00851B38">
        <w:rPr>
          <w:rFonts w:ascii="Arial" w:hAnsi="Arial" w:cs="Arial"/>
        </w:rPr>
        <w:t>presente reglamento</w:t>
      </w:r>
      <w:r w:rsidRPr="00851B38">
        <w:rPr>
          <w:rFonts w:ascii="Arial" w:hAnsi="Arial" w:cs="Arial"/>
        </w:rPr>
        <w:t>.</w:t>
      </w:r>
    </w:p>
    <w:p w:rsidR="00440246" w:rsidRPr="00851B38" w:rsidRDefault="00440246" w:rsidP="00C63923">
      <w:pPr>
        <w:spacing w:line="276" w:lineRule="auto"/>
        <w:ind w:left="-284"/>
        <w:jc w:val="both"/>
        <w:rPr>
          <w:rFonts w:ascii="Arial" w:hAnsi="Arial" w:cs="Arial"/>
        </w:rPr>
      </w:pPr>
    </w:p>
    <w:p w:rsidR="00440246" w:rsidRDefault="00AB34C8" w:rsidP="00C63923">
      <w:pPr>
        <w:spacing w:line="276" w:lineRule="auto"/>
        <w:ind w:left="-284"/>
        <w:jc w:val="both"/>
        <w:rPr>
          <w:rFonts w:ascii="Arial" w:hAnsi="Arial" w:cs="Arial"/>
        </w:rPr>
      </w:pPr>
      <w:r w:rsidRPr="00146A5C">
        <w:rPr>
          <w:rFonts w:ascii="Arial" w:hAnsi="Arial" w:cs="Arial"/>
          <w:b/>
        </w:rPr>
        <w:t>Artículo 2º.-</w:t>
      </w:r>
      <w:r>
        <w:rPr>
          <w:rFonts w:ascii="Arial" w:hAnsi="Arial" w:cs="Arial"/>
        </w:rPr>
        <w:t xml:space="preserve"> So</w:t>
      </w:r>
      <w:r w:rsidR="00440246" w:rsidRPr="00851B38">
        <w:rPr>
          <w:rFonts w:ascii="Arial" w:hAnsi="Arial" w:cs="Arial"/>
        </w:rPr>
        <w:t>lo podrá autorizarse el funcionamiento de hasta 24 casinos de juego en el territorio nacional, previo cumplimiento de las condiciones y requisitos legales y reglamentarios; uno en cada una de las regiones del país y el resto a ser distribuidos a nivel nacional, no pudiendo autorizarse la instalación de más de tres casinos de juego en una misma región. No obstante, en la Región Metropolitana no se podrá autorizar en caso alguno la instalación de casinos de juego.</w:t>
      </w:r>
    </w:p>
    <w:p w:rsidR="00851B38" w:rsidRPr="00851B38" w:rsidRDefault="00851B38" w:rsidP="00C63923">
      <w:pPr>
        <w:spacing w:line="276" w:lineRule="auto"/>
        <w:ind w:left="-284"/>
        <w:jc w:val="both"/>
        <w:rPr>
          <w:rFonts w:ascii="Arial" w:hAnsi="Arial" w:cs="Arial"/>
        </w:rPr>
      </w:pPr>
    </w:p>
    <w:p w:rsidR="00440246" w:rsidRDefault="00440246" w:rsidP="00C63923">
      <w:pPr>
        <w:spacing w:line="276" w:lineRule="auto"/>
        <w:ind w:left="-284"/>
        <w:jc w:val="both"/>
        <w:rPr>
          <w:rFonts w:ascii="Arial" w:hAnsi="Arial" w:cs="Arial"/>
        </w:rPr>
      </w:pPr>
      <w:r w:rsidRPr="00851B38">
        <w:rPr>
          <w:rFonts w:ascii="Arial" w:hAnsi="Arial" w:cs="Arial"/>
        </w:rPr>
        <w:t xml:space="preserve">Con todo, ningún casino de juego podrá instalarse o funcionar a una distancia vial inferior a 70 kilómetros respecto de cualquier otro establecimiento del mismo tipo. La distancia </w:t>
      </w:r>
      <w:r w:rsidRPr="00851B38">
        <w:rPr>
          <w:rFonts w:ascii="Arial" w:hAnsi="Arial" w:cs="Arial"/>
        </w:rPr>
        <w:lastRenderedPageBreak/>
        <w:t>señalada se medirá entre los respectivos establecimientos, considerando al efecto la principal vía de circulación existente entre ellos, según certifique la Dirección de Vialidad del Ministerio de Obras Públicas.</w:t>
      </w:r>
    </w:p>
    <w:p w:rsidR="00851B38" w:rsidRPr="00851B38" w:rsidRDefault="00851B38" w:rsidP="00C63923">
      <w:pPr>
        <w:spacing w:line="276" w:lineRule="auto"/>
        <w:ind w:left="-284"/>
        <w:jc w:val="both"/>
        <w:rPr>
          <w:rFonts w:ascii="Arial" w:hAnsi="Arial" w:cs="Arial"/>
        </w:rPr>
      </w:pPr>
    </w:p>
    <w:p w:rsidR="00440246" w:rsidRPr="00851B38" w:rsidRDefault="00851B38" w:rsidP="00C63923">
      <w:pPr>
        <w:spacing w:line="276" w:lineRule="auto"/>
        <w:ind w:left="-284"/>
        <w:jc w:val="both"/>
        <w:rPr>
          <w:rFonts w:ascii="Arial" w:hAnsi="Arial" w:cs="Arial"/>
        </w:rPr>
      </w:pPr>
      <w:r>
        <w:rPr>
          <w:rFonts w:ascii="Arial" w:hAnsi="Arial" w:cs="Arial"/>
        </w:rPr>
        <w:t xml:space="preserve"> </w:t>
      </w:r>
      <w:r>
        <w:rPr>
          <w:rFonts w:ascii="Arial" w:hAnsi="Arial" w:cs="Arial"/>
        </w:rPr>
        <w:tab/>
      </w:r>
      <w:r w:rsidR="00440246" w:rsidRPr="00851B38">
        <w:rPr>
          <w:rFonts w:ascii="Arial" w:hAnsi="Arial" w:cs="Arial"/>
        </w:rPr>
        <w:t xml:space="preserve">Lo dispuesto en los incisos precedentes, se entiende sin perjuicio de las situaciones previstas en los artículos </w:t>
      </w:r>
      <w:r w:rsidR="006C4D1C" w:rsidRPr="00851B38">
        <w:rPr>
          <w:rFonts w:ascii="Arial" w:hAnsi="Arial" w:cs="Arial"/>
        </w:rPr>
        <w:t>5</w:t>
      </w:r>
      <w:r w:rsidR="00BE6AD5" w:rsidRPr="00851B38">
        <w:rPr>
          <w:rFonts w:ascii="Arial" w:hAnsi="Arial" w:cs="Arial"/>
        </w:rPr>
        <w:t>3</w:t>
      </w:r>
      <w:r w:rsidR="006C4D1C" w:rsidRPr="00851B38">
        <w:rPr>
          <w:rFonts w:ascii="Arial" w:hAnsi="Arial" w:cs="Arial"/>
        </w:rPr>
        <w:t>,</w:t>
      </w:r>
      <w:r w:rsidR="006F267A" w:rsidRPr="00851B38">
        <w:rPr>
          <w:rFonts w:ascii="Arial" w:hAnsi="Arial" w:cs="Arial"/>
        </w:rPr>
        <w:t xml:space="preserve"> </w:t>
      </w:r>
      <w:r w:rsidR="00BE6AD5" w:rsidRPr="00851B38">
        <w:rPr>
          <w:rFonts w:ascii="Arial" w:hAnsi="Arial" w:cs="Arial"/>
        </w:rPr>
        <w:t>54</w:t>
      </w:r>
      <w:r w:rsidR="00006F59" w:rsidRPr="00851B38">
        <w:rPr>
          <w:rFonts w:ascii="Arial" w:hAnsi="Arial" w:cs="Arial"/>
        </w:rPr>
        <w:t xml:space="preserve"> </w:t>
      </w:r>
      <w:r w:rsidR="006C4D1C" w:rsidRPr="00851B38">
        <w:rPr>
          <w:rFonts w:ascii="Arial" w:hAnsi="Arial" w:cs="Arial"/>
        </w:rPr>
        <w:t xml:space="preserve">y </w:t>
      </w:r>
      <w:r w:rsidR="00440246" w:rsidRPr="00851B38">
        <w:rPr>
          <w:rFonts w:ascii="Arial" w:hAnsi="Arial" w:cs="Arial"/>
        </w:rPr>
        <w:t xml:space="preserve">artículo </w:t>
      </w:r>
      <w:r w:rsidR="006C4D1C" w:rsidRPr="00851B38">
        <w:rPr>
          <w:rFonts w:ascii="Arial" w:hAnsi="Arial" w:cs="Arial"/>
        </w:rPr>
        <w:t>segundo</w:t>
      </w:r>
      <w:r w:rsidR="00440246" w:rsidRPr="00851B38">
        <w:rPr>
          <w:rFonts w:ascii="Arial" w:hAnsi="Arial" w:cs="Arial"/>
        </w:rPr>
        <w:t xml:space="preserve"> transitorio de </w:t>
      </w:r>
      <w:r w:rsidR="00F94BD6" w:rsidRPr="00851B38">
        <w:rPr>
          <w:rFonts w:ascii="Arial" w:hAnsi="Arial" w:cs="Arial"/>
        </w:rPr>
        <w:t>este reglamento</w:t>
      </w:r>
      <w:r w:rsidR="00440246" w:rsidRPr="00851B38">
        <w:rPr>
          <w:rFonts w:ascii="Arial" w:hAnsi="Arial" w:cs="Arial"/>
        </w:rPr>
        <w:t>.</w:t>
      </w:r>
    </w:p>
    <w:p w:rsidR="000A0AC7" w:rsidRPr="00851B38" w:rsidRDefault="000A0AC7" w:rsidP="00C63923">
      <w:pPr>
        <w:spacing w:line="276" w:lineRule="auto"/>
        <w:ind w:left="-284"/>
        <w:jc w:val="both"/>
        <w:rPr>
          <w:rFonts w:ascii="Arial" w:hAnsi="Arial" w:cs="Arial"/>
        </w:rPr>
      </w:pPr>
    </w:p>
    <w:p w:rsidR="000A0AC7" w:rsidRPr="00851B38" w:rsidRDefault="000A0AC7" w:rsidP="00C63923">
      <w:pPr>
        <w:spacing w:line="276" w:lineRule="auto"/>
        <w:ind w:left="-284"/>
        <w:jc w:val="both"/>
        <w:rPr>
          <w:rFonts w:ascii="Arial" w:hAnsi="Arial" w:cs="Arial"/>
        </w:rPr>
      </w:pPr>
      <w:r w:rsidRPr="00146A5C">
        <w:rPr>
          <w:rFonts w:ascii="Arial" w:hAnsi="Arial" w:cs="Arial"/>
          <w:b/>
        </w:rPr>
        <w:t>Artículo 3º.-</w:t>
      </w:r>
      <w:r w:rsidRPr="00851B38">
        <w:rPr>
          <w:rFonts w:ascii="Arial" w:hAnsi="Arial" w:cs="Arial"/>
        </w:rPr>
        <w:t xml:space="preserve"> Corresponde exclusivamente a la Superintendencia de Casinos de Juego, en adelante "la Superintendencia", el otorgamiento de permisos de operación para la instalación y funcionamiento de casinos de juego en el país, previa verificación y evaluación del cumplimiento de las condiciones </w:t>
      </w:r>
      <w:r w:rsidR="00F3530F" w:rsidRPr="00851B38">
        <w:rPr>
          <w:rFonts w:ascii="Arial" w:hAnsi="Arial" w:cs="Arial"/>
        </w:rPr>
        <w:t xml:space="preserve">generales y especiales en su caso, </w:t>
      </w:r>
      <w:r w:rsidRPr="00851B38">
        <w:rPr>
          <w:rFonts w:ascii="Arial" w:hAnsi="Arial" w:cs="Arial"/>
        </w:rPr>
        <w:t xml:space="preserve">y requisitos legales y reglamentarios, y conforme al procedimiento establecido en el </w:t>
      </w:r>
      <w:r w:rsidR="00F94BD6" w:rsidRPr="00851B38">
        <w:rPr>
          <w:rFonts w:ascii="Arial" w:hAnsi="Arial" w:cs="Arial"/>
        </w:rPr>
        <w:t>presente reglamento</w:t>
      </w:r>
      <w:r w:rsidRPr="00851B38">
        <w:rPr>
          <w:rFonts w:ascii="Arial" w:hAnsi="Arial" w:cs="Arial"/>
        </w:rPr>
        <w:t>.</w:t>
      </w:r>
    </w:p>
    <w:p w:rsidR="000A0AC7" w:rsidRPr="00851B38" w:rsidRDefault="000A0AC7" w:rsidP="00C63923">
      <w:pPr>
        <w:spacing w:line="276" w:lineRule="auto"/>
        <w:ind w:left="-284"/>
        <w:jc w:val="both"/>
        <w:rPr>
          <w:rFonts w:ascii="Arial" w:hAnsi="Arial" w:cs="Arial"/>
        </w:rPr>
      </w:pPr>
    </w:p>
    <w:p w:rsidR="000A0AC7" w:rsidRPr="00851B38" w:rsidRDefault="000A0AC7" w:rsidP="00C63923">
      <w:pPr>
        <w:spacing w:line="276" w:lineRule="auto"/>
        <w:ind w:left="-284"/>
        <w:jc w:val="both"/>
        <w:rPr>
          <w:rFonts w:ascii="Arial" w:hAnsi="Arial" w:cs="Arial"/>
        </w:rPr>
      </w:pPr>
      <w:r w:rsidRPr="00146A5C">
        <w:rPr>
          <w:rFonts w:ascii="Arial" w:hAnsi="Arial" w:cs="Arial"/>
          <w:b/>
        </w:rPr>
        <w:t>Artículo 4º.-</w:t>
      </w:r>
      <w:r w:rsidRPr="00851B38">
        <w:rPr>
          <w:rFonts w:ascii="Arial" w:hAnsi="Arial" w:cs="Arial"/>
        </w:rPr>
        <w:t xml:space="preserve"> El casino de juego está constituido por el establecimiento, inmueble o parte de un inmueble, consistente en un recinto cerrado, en cuyo interior se desarrollan los juegos de azar autorizados, se reciben las apuestas, se pagan los premios correspondientes y funcionan los servicios anexos.</w:t>
      </w:r>
    </w:p>
    <w:p w:rsidR="000A0AC7" w:rsidRPr="00851B38" w:rsidRDefault="000A0AC7" w:rsidP="00C63923">
      <w:pPr>
        <w:spacing w:line="276" w:lineRule="auto"/>
        <w:ind w:left="-284"/>
        <w:jc w:val="both"/>
        <w:rPr>
          <w:rFonts w:ascii="Arial" w:hAnsi="Arial" w:cs="Arial"/>
        </w:rPr>
      </w:pPr>
    </w:p>
    <w:p w:rsidR="000A0AC7" w:rsidRDefault="00AB34C8" w:rsidP="00C63923">
      <w:pPr>
        <w:spacing w:line="276" w:lineRule="auto"/>
        <w:ind w:left="-284"/>
        <w:jc w:val="both"/>
        <w:rPr>
          <w:rFonts w:ascii="Arial" w:hAnsi="Arial" w:cs="Arial"/>
        </w:rPr>
      </w:pPr>
      <w:r w:rsidRPr="00146A5C">
        <w:rPr>
          <w:rFonts w:ascii="Arial" w:hAnsi="Arial" w:cs="Arial"/>
          <w:b/>
        </w:rPr>
        <w:t>Artículo 5º.-</w:t>
      </w:r>
      <w:r>
        <w:rPr>
          <w:rFonts w:ascii="Arial" w:hAnsi="Arial" w:cs="Arial"/>
        </w:rPr>
        <w:t xml:space="preserve"> So</w:t>
      </w:r>
      <w:r w:rsidR="000A0AC7" w:rsidRPr="00851B38">
        <w:rPr>
          <w:rFonts w:ascii="Arial" w:hAnsi="Arial" w:cs="Arial"/>
        </w:rPr>
        <w:t>lo los juegos de azar que se encuentren registrados formalmente en el Catálogo de Juegos, regulado en el reglamento respectivo de conformidad a la Ley, pueden ser objeto de solicitud de licencia de explotación.</w:t>
      </w:r>
    </w:p>
    <w:p w:rsidR="00851B38" w:rsidRPr="00851B38" w:rsidRDefault="00851B38" w:rsidP="00C63923">
      <w:pPr>
        <w:spacing w:line="276" w:lineRule="auto"/>
        <w:ind w:left="-284"/>
        <w:jc w:val="both"/>
        <w:rPr>
          <w:rFonts w:ascii="Arial" w:hAnsi="Arial" w:cs="Arial"/>
        </w:rPr>
      </w:pPr>
    </w:p>
    <w:p w:rsidR="000A0AC7" w:rsidRDefault="00851B38" w:rsidP="00C63923">
      <w:pPr>
        <w:spacing w:line="276" w:lineRule="auto"/>
        <w:ind w:left="-284"/>
        <w:jc w:val="both"/>
        <w:rPr>
          <w:rFonts w:ascii="Arial" w:hAnsi="Arial" w:cs="Arial"/>
        </w:rPr>
      </w:pPr>
      <w:r>
        <w:rPr>
          <w:rFonts w:ascii="Arial" w:hAnsi="Arial" w:cs="Arial"/>
        </w:rPr>
        <w:t xml:space="preserve"> </w:t>
      </w:r>
      <w:r>
        <w:rPr>
          <w:rFonts w:ascii="Arial" w:hAnsi="Arial" w:cs="Arial"/>
        </w:rPr>
        <w:tab/>
      </w:r>
      <w:r w:rsidR="000A0AC7" w:rsidRPr="00851B38">
        <w:rPr>
          <w:rFonts w:ascii="Arial" w:hAnsi="Arial" w:cs="Arial"/>
        </w:rPr>
        <w:t>La licencia de explotación de juego de azar constituye la autorización singular que la Superintendencia está facultada a otorgar por cada uno de los juegos incorporados en el catálogo. La licencia autoriz</w:t>
      </w:r>
      <w:r w:rsidR="00AB34C8">
        <w:rPr>
          <w:rFonts w:ascii="Arial" w:hAnsi="Arial" w:cs="Arial"/>
        </w:rPr>
        <w:t>a el desarrollo y explotación so</w:t>
      </w:r>
      <w:r w:rsidR="000A0AC7" w:rsidRPr="00851B38">
        <w:rPr>
          <w:rFonts w:ascii="Arial" w:hAnsi="Arial" w:cs="Arial"/>
        </w:rPr>
        <w:t>lo del juego amparado por ella. Las licencias de explotación de juegos de azar tienen carácter intransferible e inembargable, y pueden ser usadas exclusivamente por las sociedades operadoras autorizadas.</w:t>
      </w:r>
    </w:p>
    <w:p w:rsidR="00851B38" w:rsidRPr="00851B38" w:rsidRDefault="00851B38" w:rsidP="00C63923">
      <w:pPr>
        <w:spacing w:line="276" w:lineRule="auto"/>
        <w:ind w:left="-284"/>
        <w:jc w:val="both"/>
        <w:rPr>
          <w:rFonts w:ascii="Arial" w:hAnsi="Arial" w:cs="Arial"/>
        </w:rPr>
      </w:pPr>
    </w:p>
    <w:p w:rsidR="000A0AC7" w:rsidRPr="00851B38" w:rsidRDefault="000A0AC7" w:rsidP="00C63923">
      <w:pPr>
        <w:spacing w:line="276" w:lineRule="auto"/>
        <w:ind w:left="-284"/>
        <w:jc w:val="both"/>
        <w:rPr>
          <w:rFonts w:ascii="Arial" w:hAnsi="Arial" w:cs="Arial"/>
        </w:rPr>
      </w:pPr>
      <w:r w:rsidRPr="00851B38">
        <w:rPr>
          <w:rFonts w:ascii="Arial" w:hAnsi="Arial" w:cs="Arial"/>
        </w:rPr>
        <w:t>Con todo, en los casinos de juego necesariamente deberán desarrollarse juegos de azar en las categorías de ruleta, cartas, dados, bingo y máquinas de azar.</w:t>
      </w:r>
    </w:p>
    <w:p w:rsidR="000A0AC7" w:rsidRPr="00851B38" w:rsidRDefault="000A0AC7" w:rsidP="00C63923">
      <w:pPr>
        <w:spacing w:line="276" w:lineRule="auto"/>
        <w:ind w:left="-284"/>
        <w:jc w:val="both"/>
        <w:rPr>
          <w:rFonts w:ascii="Arial" w:hAnsi="Arial" w:cs="Arial"/>
        </w:rPr>
      </w:pPr>
    </w:p>
    <w:p w:rsidR="000A0AC7" w:rsidRDefault="000A0AC7" w:rsidP="00C63923">
      <w:pPr>
        <w:spacing w:line="276" w:lineRule="auto"/>
        <w:ind w:left="-284"/>
        <w:jc w:val="both"/>
        <w:rPr>
          <w:rFonts w:ascii="Arial" w:hAnsi="Arial" w:cs="Arial"/>
        </w:rPr>
      </w:pPr>
      <w:r w:rsidRPr="00146A5C">
        <w:rPr>
          <w:rFonts w:ascii="Arial" w:hAnsi="Arial" w:cs="Arial"/>
          <w:b/>
        </w:rPr>
        <w:lastRenderedPageBreak/>
        <w:t>Artículo 6º.-</w:t>
      </w:r>
      <w:r w:rsidRPr="00851B38">
        <w:rPr>
          <w:rFonts w:ascii="Arial" w:hAnsi="Arial" w:cs="Arial"/>
        </w:rPr>
        <w:t xml:space="preserve"> Los servicios anexos constituyen aquellos servicios complementarios a la explotación de los juegos de azar, que debe ofrecer un operador de casino de juego, según se autorice en el permiso de operación.</w:t>
      </w:r>
    </w:p>
    <w:p w:rsidR="00851B38" w:rsidRPr="00851B38" w:rsidRDefault="00851B38" w:rsidP="00C63923">
      <w:pPr>
        <w:spacing w:line="276" w:lineRule="auto"/>
        <w:ind w:left="-284"/>
        <w:jc w:val="both"/>
        <w:rPr>
          <w:rFonts w:ascii="Arial" w:hAnsi="Arial" w:cs="Arial"/>
        </w:rPr>
      </w:pPr>
    </w:p>
    <w:p w:rsidR="000A0AC7" w:rsidRPr="00851B38" w:rsidRDefault="00851B38" w:rsidP="00C63923">
      <w:pPr>
        <w:spacing w:line="276" w:lineRule="auto"/>
        <w:ind w:left="-284"/>
        <w:jc w:val="both"/>
        <w:rPr>
          <w:rFonts w:ascii="Arial" w:hAnsi="Arial" w:cs="Arial"/>
        </w:rPr>
      </w:pPr>
      <w:r>
        <w:rPr>
          <w:rFonts w:ascii="Arial" w:hAnsi="Arial" w:cs="Arial"/>
        </w:rPr>
        <w:t xml:space="preserve"> </w:t>
      </w:r>
      <w:r>
        <w:rPr>
          <w:rFonts w:ascii="Arial" w:hAnsi="Arial" w:cs="Arial"/>
        </w:rPr>
        <w:tab/>
      </w:r>
      <w:r w:rsidR="000A0AC7" w:rsidRPr="00851B38">
        <w:rPr>
          <w:rFonts w:ascii="Arial" w:hAnsi="Arial" w:cs="Arial"/>
        </w:rPr>
        <w:t>Los servicios anexos que pueden prestarse en los casinos de juego, como asimismo aquellos que obligatoriamente deben prestarse por todo operador, se establecen y se encuentran regulados en el reglamento respectivo.</w:t>
      </w:r>
    </w:p>
    <w:p w:rsidR="000A0AC7" w:rsidRPr="00851B38" w:rsidRDefault="000A0AC7" w:rsidP="00C63923">
      <w:pPr>
        <w:spacing w:line="276" w:lineRule="auto"/>
        <w:ind w:left="-284"/>
        <w:jc w:val="both"/>
        <w:rPr>
          <w:rFonts w:ascii="Arial" w:hAnsi="Arial" w:cs="Arial"/>
        </w:rPr>
      </w:pPr>
    </w:p>
    <w:p w:rsidR="000A0AC7" w:rsidRDefault="000A0AC7" w:rsidP="00C63923">
      <w:pPr>
        <w:spacing w:line="276" w:lineRule="auto"/>
        <w:ind w:left="-284"/>
        <w:jc w:val="both"/>
        <w:rPr>
          <w:rFonts w:ascii="Arial" w:hAnsi="Arial" w:cs="Arial"/>
        </w:rPr>
      </w:pPr>
      <w:r w:rsidRPr="00146A5C">
        <w:rPr>
          <w:rFonts w:ascii="Arial" w:hAnsi="Arial" w:cs="Arial"/>
          <w:b/>
        </w:rPr>
        <w:t>Artículo 7º.-</w:t>
      </w:r>
      <w:r w:rsidRPr="00851B38">
        <w:rPr>
          <w:rFonts w:ascii="Arial" w:hAnsi="Arial" w:cs="Arial"/>
        </w:rPr>
        <w:t xml:space="preserve"> El permiso de operación constituye la autorización formal que concede el Estado, a través de la Superintendencia, para explotar un casino de juego y los juegos de azar permitidos a cada operador. El permiso de operación incluye las licencias de explotación de juegos de azar y los servicios anexos.</w:t>
      </w:r>
    </w:p>
    <w:p w:rsidR="00851B38" w:rsidRPr="00851B38" w:rsidRDefault="00851B38" w:rsidP="00C63923">
      <w:pPr>
        <w:spacing w:line="276" w:lineRule="auto"/>
        <w:ind w:left="-284"/>
        <w:jc w:val="both"/>
        <w:rPr>
          <w:rFonts w:ascii="Arial" w:hAnsi="Arial" w:cs="Arial"/>
        </w:rPr>
      </w:pPr>
    </w:p>
    <w:p w:rsidR="000A0AC7" w:rsidRPr="00851B38" w:rsidRDefault="00851B38" w:rsidP="00C63923">
      <w:pPr>
        <w:spacing w:line="276" w:lineRule="auto"/>
        <w:ind w:left="-284"/>
        <w:jc w:val="both"/>
        <w:rPr>
          <w:rFonts w:ascii="Arial" w:hAnsi="Arial" w:cs="Arial"/>
        </w:rPr>
      </w:pPr>
      <w:r>
        <w:rPr>
          <w:rFonts w:ascii="Arial" w:hAnsi="Arial" w:cs="Arial"/>
        </w:rPr>
        <w:t xml:space="preserve"> </w:t>
      </w:r>
      <w:r>
        <w:rPr>
          <w:rFonts w:ascii="Arial" w:hAnsi="Arial" w:cs="Arial"/>
        </w:rPr>
        <w:tab/>
      </w:r>
      <w:r w:rsidR="000A0AC7" w:rsidRPr="00851B38">
        <w:rPr>
          <w:rFonts w:ascii="Arial" w:hAnsi="Arial" w:cs="Arial"/>
        </w:rPr>
        <w:t xml:space="preserve">El Operador o Sociedad Operadora es la sociedad comercial autorizada en los términos previstos en la Ley y en el </w:t>
      </w:r>
      <w:r w:rsidR="00F94BD6" w:rsidRPr="00851B38">
        <w:rPr>
          <w:rFonts w:ascii="Arial" w:hAnsi="Arial" w:cs="Arial"/>
        </w:rPr>
        <w:t>presente reglamento</w:t>
      </w:r>
      <w:r w:rsidR="000A0AC7" w:rsidRPr="00851B38">
        <w:rPr>
          <w:rFonts w:ascii="Arial" w:hAnsi="Arial" w:cs="Arial"/>
        </w:rPr>
        <w:t>, para explotar un casino de juego, en su calidad de titular de un permiso de operación.</w:t>
      </w:r>
    </w:p>
    <w:p w:rsidR="000A0AC7" w:rsidRPr="00851B38" w:rsidRDefault="000A0AC7" w:rsidP="00C63923">
      <w:pPr>
        <w:spacing w:line="276" w:lineRule="auto"/>
        <w:ind w:left="-284"/>
        <w:jc w:val="both"/>
        <w:rPr>
          <w:rFonts w:ascii="Arial" w:hAnsi="Arial" w:cs="Arial"/>
        </w:rPr>
      </w:pPr>
    </w:p>
    <w:p w:rsidR="000A0AC7" w:rsidRDefault="000A0AC7" w:rsidP="00C63923">
      <w:pPr>
        <w:spacing w:line="276" w:lineRule="auto"/>
        <w:ind w:left="-284"/>
        <w:jc w:val="both"/>
        <w:rPr>
          <w:rFonts w:ascii="Arial" w:hAnsi="Arial" w:cs="Arial"/>
        </w:rPr>
      </w:pPr>
      <w:r w:rsidRPr="00146A5C">
        <w:rPr>
          <w:rFonts w:ascii="Arial" w:hAnsi="Arial" w:cs="Arial"/>
          <w:b/>
        </w:rPr>
        <w:t>Artículo 8º.-</w:t>
      </w:r>
      <w:r w:rsidRPr="00851B38">
        <w:rPr>
          <w:rFonts w:ascii="Arial" w:hAnsi="Arial" w:cs="Arial"/>
        </w:rPr>
        <w:t xml:space="preserve"> El proyecto de inversión y el plan de operación que presente toda sociedad solicitante de un permiso de operación, en adelante "el proyecto", deberá sujetarse </w:t>
      </w:r>
      <w:r w:rsidRPr="00636B98">
        <w:rPr>
          <w:rFonts w:ascii="Arial" w:hAnsi="Arial" w:cs="Arial"/>
        </w:rPr>
        <w:t xml:space="preserve">a las bases técnicas </w:t>
      </w:r>
      <w:r w:rsidR="009D1014">
        <w:rPr>
          <w:rFonts w:ascii="Arial" w:hAnsi="Arial" w:cs="Arial"/>
        </w:rPr>
        <w:t>elaboradas por</w:t>
      </w:r>
      <w:r w:rsidRPr="00636B98">
        <w:rPr>
          <w:rFonts w:ascii="Arial" w:hAnsi="Arial" w:cs="Arial"/>
        </w:rPr>
        <w:t xml:space="preserve"> la Superintendencia</w:t>
      </w:r>
      <w:r w:rsidR="0084432F">
        <w:rPr>
          <w:rFonts w:ascii="Arial" w:hAnsi="Arial" w:cs="Arial"/>
        </w:rPr>
        <w:t xml:space="preserve"> de conformidad al artículo 12 de este reglamento</w:t>
      </w:r>
      <w:r w:rsidR="00527B17">
        <w:rPr>
          <w:rFonts w:ascii="Arial" w:hAnsi="Arial" w:cs="Arial"/>
        </w:rPr>
        <w:t>,</w:t>
      </w:r>
      <w:r w:rsidRPr="00851B38">
        <w:rPr>
          <w:rFonts w:ascii="Arial" w:hAnsi="Arial" w:cs="Arial"/>
        </w:rPr>
        <w:t xml:space="preserve"> y que podrá consistir indistintamente, en un casino de juego, en los términos establecidos en el artículo 4°</w:t>
      </w:r>
      <w:r w:rsidR="006B4256" w:rsidRPr="00851B38">
        <w:rPr>
          <w:rFonts w:ascii="Arial" w:hAnsi="Arial" w:cs="Arial"/>
        </w:rPr>
        <w:t xml:space="preserve"> del </w:t>
      </w:r>
      <w:r w:rsidR="00F94BD6" w:rsidRPr="00851B38">
        <w:rPr>
          <w:rFonts w:ascii="Arial" w:hAnsi="Arial" w:cs="Arial"/>
        </w:rPr>
        <w:t>presente reglamento</w:t>
      </w:r>
      <w:r w:rsidRPr="00851B38">
        <w:rPr>
          <w:rFonts w:ascii="Arial" w:hAnsi="Arial" w:cs="Arial"/>
        </w:rPr>
        <w:t>, o en un proyecto integral, según se define en el inciso siguiente.</w:t>
      </w:r>
    </w:p>
    <w:p w:rsidR="00851B38" w:rsidRPr="00851B38" w:rsidRDefault="00851B38" w:rsidP="00C63923">
      <w:pPr>
        <w:spacing w:line="276" w:lineRule="auto"/>
        <w:ind w:left="-284"/>
        <w:jc w:val="both"/>
        <w:rPr>
          <w:rFonts w:ascii="Arial" w:hAnsi="Arial" w:cs="Arial"/>
        </w:rPr>
      </w:pPr>
    </w:p>
    <w:p w:rsidR="000A0AC7" w:rsidRPr="00851B38" w:rsidRDefault="00851B38" w:rsidP="00C63923">
      <w:pPr>
        <w:spacing w:line="276" w:lineRule="auto"/>
        <w:ind w:left="-284"/>
        <w:jc w:val="both"/>
        <w:rPr>
          <w:rFonts w:ascii="Arial" w:hAnsi="Arial" w:cs="Arial"/>
        </w:rPr>
      </w:pPr>
      <w:r>
        <w:rPr>
          <w:rFonts w:ascii="Arial" w:hAnsi="Arial" w:cs="Arial"/>
        </w:rPr>
        <w:t xml:space="preserve"> </w:t>
      </w:r>
      <w:r>
        <w:rPr>
          <w:rFonts w:ascii="Arial" w:hAnsi="Arial" w:cs="Arial"/>
        </w:rPr>
        <w:tab/>
      </w:r>
      <w:r w:rsidR="000A0AC7" w:rsidRPr="00851B38">
        <w:rPr>
          <w:rFonts w:ascii="Arial" w:hAnsi="Arial" w:cs="Arial"/>
        </w:rPr>
        <w:t xml:space="preserve">Constituye un “proyecto integral”, aquel proyecto de inversión que además de contemplar un casino de juego, comprenda adicionalmente obras e instalaciones </w:t>
      </w:r>
      <w:r w:rsidR="00C40486" w:rsidRPr="00851B38">
        <w:rPr>
          <w:rFonts w:ascii="Arial" w:hAnsi="Arial" w:cs="Arial"/>
        </w:rPr>
        <w:t>relevantes para el desarrollo</w:t>
      </w:r>
      <w:r w:rsidR="000A0AC7" w:rsidRPr="00851B38">
        <w:rPr>
          <w:rFonts w:ascii="Arial" w:hAnsi="Arial" w:cs="Arial"/>
        </w:rPr>
        <w:t xml:space="preserve"> dentro de la comuna, y que a la fecha de apertura de </w:t>
      </w:r>
      <w:r w:rsidR="00167151" w:rsidRPr="00851B38">
        <w:rPr>
          <w:rFonts w:ascii="Arial" w:hAnsi="Arial" w:cs="Arial"/>
        </w:rPr>
        <w:t xml:space="preserve">las </w:t>
      </w:r>
      <w:r w:rsidR="000A0AC7" w:rsidRPr="00851B38">
        <w:rPr>
          <w:rFonts w:ascii="Arial" w:hAnsi="Arial" w:cs="Arial"/>
        </w:rPr>
        <w:t xml:space="preserve">ofertas técnicas aún no cuenten con </w:t>
      </w:r>
      <w:r w:rsidR="00DD3EF3" w:rsidRPr="00851B38">
        <w:rPr>
          <w:rFonts w:ascii="Arial" w:hAnsi="Arial" w:cs="Arial"/>
        </w:rPr>
        <w:t>las autorizaciones territoriales correspondiente</w:t>
      </w:r>
      <w:r w:rsidR="006B4256" w:rsidRPr="00851B38">
        <w:rPr>
          <w:rFonts w:ascii="Arial" w:hAnsi="Arial" w:cs="Arial"/>
        </w:rPr>
        <w:t>s</w:t>
      </w:r>
      <w:r w:rsidR="000A0AC7" w:rsidRPr="00851B38">
        <w:rPr>
          <w:rFonts w:ascii="Arial" w:hAnsi="Arial" w:cs="Arial"/>
        </w:rPr>
        <w:t>. Dicho proyecto deberá reunir las condiciones, característi</w:t>
      </w:r>
      <w:r w:rsidR="000C7F05" w:rsidRPr="00851B38">
        <w:rPr>
          <w:rFonts w:ascii="Arial" w:hAnsi="Arial" w:cs="Arial"/>
        </w:rPr>
        <w:t>cas y cualidades que señala la L</w:t>
      </w:r>
      <w:r w:rsidR="000A0AC7" w:rsidRPr="00851B38">
        <w:rPr>
          <w:rFonts w:ascii="Arial" w:hAnsi="Arial" w:cs="Arial"/>
        </w:rPr>
        <w:t>ey</w:t>
      </w:r>
      <w:r w:rsidR="004311DF">
        <w:rPr>
          <w:rFonts w:ascii="Arial" w:hAnsi="Arial" w:cs="Arial"/>
        </w:rPr>
        <w:t>,</w:t>
      </w:r>
      <w:r w:rsidR="000A0AC7" w:rsidRPr="00851B38">
        <w:rPr>
          <w:rFonts w:ascii="Arial" w:hAnsi="Arial" w:cs="Arial"/>
        </w:rPr>
        <w:t xml:space="preserve"> </w:t>
      </w:r>
      <w:r w:rsidR="00F94BD6" w:rsidRPr="00851B38">
        <w:rPr>
          <w:rFonts w:ascii="Arial" w:hAnsi="Arial" w:cs="Arial"/>
        </w:rPr>
        <w:t>este reglamento</w:t>
      </w:r>
      <w:r w:rsidR="004311DF">
        <w:rPr>
          <w:rFonts w:ascii="Arial" w:hAnsi="Arial" w:cs="Arial"/>
        </w:rPr>
        <w:t xml:space="preserve"> y las bases técnicas</w:t>
      </w:r>
      <w:r w:rsidR="000A0AC7" w:rsidRPr="00851B38">
        <w:rPr>
          <w:rFonts w:ascii="Arial" w:hAnsi="Arial" w:cs="Arial"/>
        </w:rPr>
        <w:t>.</w:t>
      </w:r>
    </w:p>
    <w:p w:rsidR="00636B98" w:rsidRPr="00851B38" w:rsidRDefault="00636B98" w:rsidP="00C63923">
      <w:pPr>
        <w:spacing w:line="276" w:lineRule="auto"/>
        <w:ind w:left="-284"/>
        <w:jc w:val="both"/>
        <w:rPr>
          <w:rFonts w:ascii="Arial" w:hAnsi="Arial" w:cs="Arial"/>
        </w:rPr>
      </w:pPr>
    </w:p>
    <w:p w:rsidR="001C0B29" w:rsidRPr="00636B98" w:rsidRDefault="001C0B29" w:rsidP="00C63923">
      <w:pPr>
        <w:spacing w:line="276" w:lineRule="auto"/>
        <w:ind w:left="-284"/>
        <w:jc w:val="center"/>
        <w:rPr>
          <w:rFonts w:ascii="Arial" w:hAnsi="Arial" w:cs="Arial"/>
          <w:b/>
        </w:rPr>
      </w:pPr>
      <w:r w:rsidRPr="00636B98">
        <w:rPr>
          <w:rFonts w:ascii="Arial" w:hAnsi="Arial" w:cs="Arial"/>
          <w:b/>
        </w:rPr>
        <w:lastRenderedPageBreak/>
        <w:t>TITULO II</w:t>
      </w:r>
      <w:r w:rsidR="00973AE2" w:rsidRPr="00636B98">
        <w:rPr>
          <w:rFonts w:ascii="Arial" w:hAnsi="Arial" w:cs="Arial"/>
          <w:b/>
        </w:rPr>
        <w:t xml:space="preserve">. </w:t>
      </w:r>
      <w:r w:rsidRPr="00636B98">
        <w:rPr>
          <w:rFonts w:ascii="Arial" w:hAnsi="Arial" w:cs="Arial"/>
          <w:b/>
        </w:rPr>
        <w:t xml:space="preserve"> Otorgamiento de permiso de operación</w:t>
      </w:r>
    </w:p>
    <w:p w:rsidR="001C0B29" w:rsidRPr="00851B38" w:rsidRDefault="001C0B29" w:rsidP="00C63923">
      <w:pPr>
        <w:spacing w:line="276" w:lineRule="auto"/>
        <w:ind w:left="-284"/>
        <w:jc w:val="both"/>
        <w:rPr>
          <w:rFonts w:ascii="Arial" w:hAnsi="Arial" w:cs="Arial"/>
        </w:rPr>
      </w:pPr>
    </w:p>
    <w:p w:rsidR="001C0B29" w:rsidRPr="00636B98" w:rsidRDefault="001C0B29" w:rsidP="00C63923">
      <w:pPr>
        <w:spacing w:line="276" w:lineRule="auto"/>
        <w:ind w:left="-284"/>
        <w:jc w:val="both"/>
        <w:rPr>
          <w:rFonts w:ascii="Arial" w:hAnsi="Arial" w:cs="Arial"/>
          <w:b/>
        </w:rPr>
      </w:pPr>
      <w:r w:rsidRPr="00636B98">
        <w:rPr>
          <w:rFonts w:ascii="Arial" w:hAnsi="Arial" w:cs="Arial"/>
          <w:b/>
        </w:rPr>
        <w:t>Párrafo 1º</w:t>
      </w:r>
      <w:r w:rsidR="00973AE2" w:rsidRPr="00636B98">
        <w:rPr>
          <w:rFonts w:ascii="Arial" w:hAnsi="Arial" w:cs="Arial"/>
          <w:b/>
        </w:rPr>
        <w:t xml:space="preserve">. </w:t>
      </w:r>
      <w:r w:rsidRPr="00636B98">
        <w:rPr>
          <w:rFonts w:ascii="Arial" w:hAnsi="Arial" w:cs="Arial"/>
          <w:b/>
        </w:rPr>
        <w:t xml:space="preserve"> Sociedades solicitantes</w:t>
      </w:r>
    </w:p>
    <w:p w:rsidR="001C0B29" w:rsidRPr="00851B38" w:rsidRDefault="001C0B29" w:rsidP="00C63923">
      <w:pPr>
        <w:spacing w:line="276" w:lineRule="auto"/>
        <w:ind w:left="-284"/>
        <w:jc w:val="both"/>
        <w:rPr>
          <w:rFonts w:ascii="Arial" w:hAnsi="Arial" w:cs="Arial"/>
        </w:rPr>
      </w:pPr>
    </w:p>
    <w:p w:rsidR="001C0B29" w:rsidRDefault="00AB34C8" w:rsidP="00C63923">
      <w:pPr>
        <w:spacing w:line="276" w:lineRule="auto"/>
        <w:ind w:left="-284"/>
        <w:jc w:val="both"/>
        <w:rPr>
          <w:rFonts w:ascii="Arial" w:hAnsi="Arial" w:cs="Arial"/>
        </w:rPr>
      </w:pPr>
      <w:r w:rsidRPr="00146A5C">
        <w:rPr>
          <w:rFonts w:ascii="Arial" w:hAnsi="Arial" w:cs="Arial"/>
          <w:b/>
        </w:rPr>
        <w:t>Artículo 9º.-</w:t>
      </w:r>
      <w:r>
        <w:rPr>
          <w:rFonts w:ascii="Arial" w:hAnsi="Arial" w:cs="Arial"/>
        </w:rPr>
        <w:t xml:space="preserve"> So</w:t>
      </w:r>
      <w:r w:rsidR="001C0B29" w:rsidRPr="00851B38">
        <w:rPr>
          <w:rFonts w:ascii="Arial" w:hAnsi="Arial" w:cs="Arial"/>
        </w:rPr>
        <w:t>lo podrán optar a la obtención de un permiso de operación para un casino de juego, las sociedades anónimas cerradas constituidas en Chile, que se sujeten a las normas de control que rigen las sociedades anónimas abiertas, según lo dispuesto en la ley Nº18.046 y de conformidad a las instrucciones de la Superintendencia de Valores y Seguros, con las siguientes particularidades:</w:t>
      </w:r>
    </w:p>
    <w:p w:rsidR="00851B38" w:rsidRPr="00851B38" w:rsidRDefault="00851B38" w:rsidP="00C63923">
      <w:pPr>
        <w:spacing w:line="276" w:lineRule="auto"/>
        <w:ind w:left="-284"/>
        <w:jc w:val="both"/>
        <w:rPr>
          <w:rFonts w:ascii="Arial" w:hAnsi="Arial" w:cs="Arial"/>
        </w:rPr>
      </w:pPr>
    </w:p>
    <w:p w:rsidR="001C0B29" w:rsidRDefault="001C0B29" w:rsidP="00C63923">
      <w:pPr>
        <w:spacing w:line="276" w:lineRule="auto"/>
        <w:ind w:left="-284"/>
        <w:jc w:val="both"/>
        <w:rPr>
          <w:rFonts w:ascii="Arial" w:hAnsi="Arial" w:cs="Arial"/>
        </w:rPr>
      </w:pPr>
      <w:r w:rsidRPr="00851B38">
        <w:rPr>
          <w:rFonts w:ascii="Arial" w:hAnsi="Arial" w:cs="Arial"/>
        </w:rPr>
        <w:t>a) El objeto social será la explotación de un casino de juego;</w:t>
      </w:r>
    </w:p>
    <w:p w:rsidR="00AB34C8" w:rsidRPr="00851B38" w:rsidRDefault="00AB34C8" w:rsidP="00C63923">
      <w:pPr>
        <w:spacing w:line="276" w:lineRule="auto"/>
        <w:ind w:left="-284"/>
        <w:jc w:val="both"/>
        <w:rPr>
          <w:rFonts w:ascii="Arial" w:hAnsi="Arial" w:cs="Arial"/>
        </w:rPr>
      </w:pPr>
    </w:p>
    <w:p w:rsidR="001C0B29" w:rsidRDefault="00AB34C8" w:rsidP="00C63923">
      <w:pPr>
        <w:spacing w:line="276" w:lineRule="auto"/>
        <w:ind w:left="-284"/>
        <w:jc w:val="both"/>
        <w:rPr>
          <w:rFonts w:ascii="Arial" w:hAnsi="Arial" w:cs="Arial"/>
        </w:rPr>
      </w:pPr>
      <w:r>
        <w:rPr>
          <w:rFonts w:ascii="Arial" w:hAnsi="Arial" w:cs="Arial"/>
        </w:rPr>
        <w:t>b) So</w:t>
      </w:r>
      <w:r w:rsidR="001C0B29" w:rsidRPr="00851B38">
        <w:rPr>
          <w:rFonts w:ascii="Arial" w:hAnsi="Arial" w:cs="Arial"/>
        </w:rPr>
        <w:t>lo podrán constituirse y funcionar con un máximo de diez accionistas que podrán ser personas naturales o jurídicas, y que deberán justificar el origen</w:t>
      </w:r>
      <w:r w:rsidR="00F702F3" w:rsidRPr="00851B38">
        <w:rPr>
          <w:rFonts w:ascii="Arial" w:hAnsi="Arial" w:cs="Arial"/>
        </w:rPr>
        <w:t xml:space="preserve"> y suficiencia</w:t>
      </w:r>
      <w:r w:rsidR="001C0B29" w:rsidRPr="00851B38">
        <w:rPr>
          <w:rFonts w:ascii="Arial" w:hAnsi="Arial" w:cs="Arial"/>
        </w:rPr>
        <w:t xml:space="preserve"> de los fondos que destinarán a la sociedad en la forma que se establece en el </w:t>
      </w:r>
      <w:r w:rsidR="00F94BD6" w:rsidRPr="00851B38">
        <w:rPr>
          <w:rFonts w:ascii="Arial" w:hAnsi="Arial" w:cs="Arial"/>
        </w:rPr>
        <w:t>presente reglamento</w:t>
      </w:r>
      <w:r w:rsidR="001C0B29" w:rsidRPr="00851B38">
        <w:rPr>
          <w:rFonts w:ascii="Arial" w:hAnsi="Arial" w:cs="Arial"/>
        </w:rPr>
        <w:t>. Tratándose de accionistas personas naturales, éstas además, no deben haber sido condenadas por delito que merezca pena aflictiva;</w:t>
      </w:r>
    </w:p>
    <w:p w:rsidR="00851B38" w:rsidRPr="00851B38" w:rsidRDefault="00851B38" w:rsidP="00C63923">
      <w:pPr>
        <w:spacing w:line="276" w:lineRule="auto"/>
        <w:ind w:left="-284"/>
        <w:jc w:val="both"/>
        <w:rPr>
          <w:rFonts w:ascii="Arial" w:hAnsi="Arial" w:cs="Arial"/>
        </w:rPr>
      </w:pPr>
    </w:p>
    <w:p w:rsidR="001C0B29" w:rsidRDefault="001C0B29" w:rsidP="00C63923">
      <w:pPr>
        <w:spacing w:line="276" w:lineRule="auto"/>
        <w:ind w:left="-284"/>
        <w:jc w:val="both"/>
        <w:rPr>
          <w:rFonts w:ascii="Arial" w:hAnsi="Arial" w:cs="Arial"/>
        </w:rPr>
      </w:pPr>
      <w:r w:rsidRPr="00851B38">
        <w:rPr>
          <w:rFonts w:ascii="Arial" w:hAnsi="Arial" w:cs="Arial"/>
        </w:rPr>
        <w:t>c) El capital social no podrá ser inferior a 10.000 unidades tributarias me</w:t>
      </w:r>
      <w:r w:rsidR="00636B98">
        <w:rPr>
          <w:rFonts w:ascii="Arial" w:hAnsi="Arial" w:cs="Arial"/>
        </w:rPr>
        <w:t xml:space="preserve">nsuales, en dinero o en bienes </w:t>
      </w:r>
      <w:r w:rsidR="00F6610E">
        <w:rPr>
          <w:rFonts w:ascii="Arial" w:hAnsi="Arial" w:cs="Arial"/>
        </w:rPr>
        <w:t>a</w:t>
      </w:r>
      <w:r w:rsidR="00F6610E" w:rsidRPr="00851B38">
        <w:rPr>
          <w:rFonts w:ascii="Arial" w:hAnsi="Arial" w:cs="Arial"/>
        </w:rPr>
        <w:t xml:space="preserve">valuables </w:t>
      </w:r>
      <w:r w:rsidRPr="00851B38">
        <w:rPr>
          <w:rFonts w:ascii="Arial" w:hAnsi="Arial" w:cs="Arial"/>
        </w:rPr>
        <w:t xml:space="preserve">en dinero, el cual deberá estar suscrito y pagado en un cincuenta por ciento, a lo menos, al momento de la constitución de la sociedad, si así no ocurriere se tendrá por no presentada la </w:t>
      </w:r>
      <w:r w:rsidR="00573439">
        <w:rPr>
          <w:rFonts w:ascii="Arial" w:hAnsi="Arial" w:cs="Arial"/>
        </w:rPr>
        <w:t>solicitud de permiso de operación</w:t>
      </w:r>
      <w:r w:rsidR="005B183F">
        <w:rPr>
          <w:rFonts w:ascii="Arial" w:hAnsi="Arial" w:cs="Arial"/>
        </w:rPr>
        <w:t>.</w:t>
      </w:r>
    </w:p>
    <w:p w:rsidR="00851B38" w:rsidRPr="00851B38" w:rsidRDefault="00851B38" w:rsidP="00C63923">
      <w:pPr>
        <w:spacing w:line="276" w:lineRule="auto"/>
        <w:ind w:left="-284"/>
        <w:jc w:val="both"/>
        <w:rPr>
          <w:rFonts w:ascii="Arial" w:hAnsi="Arial" w:cs="Arial"/>
        </w:rPr>
      </w:pPr>
    </w:p>
    <w:p w:rsidR="001C0B29" w:rsidRDefault="00851B38" w:rsidP="00C63923">
      <w:pPr>
        <w:spacing w:line="276" w:lineRule="auto"/>
        <w:ind w:left="-284"/>
        <w:jc w:val="both"/>
        <w:rPr>
          <w:rFonts w:ascii="Arial" w:hAnsi="Arial" w:cs="Arial"/>
        </w:rPr>
      </w:pPr>
      <w:r>
        <w:rPr>
          <w:rFonts w:ascii="Arial" w:hAnsi="Arial" w:cs="Arial"/>
        </w:rPr>
        <w:t xml:space="preserve"> </w:t>
      </w:r>
      <w:r>
        <w:rPr>
          <w:rFonts w:ascii="Arial" w:hAnsi="Arial" w:cs="Arial"/>
        </w:rPr>
        <w:tab/>
      </w:r>
      <w:r w:rsidR="001C0B29" w:rsidRPr="00851B38">
        <w:rPr>
          <w:rFonts w:ascii="Arial" w:hAnsi="Arial" w:cs="Arial"/>
        </w:rPr>
        <w:t>La sociedad que obtuviere el permiso de operación deberá enterar el saldo del capital dentro de los noventa días siguientes al otorgamiento del referido permiso. Transcurrido el plazo señalado sin haberse enterado dicho saldo, el capital de la sociedad se reducirá, de pleno derecho, al monto efectivamente suscrito y pagado, el que, en caso alguno, podrá ser inferior al mínimo legal. Si reducido el capital social al monto efectivamente suscrito y pagado, éste fuere inferior al mínimo señalado, la Superintendencia ordenará el aumento del capital hasta completar al menos dicho capital mínimo en un plazo no superior a sesenta días. Si esta obligación no se cumpliere, se entenderá revocado el permiso de operación;</w:t>
      </w:r>
    </w:p>
    <w:p w:rsidR="00851B38" w:rsidRPr="00851B38" w:rsidRDefault="00851B38" w:rsidP="00C63923">
      <w:pPr>
        <w:spacing w:line="276" w:lineRule="auto"/>
        <w:ind w:left="-284"/>
        <w:jc w:val="both"/>
        <w:rPr>
          <w:rFonts w:ascii="Arial" w:hAnsi="Arial" w:cs="Arial"/>
        </w:rPr>
      </w:pPr>
    </w:p>
    <w:p w:rsidR="001C0B29" w:rsidRDefault="001C0B29" w:rsidP="00C63923">
      <w:pPr>
        <w:spacing w:line="276" w:lineRule="auto"/>
        <w:ind w:left="-284"/>
        <w:jc w:val="both"/>
        <w:rPr>
          <w:rFonts w:ascii="Arial" w:hAnsi="Arial" w:cs="Arial"/>
        </w:rPr>
      </w:pPr>
      <w:r w:rsidRPr="00851B38">
        <w:rPr>
          <w:rFonts w:ascii="Arial" w:hAnsi="Arial" w:cs="Arial"/>
        </w:rPr>
        <w:t>d) Los accionistas no podrán constituir gravámenes ni otros derechos reales, distintos del dominio y en conformidad con lo señalado en la ley, respecto de las acciones que posean en la sociedad operadora;</w:t>
      </w:r>
    </w:p>
    <w:p w:rsidR="00851B38" w:rsidRPr="00851B38" w:rsidRDefault="00851B38" w:rsidP="00C63923">
      <w:pPr>
        <w:spacing w:line="276" w:lineRule="auto"/>
        <w:ind w:left="-284"/>
        <w:jc w:val="both"/>
        <w:rPr>
          <w:rFonts w:ascii="Arial" w:hAnsi="Arial" w:cs="Arial"/>
        </w:rPr>
      </w:pPr>
    </w:p>
    <w:p w:rsidR="001C0B29" w:rsidRDefault="001C0B29" w:rsidP="00C63923">
      <w:pPr>
        <w:spacing w:line="276" w:lineRule="auto"/>
        <w:ind w:left="-284"/>
        <w:jc w:val="both"/>
        <w:rPr>
          <w:rFonts w:ascii="Arial" w:hAnsi="Arial" w:cs="Arial"/>
        </w:rPr>
      </w:pPr>
      <w:r w:rsidRPr="00851B38">
        <w:rPr>
          <w:rFonts w:ascii="Arial" w:hAnsi="Arial" w:cs="Arial"/>
        </w:rPr>
        <w:t>e) La vigencia de la sociedad no podrá pactarse por un plazo inferior al tiempo por el cual se otorga el permiso de operación;</w:t>
      </w:r>
    </w:p>
    <w:p w:rsidR="00851B38" w:rsidRPr="00851B38" w:rsidRDefault="00851B38" w:rsidP="00C63923">
      <w:pPr>
        <w:spacing w:line="276" w:lineRule="auto"/>
        <w:ind w:left="-284"/>
        <w:jc w:val="both"/>
        <w:rPr>
          <w:rFonts w:ascii="Arial" w:hAnsi="Arial" w:cs="Arial"/>
        </w:rPr>
      </w:pPr>
    </w:p>
    <w:p w:rsidR="001C0B29" w:rsidRDefault="001C0B29" w:rsidP="00C63923">
      <w:pPr>
        <w:spacing w:line="276" w:lineRule="auto"/>
        <w:ind w:left="-284"/>
        <w:jc w:val="both"/>
        <w:rPr>
          <w:rFonts w:ascii="Arial" w:hAnsi="Arial" w:cs="Arial"/>
        </w:rPr>
      </w:pPr>
      <w:r w:rsidRPr="00851B38">
        <w:rPr>
          <w:rFonts w:ascii="Arial" w:hAnsi="Arial" w:cs="Arial"/>
        </w:rPr>
        <w:t>f) El domicilio de la sociedad deberá corresponder a la comuna en cuyo territorio se explotará el casino de juego cuya autorización de operación se solicita;</w:t>
      </w:r>
    </w:p>
    <w:p w:rsidR="00851B38" w:rsidRPr="00851B38" w:rsidRDefault="00851B38" w:rsidP="00C63923">
      <w:pPr>
        <w:spacing w:line="276" w:lineRule="auto"/>
        <w:ind w:left="-284"/>
        <w:jc w:val="both"/>
        <w:rPr>
          <w:rFonts w:ascii="Arial" w:hAnsi="Arial" w:cs="Arial"/>
        </w:rPr>
      </w:pPr>
    </w:p>
    <w:p w:rsidR="001C0B29" w:rsidRDefault="001C0B29" w:rsidP="00C63923">
      <w:pPr>
        <w:spacing w:line="276" w:lineRule="auto"/>
        <w:ind w:left="-284"/>
        <w:jc w:val="both"/>
        <w:rPr>
          <w:rFonts w:ascii="Arial" w:hAnsi="Arial" w:cs="Arial"/>
        </w:rPr>
      </w:pPr>
      <w:r w:rsidRPr="00851B38">
        <w:rPr>
          <w:rFonts w:ascii="Arial" w:hAnsi="Arial" w:cs="Arial"/>
        </w:rPr>
        <w:t>g) No podrán formar parte del Directorio de la sociedad las personas comprendidas en las inhabilidades contempladas en la ley Nº18.046, como tampoco aquellos que hubieren sido condenados por delito que merezca pena aflictiva;</w:t>
      </w:r>
    </w:p>
    <w:p w:rsidR="00851B38" w:rsidRPr="00851B38" w:rsidRDefault="00851B38" w:rsidP="00C63923">
      <w:pPr>
        <w:spacing w:line="276" w:lineRule="auto"/>
        <w:ind w:left="-284"/>
        <w:jc w:val="both"/>
        <w:rPr>
          <w:rFonts w:ascii="Arial" w:hAnsi="Arial" w:cs="Arial"/>
        </w:rPr>
      </w:pPr>
    </w:p>
    <w:p w:rsidR="001C0B29" w:rsidRDefault="001C0B29" w:rsidP="00C63923">
      <w:pPr>
        <w:spacing w:line="276" w:lineRule="auto"/>
        <w:ind w:left="-284"/>
        <w:jc w:val="both"/>
        <w:rPr>
          <w:rFonts w:ascii="Arial" w:hAnsi="Arial" w:cs="Arial"/>
        </w:rPr>
      </w:pPr>
      <w:r w:rsidRPr="00851B38">
        <w:rPr>
          <w:rFonts w:ascii="Arial" w:hAnsi="Arial" w:cs="Arial"/>
        </w:rPr>
        <w:t>h) Los accionistas y los directores de las sociedades operadoras no podrán asumir ningún tipo de funciones en las salas de juego, e</w:t>
      </w:r>
    </w:p>
    <w:p w:rsidR="00851B38" w:rsidRPr="00851B38" w:rsidRDefault="00851B38" w:rsidP="00C63923">
      <w:pPr>
        <w:spacing w:line="276" w:lineRule="auto"/>
        <w:ind w:left="-284"/>
        <w:jc w:val="both"/>
        <w:rPr>
          <w:rFonts w:ascii="Arial" w:hAnsi="Arial" w:cs="Arial"/>
        </w:rPr>
      </w:pPr>
    </w:p>
    <w:p w:rsidR="001C0B29" w:rsidRDefault="001C0B29" w:rsidP="00C63923">
      <w:pPr>
        <w:spacing w:line="276" w:lineRule="auto"/>
        <w:ind w:left="-284"/>
        <w:jc w:val="both"/>
        <w:rPr>
          <w:rFonts w:ascii="Arial" w:hAnsi="Arial" w:cs="Arial"/>
        </w:rPr>
      </w:pPr>
      <w:r w:rsidRPr="00851B38">
        <w:rPr>
          <w:rFonts w:ascii="Arial" w:hAnsi="Arial" w:cs="Arial"/>
        </w:rPr>
        <w:t xml:space="preserve">i) La transferencia de acciones de la sociedad operadora, como también cualquier otra modificación en su composición accionaria o en los estatutos de la referida sociedad, requerirán previa autorización de la Superintendencia. En todo caso, cualquier nuevo partícipe de la sociedad deberá sujetarse a los requisitos legales y reglamentarios, y someterse especialmente a la investigación de antecedentes y de origen </w:t>
      </w:r>
      <w:r w:rsidR="008871E3" w:rsidRPr="00851B38">
        <w:rPr>
          <w:rFonts w:ascii="Arial" w:hAnsi="Arial" w:cs="Arial"/>
        </w:rPr>
        <w:t xml:space="preserve">y suficiencia </w:t>
      </w:r>
      <w:r w:rsidRPr="00851B38">
        <w:rPr>
          <w:rFonts w:ascii="Arial" w:hAnsi="Arial" w:cs="Arial"/>
        </w:rPr>
        <w:t>de los capitales aportados, que efectúe la Superintendencia, como si se tratare de un accionista original.</w:t>
      </w:r>
    </w:p>
    <w:p w:rsidR="00851B38" w:rsidRPr="00851B38" w:rsidRDefault="00851B38" w:rsidP="00C63923">
      <w:pPr>
        <w:spacing w:line="276" w:lineRule="auto"/>
        <w:ind w:left="-284"/>
        <w:jc w:val="both"/>
        <w:rPr>
          <w:rFonts w:ascii="Arial" w:hAnsi="Arial" w:cs="Arial"/>
        </w:rPr>
      </w:pPr>
    </w:p>
    <w:p w:rsidR="001C0B29" w:rsidRPr="00851B38" w:rsidRDefault="00851B38" w:rsidP="00C63923">
      <w:pPr>
        <w:spacing w:line="276" w:lineRule="auto"/>
        <w:ind w:left="-284"/>
        <w:jc w:val="both"/>
        <w:rPr>
          <w:rFonts w:ascii="Arial" w:hAnsi="Arial" w:cs="Arial"/>
        </w:rPr>
      </w:pPr>
      <w:r>
        <w:rPr>
          <w:rFonts w:ascii="Arial" w:hAnsi="Arial" w:cs="Arial"/>
        </w:rPr>
        <w:t xml:space="preserve"> </w:t>
      </w:r>
      <w:r>
        <w:rPr>
          <w:rFonts w:ascii="Arial" w:hAnsi="Arial" w:cs="Arial"/>
        </w:rPr>
        <w:tab/>
      </w:r>
      <w:r w:rsidR="001C0B29" w:rsidRPr="00851B38">
        <w:rPr>
          <w:rFonts w:ascii="Arial" w:hAnsi="Arial" w:cs="Arial"/>
        </w:rPr>
        <w:t>Si la</w:t>
      </w:r>
      <w:r w:rsidR="00573439">
        <w:rPr>
          <w:rFonts w:ascii="Arial" w:hAnsi="Arial" w:cs="Arial"/>
        </w:rPr>
        <w:t xml:space="preserve"> solicitud de permiso de operación de </w:t>
      </w:r>
      <w:r w:rsidR="001C0B29" w:rsidRPr="00851B38">
        <w:rPr>
          <w:rFonts w:ascii="Arial" w:hAnsi="Arial" w:cs="Arial"/>
        </w:rPr>
        <w:t xml:space="preserve"> un casino de juego se enmarcare dentro de un "proyecto integral", en los términos definidos en el artículo 8º, los negocios adicionales al casino de juego que dicho proyecto comprenda, deberán ser administrados por terceros, bajo la mod</w:t>
      </w:r>
      <w:r w:rsidR="00657D67" w:rsidRPr="00851B38">
        <w:rPr>
          <w:rFonts w:ascii="Arial" w:hAnsi="Arial" w:cs="Arial"/>
        </w:rPr>
        <w:t xml:space="preserve">alidad que en la misma </w:t>
      </w:r>
      <w:r w:rsidR="00657D67" w:rsidRPr="00636B98">
        <w:rPr>
          <w:rFonts w:ascii="Arial" w:hAnsi="Arial" w:cs="Arial"/>
        </w:rPr>
        <w:t>propuesta</w:t>
      </w:r>
      <w:r w:rsidR="001C0B29" w:rsidRPr="00851B38">
        <w:rPr>
          <w:rFonts w:ascii="Arial" w:hAnsi="Arial" w:cs="Arial"/>
        </w:rPr>
        <w:t xml:space="preserve"> se expresará.</w:t>
      </w:r>
    </w:p>
    <w:p w:rsidR="00DD3EF3" w:rsidRPr="00851B38" w:rsidRDefault="00DD3EF3" w:rsidP="00C63923">
      <w:pPr>
        <w:spacing w:line="276" w:lineRule="auto"/>
        <w:ind w:left="-284"/>
        <w:jc w:val="both"/>
        <w:rPr>
          <w:rFonts w:ascii="Arial" w:hAnsi="Arial" w:cs="Arial"/>
        </w:rPr>
      </w:pPr>
    </w:p>
    <w:p w:rsidR="00DD3EF3" w:rsidRPr="00636B98" w:rsidRDefault="00DD3EF3" w:rsidP="00C63923">
      <w:pPr>
        <w:spacing w:line="276" w:lineRule="auto"/>
        <w:ind w:left="-284"/>
        <w:jc w:val="both"/>
        <w:rPr>
          <w:rFonts w:ascii="Arial" w:hAnsi="Arial" w:cs="Arial"/>
          <w:b/>
        </w:rPr>
      </w:pPr>
      <w:r w:rsidRPr="00636B98">
        <w:rPr>
          <w:rFonts w:ascii="Arial" w:hAnsi="Arial" w:cs="Arial"/>
          <w:b/>
        </w:rPr>
        <w:t>Párrafo 2º</w:t>
      </w:r>
      <w:r w:rsidR="00973AE2" w:rsidRPr="00636B98">
        <w:rPr>
          <w:rFonts w:ascii="Arial" w:hAnsi="Arial" w:cs="Arial"/>
          <w:b/>
        </w:rPr>
        <w:t xml:space="preserve">. </w:t>
      </w:r>
      <w:r w:rsidRPr="00636B98">
        <w:rPr>
          <w:rFonts w:ascii="Arial" w:hAnsi="Arial" w:cs="Arial"/>
          <w:b/>
        </w:rPr>
        <w:t xml:space="preserve"> Resolución de apertura y contenido de las Bases Técnicas.</w:t>
      </w:r>
    </w:p>
    <w:p w:rsidR="00DD3EF3" w:rsidRPr="00851B38" w:rsidRDefault="00DD3EF3" w:rsidP="00C63923">
      <w:pPr>
        <w:spacing w:line="276" w:lineRule="auto"/>
        <w:ind w:left="-284"/>
        <w:jc w:val="both"/>
        <w:rPr>
          <w:rFonts w:ascii="Arial" w:hAnsi="Arial" w:cs="Arial"/>
        </w:rPr>
      </w:pPr>
    </w:p>
    <w:p w:rsidR="00DD3EF3" w:rsidRDefault="00DD3EF3" w:rsidP="00C63923">
      <w:pPr>
        <w:spacing w:line="276" w:lineRule="auto"/>
        <w:ind w:left="-284"/>
        <w:jc w:val="both"/>
        <w:rPr>
          <w:rFonts w:ascii="Arial" w:hAnsi="Arial" w:cs="Arial"/>
        </w:rPr>
      </w:pPr>
      <w:r w:rsidRPr="00146A5C">
        <w:rPr>
          <w:rFonts w:ascii="Arial" w:hAnsi="Arial" w:cs="Arial"/>
          <w:b/>
        </w:rPr>
        <w:t>Artículo 10.-</w:t>
      </w:r>
      <w:r w:rsidRPr="00851B38">
        <w:rPr>
          <w:rFonts w:ascii="Arial" w:hAnsi="Arial" w:cs="Arial"/>
        </w:rPr>
        <w:t xml:space="preserve"> Con una antelación que no podrá superar los cuarenta y ocho ni ser inferior a treinta y seis meses, contados desde la fecha de vencimiento de los permisos en actual explotación, la Superintendencia deberá dictar una resolución declarando formalmente abierto el proceso de otorgamiento o de renovación de permisos de operación, según corresponda.</w:t>
      </w:r>
    </w:p>
    <w:p w:rsidR="00851B38" w:rsidRPr="00851B38" w:rsidRDefault="00851B38" w:rsidP="00C63923">
      <w:pPr>
        <w:spacing w:line="276" w:lineRule="auto"/>
        <w:ind w:left="-284"/>
        <w:jc w:val="both"/>
        <w:rPr>
          <w:rFonts w:ascii="Arial" w:hAnsi="Arial" w:cs="Arial"/>
        </w:rPr>
      </w:pPr>
    </w:p>
    <w:p w:rsidR="00DD3EF3" w:rsidRPr="00851B38" w:rsidRDefault="00851B38" w:rsidP="00C63923">
      <w:pPr>
        <w:spacing w:line="276" w:lineRule="auto"/>
        <w:ind w:left="-284"/>
        <w:jc w:val="both"/>
        <w:rPr>
          <w:rFonts w:ascii="Arial" w:hAnsi="Arial" w:cs="Arial"/>
        </w:rPr>
      </w:pPr>
      <w:r>
        <w:rPr>
          <w:rFonts w:ascii="Arial" w:hAnsi="Arial" w:cs="Arial"/>
        </w:rPr>
        <w:t xml:space="preserve"> </w:t>
      </w:r>
      <w:r>
        <w:rPr>
          <w:rFonts w:ascii="Arial" w:hAnsi="Arial" w:cs="Arial"/>
        </w:rPr>
        <w:tab/>
      </w:r>
      <w:r w:rsidR="00DD3EF3" w:rsidRPr="00851B38">
        <w:rPr>
          <w:rFonts w:ascii="Arial" w:hAnsi="Arial" w:cs="Arial"/>
        </w:rPr>
        <w:t>Dicha resolución deberá señalar el plazo y lugar para el retiro de las bases técnicas y la fecha, hora y lugar de entrega de las ofertas técnicas y económicas. Asimismo, deberá publicarse dentro de los 5 días siguientes a su dictación en extracto en el Diario Oficial y, completa, en un diario de circulación nacional.</w:t>
      </w:r>
    </w:p>
    <w:p w:rsidR="00DD3EF3" w:rsidRPr="00851B38" w:rsidRDefault="00DD3EF3" w:rsidP="00C63923">
      <w:pPr>
        <w:spacing w:line="276" w:lineRule="auto"/>
        <w:ind w:left="-284"/>
        <w:jc w:val="both"/>
        <w:rPr>
          <w:rFonts w:ascii="Arial" w:hAnsi="Arial" w:cs="Arial"/>
        </w:rPr>
      </w:pPr>
    </w:p>
    <w:p w:rsidR="00DD3EF3" w:rsidRDefault="00DD3EF3" w:rsidP="00C63923">
      <w:pPr>
        <w:spacing w:line="276" w:lineRule="auto"/>
        <w:ind w:left="-284"/>
        <w:jc w:val="both"/>
        <w:rPr>
          <w:rFonts w:ascii="Arial" w:hAnsi="Arial" w:cs="Arial"/>
        </w:rPr>
      </w:pPr>
      <w:r w:rsidRPr="00146A5C">
        <w:rPr>
          <w:rFonts w:ascii="Arial" w:hAnsi="Arial" w:cs="Arial"/>
          <w:b/>
        </w:rPr>
        <w:t>Artículo 11.-</w:t>
      </w:r>
      <w:r w:rsidRPr="00851B38">
        <w:rPr>
          <w:rFonts w:ascii="Arial" w:hAnsi="Arial" w:cs="Arial"/>
        </w:rPr>
        <w:t xml:space="preserve"> Tratándose de los permisos de operación que se extingan por aplicación de alguna de las causales previstas en las letras b), c), d) y e) del artículo 30 de la ley </w:t>
      </w:r>
      <w:r w:rsidR="000C7F05" w:rsidRPr="00851B38">
        <w:rPr>
          <w:rFonts w:ascii="Arial" w:hAnsi="Arial" w:cs="Arial"/>
        </w:rPr>
        <w:t xml:space="preserve">N° </w:t>
      </w:r>
      <w:r w:rsidRPr="00851B38">
        <w:rPr>
          <w:rFonts w:ascii="Arial" w:hAnsi="Arial" w:cs="Arial"/>
        </w:rPr>
        <w:t>19</w:t>
      </w:r>
      <w:r w:rsidR="00851B38">
        <w:rPr>
          <w:rFonts w:ascii="Arial" w:hAnsi="Arial" w:cs="Arial"/>
        </w:rPr>
        <w:t>.</w:t>
      </w:r>
      <w:r w:rsidRPr="00851B38">
        <w:rPr>
          <w:rFonts w:ascii="Arial" w:hAnsi="Arial" w:cs="Arial"/>
        </w:rPr>
        <w:t xml:space="preserve">995, la Superintendencia deberá dictar la resolución señalada en el artículo anterior dentro de un plazo no superior a ciento ochenta ni inferior a ciento veinte días, contado desde que quede ejecutoriada la resolución que dé lugar a la extinción del correspondiente permiso, debiendo publicar igualmente en los mismos términos ya indicados. </w:t>
      </w:r>
    </w:p>
    <w:p w:rsidR="00851B38" w:rsidRPr="00851B38" w:rsidRDefault="00851B38" w:rsidP="00C63923">
      <w:pPr>
        <w:spacing w:line="276" w:lineRule="auto"/>
        <w:ind w:left="-284"/>
        <w:jc w:val="both"/>
        <w:rPr>
          <w:rFonts w:ascii="Arial" w:hAnsi="Arial" w:cs="Arial"/>
        </w:rPr>
      </w:pPr>
    </w:p>
    <w:p w:rsidR="00DD3EF3" w:rsidRPr="00851B38" w:rsidRDefault="00851B38" w:rsidP="00C63923">
      <w:pPr>
        <w:spacing w:line="276" w:lineRule="auto"/>
        <w:ind w:left="-284"/>
        <w:jc w:val="both"/>
        <w:rPr>
          <w:rFonts w:ascii="Arial" w:hAnsi="Arial" w:cs="Arial"/>
        </w:rPr>
      </w:pPr>
      <w:r>
        <w:rPr>
          <w:rFonts w:ascii="Arial" w:hAnsi="Arial" w:cs="Arial"/>
        </w:rPr>
        <w:t xml:space="preserve"> </w:t>
      </w:r>
      <w:r>
        <w:rPr>
          <w:rFonts w:ascii="Arial" w:hAnsi="Arial" w:cs="Arial"/>
        </w:rPr>
        <w:tab/>
      </w:r>
      <w:r w:rsidR="00DD3EF3" w:rsidRPr="00573439">
        <w:rPr>
          <w:rFonts w:ascii="Arial" w:hAnsi="Arial" w:cs="Arial"/>
        </w:rPr>
        <w:t xml:space="preserve">La misma norma se aplicará cuando habiéndose concluido el proceso de otorgamiento de permiso de operación, éste no se haya otorgado por cualquier circunstancia, de lo que se dejará constancia en una resolución que se dictará para estos efectos. </w:t>
      </w:r>
      <w:r w:rsidR="006F5896" w:rsidRPr="00573439">
        <w:rPr>
          <w:rFonts w:ascii="Arial" w:hAnsi="Arial" w:cs="Arial"/>
        </w:rPr>
        <w:t>En todo caso, esta última resolución deberá contener la declaración de vacancia del respectivo permiso de operación y señalar expresamente el plazo en que se declarará abierto formalmente el proceso de otorgamiento de los permisos de operación correspondientes.</w:t>
      </w:r>
    </w:p>
    <w:p w:rsidR="00DD3EF3" w:rsidRPr="00851B38" w:rsidRDefault="00DD3EF3" w:rsidP="00C63923">
      <w:pPr>
        <w:spacing w:line="276" w:lineRule="auto"/>
        <w:ind w:left="-284"/>
        <w:jc w:val="both"/>
        <w:rPr>
          <w:rFonts w:ascii="Arial" w:hAnsi="Arial" w:cs="Arial"/>
        </w:rPr>
      </w:pPr>
    </w:p>
    <w:p w:rsidR="00DD3EF3" w:rsidRDefault="00DD3EF3" w:rsidP="00C63923">
      <w:pPr>
        <w:spacing w:line="276" w:lineRule="auto"/>
        <w:ind w:left="-284"/>
        <w:jc w:val="both"/>
        <w:rPr>
          <w:rFonts w:ascii="Arial" w:hAnsi="Arial" w:cs="Arial"/>
        </w:rPr>
      </w:pPr>
      <w:r w:rsidRPr="00146A5C">
        <w:rPr>
          <w:rFonts w:ascii="Arial" w:hAnsi="Arial" w:cs="Arial"/>
          <w:b/>
        </w:rPr>
        <w:t>Artículo 12.-</w:t>
      </w:r>
      <w:r w:rsidRPr="00851B38">
        <w:rPr>
          <w:rFonts w:ascii="Arial" w:hAnsi="Arial" w:cs="Arial"/>
        </w:rPr>
        <w:t xml:space="preserve"> En un acto distinto, pero en cualquier caso en forma previa a la publicación de la resolución de apertura, la Superintendencia </w:t>
      </w:r>
      <w:r w:rsidR="00F6610E">
        <w:rPr>
          <w:rFonts w:ascii="Arial" w:hAnsi="Arial" w:cs="Arial"/>
        </w:rPr>
        <w:t xml:space="preserve">elaborará y </w:t>
      </w:r>
      <w:r w:rsidRPr="00573439">
        <w:rPr>
          <w:rFonts w:ascii="Arial" w:hAnsi="Arial" w:cs="Arial"/>
        </w:rPr>
        <w:t>aprobará las bases técnicas</w:t>
      </w:r>
      <w:r w:rsidRPr="00851B38">
        <w:rPr>
          <w:rFonts w:ascii="Arial" w:hAnsi="Arial" w:cs="Arial"/>
        </w:rPr>
        <w:t xml:space="preserve">, las que deberán </w:t>
      </w:r>
      <w:r w:rsidR="007E5782" w:rsidRPr="00851B38">
        <w:rPr>
          <w:rFonts w:ascii="Arial" w:hAnsi="Arial" w:cs="Arial"/>
        </w:rPr>
        <w:t xml:space="preserve">estar publicadas en el sitio web institucional, y </w:t>
      </w:r>
      <w:r w:rsidRPr="00851B38">
        <w:rPr>
          <w:rFonts w:ascii="Arial" w:hAnsi="Arial" w:cs="Arial"/>
        </w:rPr>
        <w:t>contemplar los siguientes aspectos:</w:t>
      </w:r>
    </w:p>
    <w:p w:rsidR="00851B38" w:rsidRPr="00851B38" w:rsidRDefault="00851B38" w:rsidP="00C63923">
      <w:pPr>
        <w:spacing w:line="276" w:lineRule="auto"/>
        <w:ind w:left="-284"/>
        <w:jc w:val="both"/>
        <w:rPr>
          <w:rFonts w:ascii="Arial" w:hAnsi="Arial" w:cs="Arial"/>
        </w:rPr>
      </w:pPr>
    </w:p>
    <w:p w:rsidR="00DD3EF3" w:rsidRDefault="00DD3EF3" w:rsidP="00C63923">
      <w:pPr>
        <w:spacing w:line="276" w:lineRule="auto"/>
        <w:ind w:left="-284"/>
        <w:jc w:val="both"/>
        <w:rPr>
          <w:rFonts w:ascii="Arial" w:hAnsi="Arial" w:cs="Arial"/>
        </w:rPr>
      </w:pPr>
      <w:r w:rsidRPr="00851B38">
        <w:rPr>
          <w:rFonts w:ascii="Arial" w:hAnsi="Arial" w:cs="Arial"/>
        </w:rPr>
        <w:lastRenderedPageBreak/>
        <w:t>a)</w:t>
      </w:r>
      <w:r w:rsidRPr="00851B38">
        <w:rPr>
          <w:rFonts w:ascii="Arial" w:hAnsi="Arial" w:cs="Arial"/>
        </w:rPr>
        <w:tab/>
        <w:t xml:space="preserve">Los plazos y fechas a que se refiere el inciso </w:t>
      </w:r>
      <w:r w:rsidR="001B2DC1" w:rsidRPr="00851B38">
        <w:rPr>
          <w:rFonts w:ascii="Arial" w:hAnsi="Arial" w:cs="Arial"/>
        </w:rPr>
        <w:t>segundo</w:t>
      </w:r>
      <w:r w:rsidRPr="00851B38">
        <w:rPr>
          <w:rFonts w:ascii="Arial" w:hAnsi="Arial" w:cs="Arial"/>
        </w:rPr>
        <w:t xml:space="preserve"> del artículo 10 del </w:t>
      </w:r>
      <w:r w:rsidR="00F94BD6" w:rsidRPr="00851B38">
        <w:rPr>
          <w:rFonts w:ascii="Arial" w:hAnsi="Arial" w:cs="Arial"/>
        </w:rPr>
        <w:t>presente reglamento</w:t>
      </w:r>
      <w:r w:rsidR="007E5782" w:rsidRPr="00851B38">
        <w:rPr>
          <w:rFonts w:ascii="Arial" w:hAnsi="Arial" w:cs="Arial"/>
        </w:rPr>
        <w:t>, así como el período de consultas y solicitud de aclarac</w:t>
      </w:r>
      <w:r w:rsidR="00580DBD" w:rsidRPr="00851B38">
        <w:rPr>
          <w:rFonts w:ascii="Arial" w:hAnsi="Arial" w:cs="Arial"/>
        </w:rPr>
        <w:t>iones a las bases, las que podrán</w:t>
      </w:r>
      <w:r w:rsidR="007E5782" w:rsidRPr="00851B38">
        <w:rPr>
          <w:rFonts w:ascii="Arial" w:hAnsi="Arial" w:cs="Arial"/>
        </w:rPr>
        <w:t xml:space="preserve"> formularse </w:t>
      </w:r>
      <w:r w:rsidR="00580DBD" w:rsidRPr="00851B38">
        <w:rPr>
          <w:rFonts w:ascii="Arial" w:hAnsi="Arial" w:cs="Arial"/>
        </w:rPr>
        <w:t xml:space="preserve">por parte de potenciales oferentes </w:t>
      </w:r>
      <w:r w:rsidR="007E5782" w:rsidRPr="00851B38">
        <w:rPr>
          <w:rFonts w:ascii="Arial" w:hAnsi="Arial" w:cs="Arial"/>
        </w:rPr>
        <w:t>hasta 10 días después de publicadas, y para lo cual la Superintendencia dispondr</w:t>
      </w:r>
      <w:r w:rsidR="00857EDD" w:rsidRPr="00851B38">
        <w:rPr>
          <w:rFonts w:ascii="Arial" w:hAnsi="Arial" w:cs="Arial"/>
        </w:rPr>
        <w:t>á de 15</w:t>
      </w:r>
      <w:r w:rsidR="007E5782" w:rsidRPr="00851B38">
        <w:rPr>
          <w:rFonts w:ascii="Arial" w:hAnsi="Arial" w:cs="Arial"/>
        </w:rPr>
        <w:t xml:space="preserve"> días para responder.</w:t>
      </w:r>
      <w:r w:rsidR="00857EDD" w:rsidRPr="00851B38">
        <w:rPr>
          <w:rFonts w:ascii="Arial" w:hAnsi="Arial" w:cs="Arial"/>
        </w:rPr>
        <w:t xml:space="preserve"> La</w:t>
      </w:r>
      <w:r w:rsidR="00F6610E">
        <w:rPr>
          <w:rFonts w:ascii="Arial" w:hAnsi="Arial" w:cs="Arial"/>
        </w:rPr>
        <w:t>s respuestas a estas consultas se podrán a disposición de todos los interesados mediante circulares aclaratorias que se publicarán en el sitio web institucional, sin indicar el autor de las consultas.</w:t>
      </w:r>
      <w:r w:rsidR="00857EDD" w:rsidRPr="00851B38">
        <w:rPr>
          <w:rFonts w:ascii="Arial" w:hAnsi="Arial" w:cs="Arial"/>
        </w:rPr>
        <w:t xml:space="preserve"> </w:t>
      </w:r>
      <w:r w:rsidR="00FD7FD1" w:rsidRPr="00851B38">
        <w:rPr>
          <w:rFonts w:ascii="Arial" w:hAnsi="Arial" w:cs="Arial"/>
        </w:rPr>
        <w:t>Mediante el mismo instrumento y plazo, la Superintendencia podrá emitir otras aclaracion</w:t>
      </w:r>
      <w:r w:rsidR="00146A5C">
        <w:rPr>
          <w:rFonts w:ascii="Arial" w:hAnsi="Arial" w:cs="Arial"/>
        </w:rPr>
        <w:t>es</w:t>
      </w:r>
      <w:r w:rsidR="00F6610E">
        <w:rPr>
          <w:rFonts w:ascii="Arial" w:hAnsi="Arial" w:cs="Arial"/>
        </w:rPr>
        <w:t>, rectificaciones</w:t>
      </w:r>
      <w:r w:rsidR="00146A5C">
        <w:rPr>
          <w:rFonts w:ascii="Arial" w:hAnsi="Arial" w:cs="Arial"/>
        </w:rPr>
        <w:t xml:space="preserve"> o modificaciones a las bases;</w:t>
      </w:r>
    </w:p>
    <w:p w:rsidR="00851B38" w:rsidRPr="00851B38" w:rsidRDefault="00851B38" w:rsidP="00C63923">
      <w:pPr>
        <w:spacing w:line="276" w:lineRule="auto"/>
        <w:ind w:left="-284"/>
        <w:jc w:val="both"/>
        <w:rPr>
          <w:rFonts w:ascii="Arial" w:hAnsi="Arial" w:cs="Arial"/>
        </w:rPr>
      </w:pPr>
    </w:p>
    <w:p w:rsidR="00491C6F" w:rsidRDefault="001B2DC1" w:rsidP="00C63923">
      <w:pPr>
        <w:spacing w:line="276" w:lineRule="auto"/>
        <w:ind w:left="-284"/>
        <w:jc w:val="both"/>
        <w:rPr>
          <w:rFonts w:ascii="Arial" w:hAnsi="Arial" w:cs="Arial"/>
        </w:rPr>
      </w:pPr>
      <w:r w:rsidRPr="00851B38">
        <w:rPr>
          <w:rFonts w:ascii="Arial" w:hAnsi="Arial" w:cs="Arial"/>
        </w:rPr>
        <w:t>b</w:t>
      </w:r>
      <w:r w:rsidR="00DD3EF3" w:rsidRPr="00851B38">
        <w:rPr>
          <w:rFonts w:ascii="Arial" w:hAnsi="Arial" w:cs="Arial"/>
        </w:rPr>
        <w:t>)</w:t>
      </w:r>
      <w:r w:rsidR="00DD3EF3" w:rsidRPr="00851B38">
        <w:rPr>
          <w:rFonts w:ascii="Arial" w:hAnsi="Arial" w:cs="Arial"/>
        </w:rPr>
        <w:tab/>
      </w:r>
      <w:r w:rsidR="00F6610E">
        <w:rPr>
          <w:rFonts w:ascii="Arial" w:hAnsi="Arial" w:cs="Arial"/>
        </w:rPr>
        <w:t>Los requisitos y el procedimiento</w:t>
      </w:r>
      <w:r w:rsidR="00491C6F" w:rsidRPr="00851B38">
        <w:rPr>
          <w:rFonts w:ascii="Arial" w:hAnsi="Arial" w:cs="Arial"/>
        </w:rPr>
        <w:t xml:space="preserve"> para enterar un depósito en dinero por una cantidad equivalente a 1.000 unidades tributarias mensuales, al valor vigente del mes en que se presente la oferta técnica y económica, para efectos de proveer el pago de los gastos de evaluación que deberá efectuar la Superintendencia respecto de cada sociedad solicitante;</w:t>
      </w:r>
    </w:p>
    <w:p w:rsidR="00851B38" w:rsidRPr="00851B38" w:rsidRDefault="00851B38" w:rsidP="00C63923">
      <w:pPr>
        <w:spacing w:line="276" w:lineRule="auto"/>
        <w:ind w:left="-284"/>
        <w:jc w:val="both"/>
        <w:rPr>
          <w:rFonts w:ascii="Arial" w:hAnsi="Arial" w:cs="Arial"/>
        </w:rPr>
      </w:pPr>
    </w:p>
    <w:p w:rsidR="00491C6F" w:rsidRDefault="00491C6F" w:rsidP="00C63923">
      <w:pPr>
        <w:spacing w:line="276" w:lineRule="auto"/>
        <w:ind w:left="-284"/>
        <w:jc w:val="both"/>
        <w:rPr>
          <w:rFonts w:ascii="Arial" w:hAnsi="Arial" w:cs="Arial"/>
        </w:rPr>
      </w:pPr>
      <w:r w:rsidRPr="00851B38">
        <w:rPr>
          <w:rFonts w:ascii="Arial" w:hAnsi="Arial" w:cs="Arial"/>
        </w:rPr>
        <w:t>c)</w:t>
      </w:r>
      <w:r w:rsidRPr="00851B38">
        <w:rPr>
          <w:rFonts w:ascii="Arial" w:hAnsi="Arial" w:cs="Arial"/>
        </w:rPr>
        <w:tab/>
      </w:r>
      <w:r w:rsidR="00F6610E">
        <w:rPr>
          <w:rFonts w:ascii="Arial" w:hAnsi="Arial" w:cs="Arial"/>
        </w:rPr>
        <w:t>Los requisitos y el procedimiento</w:t>
      </w:r>
      <w:r w:rsidRPr="00851B38">
        <w:rPr>
          <w:rFonts w:ascii="Arial" w:hAnsi="Arial" w:cs="Arial"/>
        </w:rPr>
        <w:t xml:space="preserve"> para enterar una boleta de garantía bancaria, emitida a favor de la Superintendencia, por una cantidad equivalente al 5% del monto de la inversión total del proyecto, para garantizar el cabal cumplimiento de lo dispuesto en el artículo 4</w:t>
      </w:r>
      <w:r w:rsidR="009B224E" w:rsidRPr="00851B38">
        <w:rPr>
          <w:rFonts w:ascii="Arial" w:hAnsi="Arial" w:cs="Arial"/>
        </w:rPr>
        <w:t>7</w:t>
      </w:r>
      <w:r w:rsidRPr="00851B38">
        <w:rPr>
          <w:rFonts w:ascii="Arial" w:hAnsi="Arial" w:cs="Arial"/>
        </w:rPr>
        <w:t xml:space="preserve">, y cuya vigencia deberá considerar todo el proceso de evaluación hasta 30 días después de resuelto el </w:t>
      </w:r>
      <w:r w:rsidR="00146A5C">
        <w:rPr>
          <w:rFonts w:ascii="Arial" w:hAnsi="Arial" w:cs="Arial"/>
        </w:rPr>
        <w:t>respectivo permiso de operación;</w:t>
      </w:r>
      <w:r w:rsidRPr="00851B38">
        <w:rPr>
          <w:rFonts w:ascii="Arial" w:hAnsi="Arial" w:cs="Arial"/>
        </w:rPr>
        <w:t xml:space="preserve"> </w:t>
      </w:r>
    </w:p>
    <w:p w:rsidR="00851B38" w:rsidRPr="00851B38" w:rsidRDefault="00851B38" w:rsidP="00C63923">
      <w:pPr>
        <w:spacing w:line="276" w:lineRule="auto"/>
        <w:ind w:left="-284"/>
        <w:jc w:val="both"/>
        <w:rPr>
          <w:rFonts w:ascii="Arial" w:hAnsi="Arial" w:cs="Arial"/>
        </w:rPr>
      </w:pPr>
    </w:p>
    <w:p w:rsidR="00DD3EF3" w:rsidRDefault="007E5782" w:rsidP="00C63923">
      <w:pPr>
        <w:spacing w:line="276" w:lineRule="auto"/>
        <w:ind w:left="-284"/>
        <w:jc w:val="both"/>
        <w:rPr>
          <w:rFonts w:ascii="Arial" w:hAnsi="Arial" w:cs="Arial"/>
        </w:rPr>
      </w:pPr>
      <w:r w:rsidRPr="00851B38">
        <w:rPr>
          <w:rFonts w:ascii="Arial" w:hAnsi="Arial" w:cs="Arial"/>
        </w:rPr>
        <w:t>d)</w:t>
      </w:r>
      <w:r w:rsidRPr="00851B38">
        <w:rPr>
          <w:rFonts w:ascii="Arial" w:hAnsi="Arial" w:cs="Arial"/>
        </w:rPr>
        <w:tab/>
        <w:t>Información para constituir</w:t>
      </w:r>
      <w:r w:rsidR="00491C6F" w:rsidRPr="00851B38">
        <w:rPr>
          <w:rFonts w:ascii="Arial" w:hAnsi="Arial" w:cs="Arial"/>
        </w:rPr>
        <w:t xml:space="preserve"> un instrumento pagadero a la vista y de carácter irrevocable, emitid</w:t>
      </w:r>
      <w:r w:rsidR="0080655C" w:rsidRPr="00851B38">
        <w:rPr>
          <w:rFonts w:ascii="Arial" w:hAnsi="Arial" w:cs="Arial"/>
        </w:rPr>
        <w:t>o</w:t>
      </w:r>
      <w:r w:rsidR="00491C6F" w:rsidRPr="00851B38">
        <w:rPr>
          <w:rFonts w:ascii="Arial" w:hAnsi="Arial" w:cs="Arial"/>
        </w:rPr>
        <w:t xml:space="preserve"> a favor de la Superintendencia de Casinos de Juego, por un monto que determinará la Superintendencia en las bases</w:t>
      </w:r>
      <w:r w:rsidR="0080655C" w:rsidRPr="00851B38">
        <w:rPr>
          <w:rFonts w:ascii="Arial" w:hAnsi="Arial" w:cs="Arial"/>
        </w:rPr>
        <w:t xml:space="preserve"> técnicas</w:t>
      </w:r>
      <w:r w:rsidR="00491C6F" w:rsidRPr="00851B38">
        <w:rPr>
          <w:rFonts w:ascii="Arial" w:hAnsi="Arial" w:cs="Arial"/>
        </w:rPr>
        <w:t xml:space="preserve">, que no podrá ser inferior a 100 UTM ni superior a </w:t>
      </w:r>
      <w:r w:rsidR="007D423D" w:rsidRPr="00851B38">
        <w:rPr>
          <w:rFonts w:ascii="Arial" w:hAnsi="Arial" w:cs="Arial"/>
        </w:rPr>
        <w:t xml:space="preserve">1.000 </w:t>
      </w:r>
      <w:r w:rsidR="00491C6F" w:rsidRPr="00851B38">
        <w:rPr>
          <w:rFonts w:ascii="Arial" w:hAnsi="Arial" w:cs="Arial"/>
        </w:rPr>
        <w:t>UTM, teniendo en consideración para estos efectos la información previa que tenga disponible en relación a</w:t>
      </w:r>
      <w:r w:rsidR="007D423D" w:rsidRPr="00851B38">
        <w:rPr>
          <w:rFonts w:ascii="Arial" w:hAnsi="Arial" w:cs="Arial"/>
        </w:rPr>
        <w:t xml:space="preserve"> la proyección de flujos del Casino</w:t>
      </w:r>
      <w:r w:rsidR="00491C6F" w:rsidRPr="00851B38">
        <w:rPr>
          <w:rFonts w:ascii="Arial" w:hAnsi="Arial" w:cs="Arial"/>
        </w:rPr>
        <w:t xml:space="preserve"> y cuya vigencia deberá considerar todo el proceso de evaluación hasta 30 días después de resuelto el respectivo permiso de operación</w:t>
      </w:r>
      <w:r w:rsidR="00146A5C">
        <w:rPr>
          <w:rFonts w:ascii="Arial" w:hAnsi="Arial" w:cs="Arial"/>
        </w:rPr>
        <w:t>;</w:t>
      </w:r>
      <w:r w:rsidR="00491C6F" w:rsidRPr="00851B38">
        <w:rPr>
          <w:rFonts w:ascii="Arial" w:hAnsi="Arial" w:cs="Arial"/>
        </w:rPr>
        <w:t xml:space="preserve"> </w:t>
      </w:r>
    </w:p>
    <w:p w:rsidR="00F6610E" w:rsidRDefault="00F6610E" w:rsidP="00C63923">
      <w:pPr>
        <w:spacing w:line="276" w:lineRule="auto"/>
        <w:ind w:left="-284"/>
        <w:jc w:val="both"/>
        <w:rPr>
          <w:rFonts w:ascii="Arial" w:hAnsi="Arial" w:cs="Arial"/>
        </w:rPr>
      </w:pPr>
    </w:p>
    <w:p w:rsidR="008926B8" w:rsidRPr="00851B38" w:rsidRDefault="00F6610E" w:rsidP="008926B8">
      <w:pPr>
        <w:spacing w:line="276" w:lineRule="auto"/>
        <w:ind w:left="-284"/>
        <w:jc w:val="both"/>
        <w:rPr>
          <w:rFonts w:ascii="Arial" w:hAnsi="Arial" w:cs="Arial"/>
        </w:rPr>
      </w:pPr>
      <w:r w:rsidRPr="00851B38">
        <w:rPr>
          <w:rFonts w:ascii="Arial" w:hAnsi="Arial" w:cs="Arial"/>
        </w:rPr>
        <w:t>Sin perjuicio de la vigencia mínima que se establecerá</w:t>
      </w:r>
      <w:r w:rsidR="00527B17">
        <w:rPr>
          <w:rFonts w:ascii="Arial" w:hAnsi="Arial" w:cs="Arial"/>
        </w:rPr>
        <w:t>,</w:t>
      </w:r>
      <w:r w:rsidRPr="00851B38">
        <w:rPr>
          <w:rFonts w:ascii="Arial" w:hAnsi="Arial" w:cs="Arial"/>
        </w:rPr>
        <w:t xml:space="preserve"> </w:t>
      </w:r>
      <w:r w:rsidR="008926B8">
        <w:rPr>
          <w:rFonts w:ascii="Arial" w:hAnsi="Arial" w:cs="Arial"/>
        </w:rPr>
        <w:t xml:space="preserve">para </w:t>
      </w:r>
      <w:r w:rsidR="00527B17">
        <w:rPr>
          <w:rFonts w:ascii="Arial" w:hAnsi="Arial" w:cs="Arial"/>
        </w:rPr>
        <w:t>los</w:t>
      </w:r>
      <w:r w:rsidR="008926B8">
        <w:rPr>
          <w:rFonts w:ascii="Arial" w:hAnsi="Arial" w:cs="Arial"/>
        </w:rPr>
        <w:t xml:space="preserve"> instrumento</w:t>
      </w:r>
      <w:r w:rsidR="00527B17">
        <w:rPr>
          <w:rFonts w:ascii="Arial" w:hAnsi="Arial" w:cs="Arial"/>
        </w:rPr>
        <w:t xml:space="preserve"> descritos en las letras c) y d) precedentes,</w:t>
      </w:r>
      <w:r w:rsidR="008926B8">
        <w:rPr>
          <w:rFonts w:ascii="Arial" w:hAnsi="Arial" w:cs="Arial"/>
        </w:rPr>
        <w:t xml:space="preserve"> </w:t>
      </w:r>
      <w:r w:rsidRPr="00851B38">
        <w:rPr>
          <w:rFonts w:ascii="Arial" w:hAnsi="Arial" w:cs="Arial"/>
        </w:rPr>
        <w:t>en las respectivas bases técnicas</w:t>
      </w:r>
      <w:r>
        <w:rPr>
          <w:rFonts w:ascii="Arial" w:hAnsi="Arial" w:cs="Arial"/>
        </w:rPr>
        <w:t xml:space="preserve">, y que en todo caso será </w:t>
      </w:r>
      <w:r w:rsidR="008926B8">
        <w:rPr>
          <w:rFonts w:ascii="Arial" w:hAnsi="Arial" w:cs="Arial"/>
        </w:rPr>
        <w:lastRenderedPageBreak/>
        <w:t>al menos de</w:t>
      </w:r>
      <w:r>
        <w:rPr>
          <w:rFonts w:ascii="Arial" w:hAnsi="Arial" w:cs="Arial"/>
        </w:rPr>
        <w:t xml:space="preserve"> 1 año </w:t>
      </w:r>
      <w:r w:rsidRPr="00851B38">
        <w:rPr>
          <w:rFonts w:ascii="Arial" w:hAnsi="Arial" w:cs="Arial"/>
        </w:rPr>
        <w:t>a contar de la fecha en que se llevará a cabo la audiencia de presentación de la oferta técnica y económica</w:t>
      </w:r>
      <w:r>
        <w:rPr>
          <w:rFonts w:ascii="Arial" w:hAnsi="Arial" w:cs="Arial"/>
        </w:rPr>
        <w:t xml:space="preserve"> correspondiente,</w:t>
      </w:r>
      <w:r w:rsidRPr="00851B38">
        <w:rPr>
          <w:rFonts w:ascii="Arial" w:hAnsi="Arial" w:cs="Arial"/>
        </w:rPr>
        <w:t xml:space="preserve"> será deber de los proponentes renovar</w:t>
      </w:r>
      <w:r w:rsidR="008926B8">
        <w:rPr>
          <w:rFonts w:ascii="Arial" w:hAnsi="Arial" w:cs="Arial"/>
        </w:rPr>
        <w:t>lo</w:t>
      </w:r>
      <w:r w:rsidR="00527B17">
        <w:rPr>
          <w:rFonts w:ascii="Arial" w:hAnsi="Arial" w:cs="Arial"/>
        </w:rPr>
        <w:t>s</w:t>
      </w:r>
      <w:r w:rsidRPr="00851B38">
        <w:rPr>
          <w:rFonts w:ascii="Arial" w:hAnsi="Arial" w:cs="Arial"/>
        </w:rPr>
        <w:t xml:space="preserve"> oportunamente y por todo el período que dure el proceso de otorgamiento o renovación de un permiso de operación de casinos de juego.</w:t>
      </w:r>
      <w:r w:rsidR="00527B17">
        <w:rPr>
          <w:rFonts w:ascii="Arial" w:hAnsi="Arial" w:cs="Arial"/>
        </w:rPr>
        <w:t xml:space="preserve"> </w:t>
      </w:r>
      <w:r w:rsidR="00BF12E9">
        <w:rPr>
          <w:rFonts w:ascii="Arial" w:hAnsi="Arial" w:cs="Arial"/>
        </w:rPr>
        <w:t>Las bases técnicas indicarán</w:t>
      </w:r>
      <w:r w:rsidR="00700F65">
        <w:rPr>
          <w:rFonts w:ascii="Arial" w:hAnsi="Arial" w:cs="Arial"/>
        </w:rPr>
        <w:t>,</w:t>
      </w:r>
      <w:r w:rsidR="00BF12E9">
        <w:rPr>
          <w:rFonts w:ascii="Arial" w:hAnsi="Arial" w:cs="Arial"/>
        </w:rPr>
        <w:t xml:space="preserve"> </w:t>
      </w:r>
      <w:r w:rsidR="00527B17">
        <w:rPr>
          <w:rFonts w:ascii="Arial" w:hAnsi="Arial" w:cs="Arial"/>
        </w:rPr>
        <w:t>también</w:t>
      </w:r>
      <w:r w:rsidR="00BF12E9">
        <w:rPr>
          <w:rFonts w:ascii="Arial" w:hAnsi="Arial" w:cs="Arial"/>
        </w:rPr>
        <w:t xml:space="preserve"> la forma y oportunidad de la devolución de est</w:t>
      </w:r>
      <w:r w:rsidR="00527B17">
        <w:rPr>
          <w:rFonts w:ascii="Arial" w:hAnsi="Arial" w:cs="Arial"/>
        </w:rPr>
        <w:t>os</w:t>
      </w:r>
      <w:r w:rsidR="00BF12E9">
        <w:rPr>
          <w:rFonts w:ascii="Arial" w:hAnsi="Arial" w:cs="Arial"/>
        </w:rPr>
        <w:t xml:space="preserve"> instrumento</w:t>
      </w:r>
      <w:r w:rsidR="00527B17">
        <w:rPr>
          <w:rFonts w:ascii="Arial" w:hAnsi="Arial" w:cs="Arial"/>
        </w:rPr>
        <w:t>s</w:t>
      </w:r>
      <w:r w:rsidR="00BF12E9">
        <w:rPr>
          <w:rFonts w:ascii="Arial" w:hAnsi="Arial" w:cs="Arial"/>
        </w:rPr>
        <w:t>, en su caso.</w:t>
      </w:r>
    </w:p>
    <w:p w:rsidR="00851B38" w:rsidRPr="00851B38" w:rsidRDefault="00851B38" w:rsidP="00C63923">
      <w:pPr>
        <w:spacing w:line="276" w:lineRule="auto"/>
        <w:ind w:left="-284"/>
        <w:jc w:val="both"/>
        <w:rPr>
          <w:rFonts w:ascii="Arial" w:hAnsi="Arial" w:cs="Arial"/>
        </w:rPr>
      </w:pPr>
    </w:p>
    <w:p w:rsidR="00DD3EF3" w:rsidRDefault="00DD3EF3" w:rsidP="00C63923">
      <w:pPr>
        <w:spacing w:line="276" w:lineRule="auto"/>
        <w:ind w:left="-284"/>
        <w:jc w:val="both"/>
        <w:rPr>
          <w:rFonts w:ascii="Arial" w:hAnsi="Arial" w:cs="Arial"/>
        </w:rPr>
      </w:pPr>
      <w:r w:rsidRPr="00851B38">
        <w:rPr>
          <w:rFonts w:ascii="Arial" w:hAnsi="Arial" w:cs="Arial"/>
        </w:rPr>
        <w:t>e)</w:t>
      </w:r>
      <w:r w:rsidRPr="00851B38">
        <w:rPr>
          <w:rFonts w:ascii="Arial" w:hAnsi="Arial" w:cs="Arial"/>
        </w:rPr>
        <w:tab/>
        <w:t xml:space="preserve">Los antecedentes necesarios para evaluar el cumplimiento de los requisitos establecidos en los artículos 17, 18, 20 y 21 bis de la ley </w:t>
      </w:r>
      <w:r w:rsidR="000C7F05" w:rsidRPr="00851B38">
        <w:rPr>
          <w:rFonts w:ascii="Arial" w:hAnsi="Arial" w:cs="Arial"/>
        </w:rPr>
        <w:t xml:space="preserve">N° </w:t>
      </w:r>
      <w:r w:rsidRPr="00851B38">
        <w:rPr>
          <w:rFonts w:ascii="Arial" w:hAnsi="Arial" w:cs="Arial"/>
        </w:rPr>
        <w:t>19.995</w:t>
      </w:r>
      <w:r w:rsidR="00146A5C">
        <w:rPr>
          <w:rFonts w:ascii="Arial" w:hAnsi="Arial" w:cs="Arial"/>
        </w:rPr>
        <w:t>;</w:t>
      </w:r>
    </w:p>
    <w:p w:rsidR="00851B38" w:rsidRPr="00851B38" w:rsidRDefault="00851B38" w:rsidP="00C63923">
      <w:pPr>
        <w:spacing w:line="276" w:lineRule="auto"/>
        <w:ind w:left="-284"/>
        <w:jc w:val="both"/>
        <w:rPr>
          <w:rFonts w:ascii="Arial" w:hAnsi="Arial" w:cs="Arial"/>
        </w:rPr>
      </w:pPr>
    </w:p>
    <w:p w:rsidR="00DD3EF3" w:rsidRDefault="00DD3EF3" w:rsidP="00C63923">
      <w:pPr>
        <w:spacing w:line="276" w:lineRule="auto"/>
        <w:ind w:left="-284"/>
        <w:jc w:val="both"/>
        <w:rPr>
          <w:rFonts w:ascii="Arial" w:hAnsi="Arial" w:cs="Arial"/>
        </w:rPr>
      </w:pPr>
      <w:r w:rsidRPr="00851B38">
        <w:rPr>
          <w:rFonts w:ascii="Arial" w:hAnsi="Arial" w:cs="Arial"/>
        </w:rPr>
        <w:t>f)</w:t>
      </w:r>
      <w:r w:rsidRPr="00851B38">
        <w:rPr>
          <w:rFonts w:ascii="Arial" w:hAnsi="Arial" w:cs="Arial"/>
        </w:rPr>
        <w:tab/>
        <w:t>Los criterios de evaluación</w:t>
      </w:r>
      <w:r w:rsidR="00954B53" w:rsidRPr="00851B38">
        <w:rPr>
          <w:rFonts w:ascii="Arial" w:hAnsi="Arial" w:cs="Arial"/>
        </w:rPr>
        <w:t xml:space="preserve"> </w:t>
      </w:r>
      <w:r w:rsidR="009562E9" w:rsidRPr="00851B38">
        <w:rPr>
          <w:rFonts w:ascii="Arial" w:hAnsi="Arial" w:cs="Arial"/>
        </w:rPr>
        <w:t xml:space="preserve">y los factores definidos en el artículo 23 de la ley N° 19.995, </w:t>
      </w:r>
      <w:r w:rsidR="00146A5C">
        <w:rPr>
          <w:rFonts w:ascii="Arial" w:hAnsi="Arial" w:cs="Arial"/>
        </w:rPr>
        <w:t>y sus ponderaciones;</w:t>
      </w:r>
    </w:p>
    <w:p w:rsidR="00851B38" w:rsidRPr="00851B38" w:rsidRDefault="00851B38" w:rsidP="00C63923">
      <w:pPr>
        <w:spacing w:line="276" w:lineRule="auto"/>
        <w:ind w:left="-284"/>
        <w:jc w:val="both"/>
        <w:rPr>
          <w:rFonts w:ascii="Arial" w:hAnsi="Arial" w:cs="Arial"/>
        </w:rPr>
      </w:pPr>
    </w:p>
    <w:p w:rsidR="00DD3EF3" w:rsidRDefault="00DD3EF3" w:rsidP="00C63923">
      <w:pPr>
        <w:spacing w:line="276" w:lineRule="auto"/>
        <w:ind w:left="-284"/>
        <w:jc w:val="both"/>
        <w:rPr>
          <w:rFonts w:ascii="Arial" w:hAnsi="Arial" w:cs="Arial"/>
        </w:rPr>
      </w:pPr>
      <w:r w:rsidRPr="00851B38">
        <w:rPr>
          <w:rFonts w:ascii="Arial" w:hAnsi="Arial" w:cs="Arial"/>
        </w:rPr>
        <w:t>g)</w:t>
      </w:r>
      <w:r w:rsidRPr="00851B38">
        <w:rPr>
          <w:rFonts w:ascii="Arial" w:hAnsi="Arial" w:cs="Arial"/>
        </w:rPr>
        <w:tab/>
        <w:t>La metodología de evaluación de los criterios, factores y su</w:t>
      </w:r>
      <w:r w:rsidR="00146A5C">
        <w:rPr>
          <w:rFonts w:ascii="Arial" w:hAnsi="Arial" w:cs="Arial"/>
        </w:rPr>
        <w:t>bfactores;</w:t>
      </w:r>
    </w:p>
    <w:p w:rsidR="00851B38" w:rsidRPr="00851B38" w:rsidRDefault="00851B38" w:rsidP="00C63923">
      <w:pPr>
        <w:spacing w:line="276" w:lineRule="auto"/>
        <w:ind w:left="-284"/>
        <w:jc w:val="both"/>
        <w:rPr>
          <w:rFonts w:ascii="Arial" w:hAnsi="Arial" w:cs="Arial"/>
        </w:rPr>
      </w:pPr>
    </w:p>
    <w:p w:rsidR="00DD3EF3" w:rsidRDefault="00DD3EF3" w:rsidP="00C63923">
      <w:pPr>
        <w:spacing w:line="276" w:lineRule="auto"/>
        <w:ind w:left="-284"/>
        <w:jc w:val="both"/>
        <w:rPr>
          <w:rFonts w:ascii="Arial" w:hAnsi="Arial" w:cs="Arial"/>
        </w:rPr>
      </w:pPr>
      <w:r w:rsidRPr="00851B38">
        <w:rPr>
          <w:rFonts w:ascii="Arial" w:hAnsi="Arial" w:cs="Arial"/>
        </w:rPr>
        <w:t>h)</w:t>
      </w:r>
      <w:r w:rsidRPr="00851B38">
        <w:rPr>
          <w:rFonts w:ascii="Arial" w:hAnsi="Arial" w:cs="Arial"/>
        </w:rPr>
        <w:tab/>
        <w:t>Los formatos definidos para la presentación de la oferta técnica</w:t>
      </w:r>
      <w:r w:rsidR="007D4DFF" w:rsidRPr="00851B38">
        <w:rPr>
          <w:rFonts w:ascii="Arial" w:hAnsi="Arial" w:cs="Arial"/>
        </w:rPr>
        <w:t xml:space="preserve"> y económica</w:t>
      </w:r>
      <w:r w:rsidR="00146A5C">
        <w:rPr>
          <w:rFonts w:ascii="Arial" w:hAnsi="Arial" w:cs="Arial"/>
        </w:rPr>
        <w:t>;</w:t>
      </w:r>
    </w:p>
    <w:p w:rsidR="00851B38" w:rsidRPr="00851B38" w:rsidRDefault="00851B38" w:rsidP="00C63923">
      <w:pPr>
        <w:spacing w:line="276" w:lineRule="auto"/>
        <w:ind w:left="-284"/>
        <w:jc w:val="both"/>
        <w:rPr>
          <w:rFonts w:ascii="Arial" w:hAnsi="Arial" w:cs="Arial"/>
        </w:rPr>
      </w:pPr>
    </w:p>
    <w:p w:rsidR="00DD3EF3" w:rsidRDefault="00DD3EF3" w:rsidP="00C63923">
      <w:pPr>
        <w:spacing w:line="276" w:lineRule="auto"/>
        <w:ind w:left="-284"/>
        <w:jc w:val="both"/>
        <w:rPr>
          <w:rFonts w:ascii="Arial" w:hAnsi="Arial" w:cs="Arial"/>
        </w:rPr>
      </w:pPr>
      <w:r w:rsidRPr="00851B38">
        <w:rPr>
          <w:rFonts w:ascii="Arial" w:hAnsi="Arial" w:cs="Arial"/>
        </w:rPr>
        <w:t>i)</w:t>
      </w:r>
      <w:r w:rsidRPr="00851B38">
        <w:rPr>
          <w:rFonts w:ascii="Arial" w:hAnsi="Arial" w:cs="Arial"/>
        </w:rPr>
        <w:tab/>
        <w:t>La integración d</w:t>
      </w:r>
      <w:r w:rsidR="00146A5C">
        <w:rPr>
          <w:rFonts w:ascii="Arial" w:hAnsi="Arial" w:cs="Arial"/>
        </w:rPr>
        <w:t>el Comité Técnico de Evaluación; y</w:t>
      </w:r>
    </w:p>
    <w:p w:rsidR="00851B38" w:rsidRPr="00851B38" w:rsidRDefault="00851B38" w:rsidP="00C63923">
      <w:pPr>
        <w:spacing w:line="276" w:lineRule="auto"/>
        <w:ind w:left="-284"/>
        <w:jc w:val="both"/>
        <w:rPr>
          <w:rFonts w:ascii="Arial" w:hAnsi="Arial" w:cs="Arial"/>
        </w:rPr>
      </w:pPr>
    </w:p>
    <w:p w:rsidR="00954B53" w:rsidRPr="00851B38" w:rsidRDefault="00DD3EF3" w:rsidP="00C63923">
      <w:pPr>
        <w:spacing w:line="276" w:lineRule="auto"/>
        <w:ind w:left="-284"/>
        <w:jc w:val="both"/>
        <w:rPr>
          <w:rFonts w:ascii="Arial" w:hAnsi="Arial" w:cs="Arial"/>
        </w:rPr>
      </w:pPr>
      <w:r w:rsidRPr="00851B38">
        <w:rPr>
          <w:rFonts w:ascii="Arial" w:hAnsi="Arial" w:cs="Arial"/>
        </w:rPr>
        <w:t>j)</w:t>
      </w:r>
      <w:r w:rsidRPr="00851B38">
        <w:rPr>
          <w:rFonts w:ascii="Arial" w:hAnsi="Arial" w:cs="Arial"/>
        </w:rPr>
        <w:tab/>
        <w:t>Los criterios de desempate en caso de igualdad en la oferta económica más alta.</w:t>
      </w:r>
    </w:p>
    <w:p w:rsidR="0048096D" w:rsidRPr="00851B38" w:rsidRDefault="0048096D" w:rsidP="00C63923">
      <w:pPr>
        <w:spacing w:line="276" w:lineRule="auto"/>
        <w:ind w:left="-284"/>
        <w:jc w:val="both"/>
        <w:rPr>
          <w:rFonts w:ascii="Arial" w:hAnsi="Arial" w:cs="Arial"/>
        </w:rPr>
      </w:pPr>
    </w:p>
    <w:p w:rsidR="00527B17" w:rsidRDefault="00527B17" w:rsidP="00C63923">
      <w:pPr>
        <w:spacing w:line="276" w:lineRule="auto"/>
        <w:ind w:left="-284"/>
        <w:jc w:val="both"/>
        <w:rPr>
          <w:rFonts w:ascii="Arial" w:hAnsi="Arial" w:cs="Arial"/>
          <w:b/>
        </w:rPr>
      </w:pPr>
    </w:p>
    <w:p w:rsidR="00954B53" w:rsidRPr="00636B98" w:rsidRDefault="00954B53" w:rsidP="00C63923">
      <w:pPr>
        <w:spacing w:line="276" w:lineRule="auto"/>
        <w:ind w:left="-284"/>
        <w:jc w:val="both"/>
        <w:rPr>
          <w:rFonts w:ascii="Arial" w:hAnsi="Arial" w:cs="Arial"/>
          <w:b/>
        </w:rPr>
      </w:pPr>
      <w:r w:rsidRPr="00636B98">
        <w:rPr>
          <w:rFonts w:ascii="Arial" w:hAnsi="Arial" w:cs="Arial"/>
          <w:b/>
        </w:rPr>
        <w:t>Párrafo 3</w:t>
      </w:r>
      <w:r w:rsidR="00E45C49" w:rsidRPr="00636B98">
        <w:rPr>
          <w:rFonts w:ascii="Arial" w:hAnsi="Arial" w:cs="Arial"/>
          <w:b/>
        </w:rPr>
        <w:t>°</w:t>
      </w:r>
      <w:r w:rsidR="00973AE2" w:rsidRPr="00636B98">
        <w:rPr>
          <w:rFonts w:ascii="Arial" w:hAnsi="Arial" w:cs="Arial"/>
          <w:b/>
        </w:rPr>
        <w:t xml:space="preserve">. </w:t>
      </w:r>
      <w:r w:rsidRPr="00636B98">
        <w:rPr>
          <w:rFonts w:ascii="Arial" w:hAnsi="Arial" w:cs="Arial"/>
          <w:b/>
        </w:rPr>
        <w:t xml:space="preserve"> Contenido de la oferta técnica y económica.</w:t>
      </w:r>
    </w:p>
    <w:p w:rsidR="00954B53" w:rsidRPr="00851B38" w:rsidRDefault="00954B53" w:rsidP="00C63923">
      <w:pPr>
        <w:spacing w:line="276" w:lineRule="auto"/>
        <w:ind w:left="-284"/>
        <w:jc w:val="both"/>
        <w:rPr>
          <w:rFonts w:ascii="Arial" w:hAnsi="Arial" w:cs="Arial"/>
        </w:rPr>
      </w:pPr>
    </w:p>
    <w:p w:rsidR="00954B53" w:rsidRDefault="00954B53" w:rsidP="00C63923">
      <w:pPr>
        <w:spacing w:line="276" w:lineRule="auto"/>
        <w:ind w:left="-284"/>
        <w:jc w:val="both"/>
        <w:rPr>
          <w:rFonts w:ascii="Arial" w:hAnsi="Arial" w:cs="Arial"/>
        </w:rPr>
      </w:pPr>
      <w:r w:rsidRPr="00146A5C">
        <w:rPr>
          <w:rFonts w:ascii="Arial" w:hAnsi="Arial" w:cs="Arial"/>
          <w:b/>
        </w:rPr>
        <w:t>Artículo 13.-</w:t>
      </w:r>
      <w:r w:rsidRPr="00851B38">
        <w:rPr>
          <w:rFonts w:ascii="Arial" w:hAnsi="Arial" w:cs="Arial"/>
        </w:rPr>
        <w:t xml:space="preserve"> La oferta técnica deberá contener y acompañar en su caso, los siguientes antecedentes:</w:t>
      </w:r>
    </w:p>
    <w:p w:rsidR="00851B38" w:rsidRDefault="00851B38" w:rsidP="00C63923">
      <w:pPr>
        <w:spacing w:line="276" w:lineRule="auto"/>
        <w:ind w:left="-284"/>
        <w:jc w:val="both"/>
        <w:rPr>
          <w:rFonts w:ascii="Arial" w:hAnsi="Arial" w:cs="Arial"/>
        </w:rPr>
      </w:pPr>
    </w:p>
    <w:p w:rsidR="00954B53" w:rsidRDefault="00954B53" w:rsidP="00C63923">
      <w:pPr>
        <w:spacing w:line="276" w:lineRule="auto"/>
        <w:ind w:left="-284"/>
        <w:jc w:val="both"/>
        <w:rPr>
          <w:rFonts w:ascii="Arial" w:hAnsi="Arial" w:cs="Arial"/>
        </w:rPr>
      </w:pPr>
      <w:r w:rsidRPr="00851B38">
        <w:rPr>
          <w:rFonts w:ascii="Arial" w:hAnsi="Arial" w:cs="Arial"/>
        </w:rPr>
        <w:t>a) Nombre completo, edad, estado civil, profesión, domicilio y número de cédula nacional de identidad, o su equivalente en caso de extranjeros, de todos los accionistas personas naturales de la sociedad solicitante. En el caso de accionistas que sean personas jurídicas, deberá acompañarse la respectiva escritura social con certificación de vigencia</w:t>
      </w:r>
      <w:r w:rsidR="00246FD3">
        <w:rPr>
          <w:rFonts w:ascii="Arial" w:hAnsi="Arial" w:cs="Arial"/>
        </w:rPr>
        <w:t>,</w:t>
      </w:r>
      <w:r w:rsidR="00F655C5">
        <w:rPr>
          <w:rFonts w:ascii="Arial" w:hAnsi="Arial" w:cs="Arial"/>
        </w:rPr>
        <w:t xml:space="preserve"> no superior a tres meses</w:t>
      </w:r>
      <w:r w:rsidR="00246FD3">
        <w:rPr>
          <w:rFonts w:ascii="Arial" w:hAnsi="Arial" w:cs="Arial"/>
        </w:rPr>
        <w:t xml:space="preserve"> al momento de presentar la oferta,</w:t>
      </w:r>
      <w:r w:rsidR="00F655C5">
        <w:rPr>
          <w:rFonts w:ascii="Arial" w:hAnsi="Arial" w:cs="Arial"/>
        </w:rPr>
        <w:t xml:space="preserve"> </w:t>
      </w:r>
      <w:r w:rsidRPr="00851B38">
        <w:rPr>
          <w:rFonts w:ascii="Arial" w:hAnsi="Arial" w:cs="Arial"/>
        </w:rPr>
        <w:t>y copia del registro de accionistas</w:t>
      </w:r>
      <w:r w:rsidR="005F3657">
        <w:rPr>
          <w:rFonts w:ascii="Arial" w:hAnsi="Arial" w:cs="Arial"/>
        </w:rPr>
        <w:t xml:space="preserve"> </w:t>
      </w:r>
      <w:r w:rsidR="005F3657">
        <w:rPr>
          <w:rFonts w:ascii="Arial" w:hAnsi="Arial" w:cs="Arial"/>
        </w:rPr>
        <w:lastRenderedPageBreak/>
        <w:t>correspondiente al cierre de la medianoche del quinto día hábil anterior al de presentación de la oferta técnica</w:t>
      </w:r>
      <w:r w:rsidRPr="00851B38">
        <w:rPr>
          <w:rFonts w:ascii="Arial" w:hAnsi="Arial" w:cs="Arial"/>
        </w:rPr>
        <w:t>.</w:t>
      </w:r>
    </w:p>
    <w:p w:rsidR="00851B38" w:rsidRPr="00851B38" w:rsidRDefault="00851B38" w:rsidP="00C63923">
      <w:pPr>
        <w:spacing w:line="276" w:lineRule="auto"/>
        <w:ind w:left="-284"/>
        <w:jc w:val="both"/>
        <w:rPr>
          <w:rFonts w:ascii="Arial" w:hAnsi="Arial" w:cs="Arial"/>
        </w:rPr>
      </w:pPr>
    </w:p>
    <w:p w:rsidR="00954B53" w:rsidRDefault="00851B38" w:rsidP="00C63923">
      <w:pPr>
        <w:spacing w:line="276" w:lineRule="auto"/>
        <w:ind w:left="-284"/>
        <w:jc w:val="both"/>
        <w:rPr>
          <w:rFonts w:ascii="Arial" w:hAnsi="Arial" w:cs="Arial"/>
        </w:rPr>
      </w:pPr>
      <w:r>
        <w:rPr>
          <w:rFonts w:ascii="Arial" w:hAnsi="Arial" w:cs="Arial"/>
        </w:rPr>
        <w:t xml:space="preserve"> </w:t>
      </w:r>
      <w:r>
        <w:rPr>
          <w:rFonts w:ascii="Arial" w:hAnsi="Arial" w:cs="Arial"/>
        </w:rPr>
        <w:tab/>
      </w:r>
      <w:r w:rsidR="00954B53" w:rsidRPr="00851B38">
        <w:rPr>
          <w:rFonts w:ascii="Arial" w:hAnsi="Arial" w:cs="Arial"/>
        </w:rPr>
        <w:t>Además, se acompañarán los mismos antecedentes respecto de las sociedades que forman parte de la solicitante y, asimismo, aquéllos relativos a las personas naturales y jurídicas, chilenas o extranjeras, relacionadas con la propiedad de dichas sociedades. En el caso que los documentos se otorguen en un idioma distinto al castellano, deberán ser traducidos por el Ministerio de Relaciones Exteriores de Chile y pres</w:t>
      </w:r>
      <w:r w:rsidR="00146A5C">
        <w:rPr>
          <w:rFonts w:ascii="Arial" w:hAnsi="Arial" w:cs="Arial"/>
        </w:rPr>
        <w:t>entados debidamente legalizados;</w:t>
      </w:r>
    </w:p>
    <w:p w:rsidR="00851B38" w:rsidRPr="00851B38" w:rsidRDefault="00851B38" w:rsidP="00C63923">
      <w:pPr>
        <w:spacing w:line="276" w:lineRule="auto"/>
        <w:ind w:left="-284"/>
        <w:jc w:val="both"/>
        <w:rPr>
          <w:rFonts w:ascii="Arial" w:hAnsi="Arial" w:cs="Arial"/>
        </w:rPr>
      </w:pPr>
    </w:p>
    <w:p w:rsidR="00954B53" w:rsidRDefault="00954B53" w:rsidP="00C63923">
      <w:pPr>
        <w:spacing w:line="276" w:lineRule="auto"/>
        <w:ind w:left="-284"/>
        <w:jc w:val="both"/>
        <w:rPr>
          <w:rFonts w:ascii="Arial" w:hAnsi="Arial" w:cs="Arial"/>
        </w:rPr>
      </w:pPr>
      <w:r w:rsidRPr="00851B38">
        <w:rPr>
          <w:rFonts w:ascii="Arial" w:hAnsi="Arial" w:cs="Arial"/>
        </w:rPr>
        <w:t xml:space="preserve">b) Individualización completa </w:t>
      </w:r>
      <w:r w:rsidR="00954D21">
        <w:rPr>
          <w:rFonts w:ascii="Arial" w:hAnsi="Arial" w:cs="Arial"/>
        </w:rPr>
        <w:t xml:space="preserve">y actual </w:t>
      </w:r>
      <w:r w:rsidRPr="00851B38">
        <w:rPr>
          <w:rFonts w:ascii="Arial" w:hAnsi="Arial" w:cs="Arial"/>
        </w:rPr>
        <w:t>de los miembros del directorio de la sociedad solicitante y de sus representantes o apoderados;</w:t>
      </w:r>
    </w:p>
    <w:p w:rsidR="00851B38" w:rsidRPr="00851B38" w:rsidRDefault="00851B38" w:rsidP="00C63923">
      <w:pPr>
        <w:spacing w:line="276" w:lineRule="auto"/>
        <w:ind w:left="-284"/>
        <w:jc w:val="both"/>
        <w:rPr>
          <w:rFonts w:ascii="Arial" w:hAnsi="Arial" w:cs="Arial"/>
        </w:rPr>
      </w:pPr>
    </w:p>
    <w:p w:rsidR="00954B53" w:rsidRDefault="00954B53" w:rsidP="00C63923">
      <w:pPr>
        <w:spacing w:line="276" w:lineRule="auto"/>
        <w:ind w:left="-284"/>
        <w:jc w:val="both"/>
        <w:rPr>
          <w:rFonts w:ascii="Arial" w:hAnsi="Arial" w:cs="Arial"/>
        </w:rPr>
      </w:pPr>
      <w:r w:rsidRPr="00851B38">
        <w:rPr>
          <w:rFonts w:ascii="Arial" w:hAnsi="Arial" w:cs="Arial"/>
        </w:rPr>
        <w:t>c) Especificación de la respectiva cuota de participación de los distintos accionistas en la sociedad solicitante;</w:t>
      </w:r>
    </w:p>
    <w:p w:rsidR="00851B38" w:rsidRPr="00851B38" w:rsidRDefault="00851B38" w:rsidP="00C63923">
      <w:pPr>
        <w:spacing w:line="276" w:lineRule="auto"/>
        <w:ind w:left="-284"/>
        <w:jc w:val="both"/>
        <w:rPr>
          <w:rFonts w:ascii="Arial" w:hAnsi="Arial" w:cs="Arial"/>
        </w:rPr>
      </w:pPr>
    </w:p>
    <w:p w:rsidR="00954B53" w:rsidRDefault="00954B53" w:rsidP="00C63923">
      <w:pPr>
        <w:spacing w:line="276" w:lineRule="auto"/>
        <w:ind w:left="-284"/>
        <w:jc w:val="both"/>
        <w:rPr>
          <w:rFonts w:ascii="Arial" w:hAnsi="Arial" w:cs="Arial"/>
        </w:rPr>
      </w:pPr>
      <w:r w:rsidRPr="00851B38">
        <w:rPr>
          <w:rFonts w:ascii="Arial" w:hAnsi="Arial" w:cs="Arial"/>
        </w:rPr>
        <w:t>d) Certificado emitido por el Servicio de Impuestos Internos</w:t>
      </w:r>
      <w:r w:rsidR="00486718" w:rsidRPr="00851B38">
        <w:rPr>
          <w:rFonts w:ascii="Arial" w:hAnsi="Arial" w:cs="Arial"/>
        </w:rPr>
        <w:t xml:space="preserve"> y por la Superintendencia de Liqui</w:t>
      </w:r>
      <w:r w:rsidR="00BE6AD5" w:rsidRPr="00851B38">
        <w:rPr>
          <w:rFonts w:ascii="Arial" w:hAnsi="Arial" w:cs="Arial"/>
        </w:rPr>
        <w:t>dación</w:t>
      </w:r>
      <w:r w:rsidR="00486718" w:rsidRPr="00CF447E">
        <w:rPr>
          <w:rFonts w:ascii="Arial" w:hAnsi="Arial" w:cs="Arial"/>
        </w:rPr>
        <w:t xml:space="preserve"> y Reemprendimiento</w:t>
      </w:r>
      <w:r w:rsidRPr="00CF447E">
        <w:rPr>
          <w:rFonts w:ascii="Arial" w:hAnsi="Arial" w:cs="Arial"/>
        </w:rPr>
        <w:t>, que dé cuenta del hecho de encontrarse al día la sociedad solicitante y sus accionistas en el cumplimiento de sus obligaciones tributarias;</w:t>
      </w:r>
    </w:p>
    <w:p w:rsidR="00851B38" w:rsidRPr="00851B38" w:rsidRDefault="00851B38" w:rsidP="00C63923">
      <w:pPr>
        <w:spacing w:line="276" w:lineRule="auto"/>
        <w:ind w:left="-284"/>
        <w:jc w:val="both"/>
        <w:rPr>
          <w:rFonts w:ascii="Arial" w:hAnsi="Arial" w:cs="Arial"/>
        </w:rPr>
      </w:pPr>
    </w:p>
    <w:p w:rsidR="00954B53" w:rsidRDefault="00954B53" w:rsidP="00C63923">
      <w:pPr>
        <w:spacing w:line="276" w:lineRule="auto"/>
        <w:ind w:left="-284"/>
        <w:jc w:val="both"/>
        <w:rPr>
          <w:rFonts w:ascii="Arial" w:hAnsi="Arial" w:cs="Arial"/>
        </w:rPr>
      </w:pPr>
      <w:r w:rsidRPr="00851B38">
        <w:rPr>
          <w:rFonts w:ascii="Arial" w:hAnsi="Arial" w:cs="Arial"/>
        </w:rPr>
        <w:t>e) Certificado de Antecedentes de los accionistas personas naturales de la sociedad solicitante, de los miembros del directorio de la misma sociedad y de sus representantes o apoderados, como asimismo de los miembros de los directorios y representantes o apoderados de las personas jurídicas accionistas de la sociedad solicitante;</w:t>
      </w:r>
    </w:p>
    <w:p w:rsidR="00851B38" w:rsidRPr="00851B38" w:rsidRDefault="00851B38" w:rsidP="00C63923">
      <w:pPr>
        <w:spacing w:line="276" w:lineRule="auto"/>
        <w:ind w:left="-284"/>
        <w:jc w:val="both"/>
        <w:rPr>
          <w:rFonts w:ascii="Arial" w:hAnsi="Arial" w:cs="Arial"/>
        </w:rPr>
      </w:pPr>
    </w:p>
    <w:p w:rsidR="00954B53" w:rsidRDefault="00954B53" w:rsidP="00C63923">
      <w:pPr>
        <w:spacing w:line="276" w:lineRule="auto"/>
        <w:ind w:left="-284"/>
        <w:jc w:val="both"/>
        <w:rPr>
          <w:rFonts w:ascii="Arial" w:hAnsi="Arial" w:cs="Arial"/>
        </w:rPr>
      </w:pPr>
      <w:r w:rsidRPr="00851B38">
        <w:rPr>
          <w:rFonts w:ascii="Arial" w:hAnsi="Arial" w:cs="Arial"/>
        </w:rPr>
        <w:t>f) Los instrumentos en que conste el dominio, el arrendamiento o el comodato relativos al inmueble en que funcionará el casino de juego, o la promesa de celebrar dichos contratos;</w:t>
      </w:r>
    </w:p>
    <w:p w:rsidR="00851B38" w:rsidRPr="00851B38" w:rsidRDefault="00851B38" w:rsidP="00C63923">
      <w:pPr>
        <w:spacing w:line="276" w:lineRule="auto"/>
        <w:ind w:left="-284"/>
        <w:jc w:val="both"/>
        <w:rPr>
          <w:rFonts w:ascii="Arial" w:hAnsi="Arial" w:cs="Arial"/>
        </w:rPr>
      </w:pPr>
    </w:p>
    <w:p w:rsidR="00954B53" w:rsidRDefault="00954B53" w:rsidP="00C63923">
      <w:pPr>
        <w:spacing w:line="276" w:lineRule="auto"/>
        <w:ind w:left="-284"/>
        <w:jc w:val="both"/>
        <w:rPr>
          <w:rFonts w:ascii="Arial" w:hAnsi="Arial" w:cs="Arial"/>
        </w:rPr>
      </w:pPr>
      <w:r w:rsidRPr="00851B38">
        <w:rPr>
          <w:rFonts w:ascii="Arial" w:hAnsi="Arial" w:cs="Arial"/>
        </w:rPr>
        <w:lastRenderedPageBreak/>
        <w:t>g) Indicación de los juegos de azar cuya licencia de explotación se solicita, dentro de los comprendidos en el Catálogo de Juegos. Lo anterior, se entiende sin perjuicio de las categorías de juego que de acuerdo a la Ley deben prestarse obligatoriamente por todo operador;</w:t>
      </w:r>
    </w:p>
    <w:p w:rsidR="00851B38" w:rsidRPr="00851B38" w:rsidRDefault="00851B38" w:rsidP="00C63923">
      <w:pPr>
        <w:spacing w:line="276" w:lineRule="auto"/>
        <w:ind w:left="-284"/>
        <w:jc w:val="both"/>
        <w:rPr>
          <w:rFonts w:ascii="Arial" w:hAnsi="Arial" w:cs="Arial"/>
        </w:rPr>
      </w:pPr>
    </w:p>
    <w:p w:rsidR="00954B53" w:rsidRDefault="00954B53" w:rsidP="00C63923">
      <w:pPr>
        <w:spacing w:line="276" w:lineRule="auto"/>
        <w:ind w:left="-284"/>
        <w:jc w:val="both"/>
        <w:rPr>
          <w:rFonts w:ascii="Arial" w:hAnsi="Arial" w:cs="Arial"/>
        </w:rPr>
      </w:pPr>
      <w:r w:rsidRPr="00851B38">
        <w:rPr>
          <w:rFonts w:ascii="Arial" w:hAnsi="Arial" w:cs="Arial"/>
        </w:rPr>
        <w:t xml:space="preserve">h) Indicación de la cantidad de mesas, máquinas </w:t>
      </w:r>
      <w:r w:rsidR="0009343D" w:rsidRPr="00851B38">
        <w:rPr>
          <w:rFonts w:ascii="Arial" w:hAnsi="Arial" w:cs="Arial"/>
        </w:rPr>
        <w:t xml:space="preserve">de azar </w:t>
      </w:r>
      <w:r w:rsidRPr="00851B38">
        <w:rPr>
          <w:rFonts w:ascii="Arial" w:hAnsi="Arial" w:cs="Arial"/>
        </w:rPr>
        <w:t>y posiciones de juego d</w:t>
      </w:r>
      <w:r w:rsidRPr="00CF447E">
        <w:rPr>
          <w:rFonts w:ascii="Arial" w:hAnsi="Arial" w:cs="Arial"/>
        </w:rPr>
        <w:t>el bingo, consideradas para cada uno de los respectivos juegos de azar cuya licencia de explotación se solicita;</w:t>
      </w:r>
    </w:p>
    <w:p w:rsidR="00851B38" w:rsidRPr="00851B38" w:rsidRDefault="00851B38" w:rsidP="00C63923">
      <w:pPr>
        <w:spacing w:line="276" w:lineRule="auto"/>
        <w:ind w:left="-284"/>
        <w:jc w:val="both"/>
        <w:rPr>
          <w:rFonts w:ascii="Arial" w:hAnsi="Arial" w:cs="Arial"/>
        </w:rPr>
      </w:pPr>
    </w:p>
    <w:p w:rsidR="00954B53" w:rsidRDefault="00954B53" w:rsidP="00C63923">
      <w:pPr>
        <w:spacing w:line="276" w:lineRule="auto"/>
        <w:ind w:left="-284"/>
        <w:jc w:val="both"/>
        <w:rPr>
          <w:rFonts w:ascii="Arial" w:hAnsi="Arial" w:cs="Arial"/>
        </w:rPr>
      </w:pPr>
      <w:r w:rsidRPr="00851B38">
        <w:rPr>
          <w:rFonts w:ascii="Arial" w:hAnsi="Arial" w:cs="Arial"/>
        </w:rPr>
        <w:t>i) Indicación de los servicios anexos que se pretende explotar, entendiéndose siempre incluidos dentro de éstos, aquellos servicios que el reglamento respectivo impone sean de prestación obligatoria; indicándose además si estos servicios se prestarán directamente o a través de terceros;</w:t>
      </w:r>
    </w:p>
    <w:p w:rsidR="00851B38" w:rsidRPr="00851B38" w:rsidRDefault="00851B38" w:rsidP="00C63923">
      <w:pPr>
        <w:spacing w:line="276" w:lineRule="auto"/>
        <w:ind w:left="-284"/>
        <w:jc w:val="both"/>
        <w:rPr>
          <w:rFonts w:ascii="Arial" w:hAnsi="Arial" w:cs="Arial"/>
        </w:rPr>
      </w:pPr>
    </w:p>
    <w:p w:rsidR="00954B53" w:rsidRDefault="00954B53" w:rsidP="00C63923">
      <w:pPr>
        <w:spacing w:line="276" w:lineRule="auto"/>
        <w:ind w:left="-284"/>
        <w:jc w:val="both"/>
        <w:rPr>
          <w:rFonts w:ascii="Arial" w:hAnsi="Arial" w:cs="Arial"/>
        </w:rPr>
      </w:pPr>
      <w:r w:rsidRPr="00851B38">
        <w:rPr>
          <w:rFonts w:ascii="Arial" w:hAnsi="Arial" w:cs="Arial"/>
        </w:rPr>
        <w:t xml:space="preserve">j) Los estudios técnicos, comerciales y turísticos que la sociedad solicitante estime necesarios acompañar para mejor fundar su </w:t>
      </w:r>
      <w:r w:rsidR="00657D67" w:rsidRPr="00851B38">
        <w:rPr>
          <w:rFonts w:ascii="Arial" w:hAnsi="Arial" w:cs="Arial"/>
        </w:rPr>
        <w:t>propuesta</w:t>
      </w:r>
      <w:r w:rsidRPr="00851B38">
        <w:rPr>
          <w:rFonts w:ascii="Arial" w:hAnsi="Arial" w:cs="Arial"/>
        </w:rPr>
        <w:t>;</w:t>
      </w:r>
    </w:p>
    <w:p w:rsidR="00851B38" w:rsidRPr="00851B38" w:rsidRDefault="00851B38" w:rsidP="00C63923">
      <w:pPr>
        <w:spacing w:line="276" w:lineRule="auto"/>
        <w:ind w:left="-284"/>
        <w:jc w:val="both"/>
        <w:rPr>
          <w:rFonts w:ascii="Arial" w:hAnsi="Arial" w:cs="Arial"/>
        </w:rPr>
      </w:pPr>
    </w:p>
    <w:p w:rsidR="00954B53" w:rsidRDefault="00954B53" w:rsidP="00C63923">
      <w:pPr>
        <w:spacing w:line="276" w:lineRule="auto"/>
        <w:ind w:left="-284"/>
        <w:jc w:val="both"/>
        <w:rPr>
          <w:rFonts w:ascii="Arial" w:hAnsi="Arial" w:cs="Arial"/>
        </w:rPr>
      </w:pPr>
      <w:r w:rsidRPr="00851B38">
        <w:rPr>
          <w:rFonts w:ascii="Arial" w:hAnsi="Arial" w:cs="Arial"/>
        </w:rPr>
        <w:t xml:space="preserve">k) El depósito en dinero establecido en el artículo 12, letra b), del </w:t>
      </w:r>
      <w:r w:rsidR="00F94BD6" w:rsidRPr="00CF447E">
        <w:rPr>
          <w:rFonts w:ascii="Arial" w:hAnsi="Arial" w:cs="Arial"/>
        </w:rPr>
        <w:t>presente reglamento</w:t>
      </w:r>
      <w:r w:rsidR="00851B38">
        <w:rPr>
          <w:rFonts w:ascii="Arial" w:hAnsi="Arial" w:cs="Arial"/>
        </w:rPr>
        <w:t>;</w:t>
      </w:r>
    </w:p>
    <w:p w:rsidR="00851B38" w:rsidRPr="00851B38" w:rsidRDefault="00851B38" w:rsidP="00C63923">
      <w:pPr>
        <w:spacing w:line="276" w:lineRule="auto"/>
        <w:ind w:left="-284"/>
        <w:jc w:val="both"/>
        <w:rPr>
          <w:rFonts w:ascii="Arial" w:hAnsi="Arial" w:cs="Arial"/>
        </w:rPr>
      </w:pPr>
    </w:p>
    <w:p w:rsidR="00851B38" w:rsidRDefault="00954B53" w:rsidP="00C63923">
      <w:pPr>
        <w:spacing w:line="276" w:lineRule="auto"/>
        <w:ind w:left="-284"/>
        <w:jc w:val="both"/>
        <w:rPr>
          <w:rFonts w:ascii="Arial" w:hAnsi="Arial" w:cs="Arial"/>
        </w:rPr>
      </w:pPr>
      <w:r w:rsidRPr="00851B38">
        <w:rPr>
          <w:rFonts w:ascii="Arial" w:hAnsi="Arial" w:cs="Arial"/>
        </w:rPr>
        <w:t xml:space="preserve">l) La boleta de garantía bancaria establecida en el artículo 12 letra c) de </w:t>
      </w:r>
      <w:r w:rsidR="00F94BD6" w:rsidRPr="00CF447E">
        <w:rPr>
          <w:rFonts w:ascii="Arial" w:hAnsi="Arial" w:cs="Arial"/>
        </w:rPr>
        <w:t>este reglamento</w:t>
      </w:r>
      <w:r w:rsidR="00851B38">
        <w:rPr>
          <w:rFonts w:ascii="Arial" w:hAnsi="Arial" w:cs="Arial"/>
        </w:rPr>
        <w:t>;</w:t>
      </w:r>
    </w:p>
    <w:p w:rsidR="00954B53" w:rsidRPr="00851B38" w:rsidRDefault="00954B53" w:rsidP="00C63923">
      <w:pPr>
        <w:spacing w:line="276" w:lineRule="auto"/>
        <w:ind w:left="-284"/>
        <w:jc w:val="both"/>
        <w:rPr>
          <w:rFonts w:ascii="Arial" w:hAnsi="Arial" w:cs="Arial"/>
        </w:rPr>
      </w:pPr>
      <w:r w:rsidRPr="00851B38">
        <w:rPr>
          <w:rFonts w:ascii="Arial" w:hAnsi="Arial" w:cs="Arial"/>
        </w:rPr>
        <w:t xml:space="preserve"> </w:t>
      </w:r>
    </w:p>
    <w:p w:rsidR="00954B53" w:rsidRDefault="00954B53" w:rsidP="00C63923">
      <w:pPr>
        <w:spacing w:line="276" w:lineRule="auto"/>
        <w:ind w:left="-284"/>
        <w:jc w:val="both"/>
        <w:rPr>
          <w:rFonts w:ascii="Arial" w:hAnsi="Arial" w:cs="Arial"/>
        </w:rPr>
      </w:pPr>
      <w:r w:rsidRPr="00851B38">
        <w:rPr>
          <w:rFonts w:ascii="Arial" w:hAnsi="Arial" w:cs="Arial"/>
        </w:rPr>
        <w:t xml:space="preserve">m) </w:t>
      </w:r>
      <w:r w:rsidR="0009343D" w:rsidRPr="00CF447E">
        <w:rPr>
          <w:rFonts w:ascii="Arial" w:hAnsi="Arial" w:cs="Arial"/>
        </w:rPr>
        <w:t>L</w:t>
      </w:r>
      <w:r w:rsidRPr="00CF447E">
        <w:rPr>
          <w:rFonts w:ascii="Arial" w:hAnsi="Arial" w:cs="Arial"/>
        </w:rPr>
        <w:t xml:space="preserve">a caución o garantía que establece el artículo 12 letra d), inciso primero de </w:t>
      </w:r>
      <w:r w:rsidR="00F94BD6" w:rsidRPr="00CF447E">
        <w:rPr>
          <w:rFonts w:ascii="Arial" w:hAnsi="Arial" w:cs="Arial"/>
        </w:rPr>
        <w:t>este reglamento</w:t>
      </w:r>
      <w:r w:rsidR="00851B38">
        <w:rPr>
          <w:rFonts w:ascii="Arial" w:hAnsi="Arial" w:cs="Arial"/>
        </w:rPr>
        <w:t>;</w:t>
      </w:r>
    </w:p>
    <w:p w:rsidR="00851B38" w:rsidRPr="00851B38" w:rsidRDefault="00851B38" w:rsidP="00C63923">
      <w:pPr>
        <w:spacing w:line="276" w:lineRule="auto"/>
        <w:ind w:left="-284"/>
        <w:jc w:val="both"/>
        <w:rPr>
          <w:rFonts w:ascii="Arial" w:hAnsi="Arial" w:cs="Arial"/>
        </w:rPr>
      </w:pPr>
    </w:p>
    <w:p w:rsidR="00954B53" w:rsidRDefault="00954B53" w:rsidP="00C63923">
      <w:pPr>
        <w:spacing w:line="276" w:lineRule="auto"/>
        <w:ind w:left="-284"/>
        <w:jc w:val="both"/>
        <w:rPr>
          <w:rFonts w:ascii="Arial" w:hAnsi="Arial" w:cs="Arial"/>
        </w:rPr>
      </w:pPr>
      <w:r w:rsidRPr="00851B38">
        <w:rPr>
          <w:rFonts w:ascii="Arial" w:hAnsi="Arial" w:cs="Arial"/>
        </w:rPr>
        <w:t>n) El proyecto y su plan de operación, el cual considerará a lo menos los siguientes antecedentes:</w:t>
      </w:r>
    </w:p>
    <w:p w:rsidR="00851B38" w:rsidRPr="00851B38" w:rsidRDefault="00851B38" w:rsidP="00C63923">
      <w:pPr>
        <w:spacing w:line="276" w:lineRule="auto"/>
        <w:ind w:left="-284"/>
        <w:jc w:val="both"/>
        <w:rPr>
          <w:rFonts w:ascii="Arial" w:hAnsi="Arial" w:cs="Arial"/>
        </w:rPr>
      </w:pPr>
    </w:p>
    <w:p w:rsidR="00351CD0" w:rsidRDefault="00954B53" w:rsidP="00C63923">
      <w:pPr>
        <w:spacing w:line="276" w:lineRule="auto"/>
        <w:ind w:left="-284"/>
        <w:jc w:val="both"/>
        <w:rPr>
          <w:rFonts w:ascii="Arial" w:hAnsi="Arial" w:cs="Arial"/>
        </w:rPr>
      </w:pPr>
      <w:r w:rsidRPr="00851B38">
        <w:rPr>
          <w:rFonts w:ascii="Arial" w:hAnsi="Arial" w:cs="Arial"/>
        </w:rPr>
        <w:t xml:space="preserve">-Descripción detallada de las obras principales e instalaciones complementarias que comprenda el </w:t>
      </w:r>
      <w:r w:rsidRPr="00CF447E">
        <w:rPr>
          <w:rFonts w:ascii="Arial" w:hAnsi="Arial" w:cs="Arial"/>
        </w:rPr>
        <w:t>proyecto, y su ubicación espacial.</w:t>
      </w:r>
    </w:p>
    <w:p w:rsidR="00851B38" w:rsidRPr="00851B38" w:rsidRDefault="00851B38" w:rsidP="00C63923">
      <w:pPr>
        <w:spacing w:line="276" w:lineRule="auto"/>
        <w:ind w:left="-284"/>
        <w:jc w:val="both"/>
        <w:rPr>
          <w:rFonts w:ascii="Arial" w:hAnsi="Arial" w:cs="Arial"/>
        </w:rPr>
      </w:pPr>
    </w:p>
    <w:p w:rsidR="00954B53" w:rsidRDefault="00954B53" w:rsidP="00C63923">
      <w:pPr>
        <w:spacing w:line="276" w:lineRule="auto"/>
        <w:ind w:left="-284"/>
        <w:jc w:val="both"/>
        <w:rPr>
          <w:rFonts w:ascii="Arial" w:hAnsi="Arial" w:cs="Arial"/>
        </w:rPr>
      </w:pPr>
      <w:r w:rsidRPr="00851B38">
        <w:rPr>
          <w:rFonts w:ascii="Arial" w:hAnsi="Arial" w:cs="Arial"/>
        </w:rPr>
        <w:t>- Programa de desarrollo y ejecución de las diversas obras del proyecto.</w:t>
      </w:r>
    </w:p>
    <w:p w:rsidR="00851B38" w:rsidRPr="00851B38" w:rsidRDefault="00851B38" w:rsidP="00C63923">
      <w:pPr>
        <w:spacing w:line="276" w:lineRule="auto"/>
        <w:ind w:left="-284"/>
        <w:jc w:val="both"/>
        <w:rPr>
          <w:rFonts w:ascii="Arial" w:hAnsi="Arial" w:cs="Arial"/>
        </w:rPr>
      </w:pPr>
    </w:p>
    <w:p w:rsidR="00954B53" w:rsidRDefault="00954B53" w:rsidP="00C63923">
      <w:pPr>
        <w:spacing w:line="276" w:lineRule="auto"/>
        <w:ind w:left="-284"/>
        <w:jc w:val="both"/>
        <w:rPr>
          <w:rFonts w:ascii="Arial" w:hAnsi="Arial" w:cs="Arial"/>
        </w:rPr>
      </w:pPr>
      <w:r w:rsidRPr="00851B38">
        <w:rPr>
          <w:rFonts w:ascii="Arial" w:hAnsi="Arial" w:cs="Arial"/>
        </w:rPr>
        <w:t>-Planos de arquitectura y de ingeniería, y maqueta del establecimiento en que funcionará el casino de juego y de las instalaciones complementarias d</w:t>
      </w:r>
      <w:r w:rsidRPr="00CF447E">
        <w:rPr>
          <w:rFonts w:ascii="Arial" w:hAnsi="Arial" w:cs="Arial"/>
        </w:rPr>
        <w:t>el proyecto.</w:t>
      </w:r>
    </w:p>
    <w:p w:rsidR="00573439" w:rsidRPr="00CF447E" w:rsidRDefault="00573439" w:rsidP="00C63923">
      <w:pPr>
        <w:spacing w:line="276" w:lineRule="auto"/>
        <w:ind w:left="-284"/>
        <w:jc w:val="both"/>
        <w:rPr>
          <w:rFonts w:ascii="Arial" w:hAnsi="Arial" w:cs="Arial"/>
        </w:rPr>
      </w:pPr>
    </w:p>
    <w:p w:rsidR="00954B53" w:rsidRDefault="00954B53" w:rsidP="00C63923">
      <w:pPr>
        <w:spacing w:line="276" w:lineRule="auto"/>
        <w:ind w:left="-284"/>
        <w:jc w:val="both"/>
        <w:rPr>
          <w:rFonts w:ascii="Arial" w:hAnsi="Arial" w:cs="Arial"/>
        </w:rPr>
      </w:pPr>
      <w:r w:rsidRPr="00CF447E">
        <w:rPr>
          <w:rFonts w:ascii="Arial" w:hAnsi="Arial" w:cs="Arial"/>
        </w:rPr>
        <w:t>-Programa de inversiones que comprenda el proyecto.</w:t>
      </w:r>
    </w:p>
    <w:p w:rsidR="00851B38" w:rsidRPr="00851B38" w:rsidRDefault="00851B38" w:rsidP="00C63923">
      <w:pPr>
        <w:spacing w:line="276" w:lineRule="auto"/>
        <w:ind w:left="-284"/>
        <w:jc w:val="both"/>
        <w:rPr>
          <w:rFonts w:ascii="Arial" w:hAnsi="Arial" w:cs="Arial"/>
        </w:rPr>
      </w:pPr>
    </w:p>
    <w:p w:rsidR="00954B53" w:rsidRDefault="00954B53" w:rsidP="00C63923">
      <w:pPr>
        <w:spacing w:line="276" w:lineRule="auto"/>
        <w:ind w:left="-284"/>
        <w:jc w:val="both"/>
        <w:rPr>
          <w:rFonts w:ascii="Arial" w:hAnsi="Arial" w:cs="Arial"/>
        </w:rPr>
      </w:pPr>
      <w:r w:rsidRPr="00851B38">
        <w:rPr>
          <w:rFonts w:ascii="Arial" w:hAnsi="Arial" w:cs="Arial"/>
        </w:rPr>
        <w:t>-Informe económico-financiero del proyecto, el cual comprenderá, a lo menos, un estudio presupuestario, los flujos financieros correspondientes, la rentabilidad proyectada sobre el capital, y la descripción y origen de las fuentes de financiamiento del proyecto. En todo caso, al menos el 40% del financiamiento del proyecto correspondiente al casino de juego, deberá estar constituido por aporte de la propia sociedad solicitante, exigencia que d</w:t>
      </w:r>
      <w:r w:rsidRPr="00CF447E">
        <w:rPr>
          <w:rFonts w:ascii="Arial" w:hAnsi="Arial" w:cs="Arial"/>
        </w:rPr>
        <w:t>eberá acreditarse debidamente y a satisfacción de la Superintendencia.</w:t>
      </w:r>
      <w:r w:rsidR="00573439">
        <w:rPr>
          <w:rFonts w:ascii="Arial" w:hAnsi="Arial" w:cs="Arial"/>
        </w:rPr>
        <w:t xml:space="preserve"> Este informe no deberá incluir</w:t>
      </w:r>
      <w:r w:rsidR="00D63AC1">
        <w:rPr>
          <w:rFonts w:ascii="Arial" w:hAnsi="Arial" w:cs="Arial"/>
        </w:rPr>
        <w:t xml:space="preserve"> información alguna sobre</w:t>
      </w:r>
      <w:r w:rsidR="00573439">
        <w:rPr>
          <w:rFonts w:ascii="Arial" w:hAnsi="Arial" w:cs="Arial"/>
        </w:rPr>
        <w:t xml:space="preserve"> la oferta económica</w:t>
      </w:r>
      <w:r w:rsidR="00D63AC1">
        <w:rPr>
          <w:rFonts w:ascii="Arial" w:hAnsi="Arial" w:cs="Arial"/>
        </w:rPr>
        <w:t xml:space="preserve"> del solicitante del permiso de operación, caso en el cual el informe se podrá tener por no presentado</w:t>
      </w:r>
      <w:r w:rsidR="008926B8">
        <w:rPr>
          <w:rFonts w:ascii="Arial" w:hAnsi="Arial" w:cs="Arial"/>
        </w:rPr>
        <w:t xml:space="preserve">, con las </w:t>
      </w:r>
      <w:r w:rsidR="00BC2FB4">
        <w:rPr>
          <w:rFonts w:ascii="Arial" w:hAnsi="Arial" w:cs="Arial"/>
        </w:rPr>
        <w:t xml:space="preserve">implicancias </w:t>
      </w:r>
      <w:r w:rsidR="008926B8">
        <w:rPr>
          <w:rFonts w:ascii="Arial" w:hAnsi="Arial" w:cs="Arial"/>
        </w:rPr>
        <w:t>que este Reglamento define</w:t>
      </w:r>
      <w:r w:rsidR="00714336">
        <w:rPr>
          <w:rFonts w:ascii="Arial" w:hAnsi="Arial" w:cs="Arial"/>
        </w:rPr>
        <w:t xml:space="preserve"> en los artículos 24 y 25.</w:t>
      </w:r>
    </w:p>
    <w:p w:rsidR="00851B38" w:rsidRPr="00851B38" w:rsidRDefault="00851B38" w:rsidP="00C63923">
      <w:pPr>
        <w:spacing w:line="276" w:lineRule="auto"/>
        <w:ind w:left="-284"/>
        <w:jc w:val="both"/>
        <w:rPr>
          <w:rFonts w:ascii="Arial" w:hAnsi="Arial" w:cs="Arial"/>
        </w:rPr>
      </w:pPr>
    </w:p>
    <w:p w:rsidR="00954B53" w:rsidRDefault="00954B53" w:rsidP="00C63923">
      <w:pPr>
        <w:spacing w:line="276" w:lineRule="auto"/>
        <w:ind w:left="-284"/>
        <w:jc w:val="both"/>
        <w:rPr>
          <w:rFonts w:ascii="Arial" w:hAnsi="Arial" w:cs="Arial"/>
        </w:rPr>
      </w:pPr>
      <w:r w:rsidRPr="00851B38">
        <w:rPr>
          <w:rFonts w:ascii="Arial" w:hAnsi="Arial" w:cs="Arial"/>
        </w:rPr>
        <w:t>-Plan de seguridad para el funcionamiento del casino de juego, con descripción de las diversas acciones previstas para la seguridad de los clientes y dependencias, en particular instalaciones contra incendios, salidas de emergencia, unidad de producción autónoma de energía eléctrica, servicio de guardia o vigilancia, e instalaciones para el resguardo de valores.</w:t>
      </w:r>
    </w:p>
    <w:p w:rsidR="00851B38" w:rsidRPr="00851B38" w:rsidRDefault="00851B38" w:rsidP="00C63923">
      <w:pPr>
        <w:spacing w:line="276" w:lineRule="auto"/>
        <w:ind w:left="-284"/>
        <w:jc w:val="both"/>
        <w:rPr>
          <w:rFonts w:ascii="Arial" w:hAnsi="Arial" w:cs="Arial"/>
        </w:rPr>
      </w:pPr>
    </w:p>
    <w:p w:rsidR="00954B53" w:rsidRDefault="00954B53" w:rsidP="00C63923">
      <w:pPr>
        <w:spacing w:line="276" w:lineRule="auto"/>
        <w:ind w:left="-284"/>
        <w:jc w:val="both"/>
        <w:rPr>
          <w:rFonts w:ascii="Arial" w:hAnsi="Arial" w:cs="Arial"/>
        </w:rPr>
      </w:pPr>
      <w:r w:rsidRPr="00851B38">
        <w:rPr>
          <w:rFonts w:ascii="Arial" w:hAnsi="Arial" w:cs="Arial"/>
        </w:rPr>
        <w:t>-Sistemas de circuito cerrado de televisión, grabación</w:t>
      </w:r>
      <w:r w:rsidR="005B12E4" w:rsidRPr="00851B38">
        <w:rPr>
          <w:rFonts w:ascii="Arial" w:hAnsi="Arial" w:cs="Arial"/>
        </w:rPr>
        <w:t>,</w:t>
      </w:r>
      <w:r w:rsidRPr="00851B38">
        <w:rPr>
          <w:rFonts w:ascii="Arial" w:hAnsi="Arial" w:cs="Arial"/>
        </w:rPr>
        <w:t xml:space="preserve"> registro</w:t>
      </w:r>
      <w:r w:rsidR="005B12E4" w:rsidRPr="00851B38">
        <w:rPr>
          <w:rFonts w:ascii="Arial" w:hAnsi="Arial" w:cs="Arial"/>
        </w:rPr>
        <w:t xml:space="preserve"> y almacenamiento</w:t>
      </w:r>
      <w:r w:rsidRPr="00851B38">
        <w:rPr>
          <w:rFonts w:ascii="Arial" w:hAnsi="Arial" w:cs="Arial"/>
        </w:rPr>
        <w:t>, previstos para el control del desarrollo de los diversos juegos del establecimiento y de las demás operaciones del casino.</w:t>
      </w:r>
    </w:p>
    <w:p w:rsidR="00851B38" w:rsidRPr="00851B38" w:rsidRDefault="00851B38" w:rsidP="00C63923">
      <w:pPr>
        <w:spacing w:line="276" w:lineRule="auto"/>
        <w:ind w:left="-284"/>
        <w:jc w:val="both"/>
        <w:rPr>
          <w:rFonts w:ascii="Arial" w:hAnsi="Arial" w:cs="Arial"/>
        </w:rPr>
      </w:pPr>
    </w:p>
    <w:p w:rsidR="0009343D" w:rsidRDefault="00954B53" w:rsidP="00C63923">
      <w:pPr>
        <w:spacing w:line="276" w:lineRule="auto"/>
        <w:ind w:left="-284"/>
        <w:jc w:val="both"/>
        <w:rPr>
          <w:rFonts w:ascii="Arial" w:hAnsi="Arial" w:cs="Arial"/>
        </w:rPr>
      </w:pPr>
      <w:r w:rsidRPr="00851B38">
        <w:rPr>
          <w:rFonts w:ascii="Arial" w:hAnsi="Arial" w:cs="Arial"/>
        </w:rPr>
        <w:t>-Plantilla estimativa de las personas que habrán de prestar servicios en las diversas dependencias del casino de juego, con indicación de las categorías o puestos de trabajo a desempeñar</w:t>
      </w:r>
      <w:r w:rsidR="005B183F">
        <w:rPr>
          <w:rFonts w:ascii="Arial" w:hAnsi="Arial" w:cs="Arial"/>
        </w:rPr>
        <w:t>;</w:t>
      </w:r>
    </w:p>
    <w:p w:rsidR="00851B38" w:rsidRPr="00851B38" w:rsidRDefault="00851B38" w:rsidP="00C63923">
      <w:pPr>
        <w:spacing w:line="276" w:lineRule="auto"/>
        <w:ind w:left="-284"/>
        <w:jc w:val="both"/>
        <w:rPr>
          <w:rFonts w:ascii="Arial" w:hAnsi="Arial" w:cs="Arial"/>
        </w:rPr>
      </w:pPr>
    </w:p>
    <w:p w:rsidR="005B183F" w:rsidRDefault="00954B53" w:rsidP="00C63923">
      <w:pPr>
        <w:spacing w:line="276" w:lineRule="auto"/>
        <w:ind w:left="-284"/>
        <w:jc w:val="both"/>
        <w:rPr>
          <w:rFonts w:ascii="Arial" w:hAnsi="Arial" w:cs="Arial"/>
        </w:rPr>
      </w:pPr>
      <w:r w:rsidRPr="00851B38">
        <w:rPr>
          <w:rFonts w:ascii="Arial" w:hAnsi="Arial" w:cs="Arial"/>
        </w:rPr>
        <w:lastRenderedPageBreak/>
        <w:t xml:space="preserve">o) La oferta económica, en </w:t>
      </w:r>
      <w:r w:rsidR="0004050E" w:rsidRPr="00851B38">
        <w:rPr>
          <w:rFonts w:ascii="Arial" w:hAnsi="Arial" w:cs="Arial"/>
        </w:rPr>
        <w:t>los términos establecidos en e</w:t>
      </w:r>
      <w:r w:rsidR="001D7EAD" w:rsidRPr="00851B38">
        <w:rPr>
          <w:rFonts w:ascii="Arial" w:hAnsi="Arial" w:cs="Arial"/>
        </w:rPr>
        <w:t>l artículo 14</w:t>
      </w:r>
      <w:r w:rsidR="00C958E9" w:rsidRPr="00851B38">
        <w:rPr>
          <w:rFonts w:ascii="Arial" w:hAnsi="Arial" w:cs="Arial"/>
        </w:rPr>
        <w:t xml:space="preserve"> del presente reglamento</w:t>
      </w:r>
      <w:r w:rsidR="008926B8">
        <w:rPr>
          <w:rFonts w:ascii="Arial" w:hAnsi="Arial" w:cs="Arial"/>
        </w:rPr>
        <w:t xml:space="preserve"> y en las </w:t>
      </w:r>
      <w:r w:rsidR="00954D21">
        <w:rPr>
          <w:rFonts w:ascii="Arial" w:hAnsi="Arial" w:cs="Arial"/>
        </w:rPr>
        <w:t>b</w:t>
      </w:r>
      <w:r w:rsidR="008926B8">
        <w:rPr>
          <w:rFonts w:ascii="Arial" w:hAnsi="Arial" w:cs="Arial"/>
        </w:rPr>
        <w:t xml:space="preserve">ases </w:t>
      </w:r>
      <w:r w:rsidR="00954D21">
        <w:rPr>
          <w:rFonts w:ascii="Arial" w:hAnsi="Arial" w:cs="Arial"/>
        </w:rPr>
        <w:t>t</w:t>
      </w:r>
      <w:r w:rsidR="008926B8">
        <w:rPr>
          <w:rFonts w:ascii="Arial" w:hAnsi="Arial" w:cs="Arial"/>
        </w:rPr>
        <w:t>écnicas</w:t>
      </w:r>
      <w:r w:rsidR="005B183F">
        <w:rPr>
          <w:rFonts w:ascii="Arial" w:hAnsi="Arial" w:cs="Arial"/>
        </w:rPr>
        <w:t>; y</w:t>
      </w:r>
    </w:p>
    <w:p w:rsidR="00851B38" w:rsidRPr="00851B38" w:rsidRDefault="00851B38" w:rsidP="00C63923">
      <w:pPr>
        <w:spacing w:line="276" w:lineRule="auto"/>
        <w:ind w:left="-284"/>
        <w:jc w:val="both"/>
        <w:rPr>
          <w:rFonts w:ascii="Arial" w:hAnsi="Arial" w:cs="Arial"/>
        </w:rPr>
      </w:pPr>
    </w:p>
    <w:p w:rsidR="00954B53" w:rsidRPr="00851B38" w:rsidRDefault="00954B53" w:rsidP="00C63923">
      <w:pPr>
        <w:spacing w:line="276" w:lineRule="auto"/>
        <w:ind w:left="-284"/>
        <w:jc w:val="both"/>
        <w:rPr>
          <w:rFonts w:ascii="Arial" w:hAnsi="Arial" w:cs="Arial"/>
        </w:rPr>
      </w:pPr>
      <w:r w:rsidRPr="00851B38">
        <w:rPr>
          <w:rFonts w:ascii="Arial" w:hAnsi="Arial" w:cs="Arial"/>
        </w:rPr>
        <w:t>p) Tratándose de un proyecto integral, deberán acompañarse copia de los instrumentos y demás antecedentes en que conste la modalidad de la administración por terceros de los negocios adicionales al casino de juego, y acreditarse las fuentes de financiamiento de los diversos negocios comprometidos en el proyecto integral.</w:t>
      </w:r>
    </w:p>
    <w:p w:rsidR="0004050E" w:rsidRPr="00851B38" w:rsidRDefault="0004050E" w:rsidP="00C63923">
      <w:pPr>
        <w:spacing w:line="276" w:lineRule="auto"/>
        <w:ind w:left="-284"/>
        <w:jc w:val="both"/>
        <w:rPr>
          <w:rFonts w:ascii="Arial" w:hAnsi="Arial" w:cs="Arial"/>
        </w:rPr>
      </w:pPr>
    </w:p>
    <w:p w:rsidR="00954B53" w:rsidRDefault="00954B53" w:rsidP="00C63923">
      <w:pPr>
        <w:spacing w:line="276" w:lineRule="auto"/>
        <w:ind w:left="-284"/>
        <w:jc w:val="both"/>
        <w:rPr>
          <w:rFonts w:ascii="Arial" w:hAnsi="Arial" w:cs="Arial"/>
        </w:rPr>
      </w:pPr>
      <w:r w:rsidRPr="00146A5C">
        <w:rPr>
          <w:rFonts w:ascii="Arial" w:hAnsi="Arial" w:cs="Arial"/>
          <w:b/>
        </w:rPr>
        <w:t>Artículo 14.-</w:t>
      </w:r>
      <w:r w:rsidRPr="00851B38">
        <w:rPr>
          <w:rFonts w:ascii="Arial" w:hAnsi="Arial" w:cs="Arial"/>
        </w:rPr>
        <w:t xml:space="preserve"> La oferta económica corresponde al monto</w:t>
      </w:r>
      <w:r w:rsidR="00430F0A">
        <w:rPr>
          <w:rFonts w:ascii="Arial" w:hAnsi="Arial" w:cs="Arial"/>
        </w:rPr>
        <w:t xml:space="preserve"> anual</w:t>
      </w:r>
      <w:r w:rsidRPr="00851B38">
        <w:rPr>
          <w:rFonts w:ascii="Arial" w:hAnsi="Arial" w:cs="Arial"/>
        </w:rPr>
        <w:t xml:space="preserve"> de dinero expresado en unidades de fomento, ofrecido por una sociedad postulante a un permiso de operación o renovación del mismo y recaudado por el Servicio de Tesorerías, que será pagado anualmente a la municipalidad correspondiente a la comuna en que se encuentre ubicado el casino</w:t>
      </w:r>
      <w:r w:rsidR="008926B8">
        <w:rPr>
          <w:rFonts w:ascii="Arial" w:hAnsi="Arial" w:cs="Arial"/>
        </w:rPr>
        <w:t xml:space="preserve">. </w:t>
      </w:r>
      <w:r w:rsidR="008926B8" w:rsidRPr="00851B38">
        <w:rPr>
          <w:rFonts w:ascii="Arial" w:hAnsi="Arial" w:cs="Arial"/>
        </w:rPr>
        <w:t>La citada oferta económica deberá corresponder a un monto</w:t>
      </w:r>
      <w:r w:rsidR="008926B8">
        <w:rPr>
          <w:rFonts w:ascii="Arial" w:hAnsi="Arial" w:cs="Arial"/>
        </w:rPr>
        <w:t xml:space="preserve"> anual</w:t>
      </w:r>
      <w:r w:rsidR="008926B8" w:rsidRPr="00851B38">
        <w:rPr>
          <w:rFonts w:ascii="Arial" w:hAnsi="Arial" w:cs="Arial"/>
        </w:rPr>
        <w:t xml:space="preserve"> idéntico </w:t>
      </w:r>
      <w:r w:rsidR="008926B8">
        <w:rPr>
          <w:rFonts w:ascii="Arial" w:hAnsi="Arial" w:cs="Arial"/>
        </w:rPr>
        <w:t>que se pagará desde el inicio del permiso de operación hasta el final del mismo</w:t>
      </w:r>
      <w:r w:rsidR="008926B8" w:rsidRPr="00851B38">
        <w:rPr>
          <w:rFonts w:ascii="Arial" w:hAnsi="Arial" w:cs="Arial"/>
        </w:rPr>
        <w:t>.</w:t>
      </w:r>
    </w:p>
    <w:p w:rsidR="008926B8" w:rsidRDefault="008926B8" w:rsidP="00C63923">
      <w:pPr>
        <w:spacing w:line="276" w:lineRule="auto"/>
        <w:ind w:left="-284"/>
        <w:jc w:val="both"/>
        <w:rPr>
          <w:rFonts w:ascii="Arial" w:hAnsi="Arial" w:cs="Arial"/>
        </w:rPr>
      </w:pPr>
    </w:p>
    <w:p w:rsidR="008926B8" w:rsidRDefault="008926B8" w:rsidP="00C63923">
      <w:pPr>
        <w:spacing w:line="276" w:lineRule="auto"/>
        <w:ind w:left="-284"/>
        <w:jc w:val="both"/>
        <w:rPr>
          <w:rFonts w:ascii="Arial" w:hAnsi="Arial" w:cs="Arial"/>
        </w:rPr>
      </w:pPr>
      <w:r>
        <w:rPr>
          <w:rFonts w:ascii="Arial" w:hAnsi="Arial" w:cs="Arial"/>
        </w:rPr>
        <w:t xml:space="preserve">La oferta económica se entregará </w:t>
      </w:r>
      <w:r w:rsidR="00954D21">
        <w:rPr>
          <w:rFonts w:ascii="Arial" w:hAnsi="Arial" w:cs="Arial"/>
        </w:rPr>
        <w:t xml:space="preserve"> de </w:t>
      </w:r>
      <w:r>
        <w:rPr>
          <w:rFonts w:ascii="Arial" w:hAnsi="Arial" w:cs="Arial"/>
        </w:rPr>
        <w:t xml:space="preserve">la forma que detallen las </w:t>
      </w:r>
      <w:r w:rsidR="00954D21">
        <w:rPr>
          <w:rFonts w:ascii="Arial" w:hAnsi="Arial" w:cs="Arial"/>
        </w:rPr>
        <w:t>b</w:t>
      </w:r>
      <w:r>
        <w:rPr>
          <w:rFonts w:ascii="Arial" w:hAnsi="Arial" w:cs="Arial"/>
        </w:rPr>
        <w:t xml:space="preserve">ases </w:t>
      </w:r>
      <w:r w:rsidR="00954D21">
        <w:rPr>
          <w:rFonts w:ascii="Arial" w:hAnsi="Arial" w:cs="Arial"/>
        </w:rPr>
        <w:t>t</w:t>
      </w:r>
      <w:r>
        <w:rPr>
          <w:rFonts w:ascii="Arial" w:hAnsi="Arial" w:cs="Arial"/>
        </w:rPr>
        <w:t>écnicas.</w:t>
      </w:r>
    </w:p>
    <w:p w:rsidR="00954B53" w:rsidRPr="00851B38" w:rsidRDefault="00954B53" w:rsidP="00C63923">
      <w:pPr>
        <w:spacing w:line="276" w:lineRule="auto"/>
        <w:ind w:left="-284"/>
        <w:jc w:val="both"/>
        <w:rPr>
          <w:rFonts w:ascii="Arial" w:hAnsi="Arial" w:cs="Arial"/>
        </w:rPr>
      </w:pPr>
    </w:p>
    <w:p w:rsidR="00954B53" w:rsidRDefault="0004050E" w:rsidP="00C63923">
      <w:pPr>
        <w:spacing w:line="276" w:lineRule="auto"/>
        <w:ind w:left="-284"/>
        <w:jc w:val="both"/>
        <w:rPr>
          <w:rFonts w:ascii="Arial" w:hAnsi="Arial" w:cs="Arial"/>
        </w:rPr>
      </w:pPr>
      <w:r w:rsidRPr="00146A5C">
        <w:rPr>
          <w:rFonts w:ascii="Arial" w:hAnsi="Arial" w:cs="Arial"/>
          <w:b/>
        </w:rPr>
        <w:t>Artículo 15</w:t>
      </w:r>
      <w:r w:rsidR="00954B53" w:rsidRPr="00146A5C">
        <w:rPr>
          <w:rFonts w:ascii="Arial" w:hAnsi="Arial" w:cs="Arial"/>
          <w:b/>
        </w:rPr>
        <w:t>.-</w:t>
      </w:r>
      <w:r w:rsidR="00954B53" w:rsidRPr="00851B38">
        <w:rPr>
          <w:rFonts w:ascii="Arial" w:hAnsi="Arial" w:cs="Arial"/>
        </w:rPr>
        <w:t xml:space="preserve"> La oferta económica deberá enterarse dentro de los plazos y en la forma que se indican a continuación:</w:t>
      </w:r>
    </w:p>
    <w:p w:rsidR="00851B38" w:rsidRPr="00851B38" w:rsidRDefault="00851B38" w:rsidP="00C63923">
      <w:pPr>
        <w:spacing w:line="276" w:lineRule="auto"/>
        <w:ind w:left="-284"/>
        <w:jc w:val="both"/>
        <w:rPr>
          <w:rFonts w:ascii="Arial" w:hAnsi="Arial" w:cs="Arial"/>
        </w:rPr>
      </w:pPr>
    </w:p>
    <w:p w:rsidR="00954B53" w:rsidRDefault="00954B53" w:rsidP="00C63923">
      <w:pPr>
        <w:spacing w:line="276" w:lineRule="auto"/>
        <w:ind w:left="-284"/>
        <w:jc w:val="both"/>
        <w:rPr>
          <w:rFonts w:ascii="Arial" w:hAnsi="Arial" w:cs="Arial"/>
        </w:rPr>
      </w:pPr>
      <w:r w:rsidRPr="00851B38">
        <w:rPr>
          <w:rFonts w:ascii="Arial" w:hAnsi="Arial" w:cs="Arial"/>
        </w:rPr>
        <w:t>a) Tratándose de casinos de juego que inicien sus operaciones, la oferta económica se pagará durante el mes siguiente a dicho inicio de operaciones, por una suma que sea proporcional al período que para ese año calendario, h</w:t>
      </w:r>
      <w:r w:rsidR="00146A5C">
        <w:rPr>
          <w:rFonts w:ascii="Arial" w:hAnsi="Arial" w:cs="Arial"/>
        </w:rPr>
        <w:t>ayan de estar en funcionamiento</w:t>
      </w:r>
      <w:r w:rsidR="005B183F">
        <w:rPr>
          <w:rFonts w:ascii="Arial" w:hAnsi="Arial" w:cs="Arial"/>
        </w:rPr>
        <w:t>.</w:t>
      </w:r>
    </w:p>
    <w:p w:rsidR="00851B38" w:rsidRPr="00851B38" w:rsidRDefault="00851B38" w:rsidP="00C63923">
      <w:pPr>
        <w:spacing w:line="276" w:lineRule="auto"/>
        <w:ind w:left="-284"/>
        <w:jc w:val="both"/>
        <w:rPr>
          <w:rFonts w:ascii="Arial" w:hAnsi="Arial" w:cs="Arial"/>
        </w:rPr>
      </w:pPr>
    </w:p>
    <w:p w:rsidR="00954B53" w:rsidRPr="00851B38" w:rsidRDefault="00954B53" w:rsidP="00C63923">
      <w:pPr>
        <w:spacing w:line="276" w:lineRule="auto"/>
        <w:ind w:left="-284"/>
        <w:jc w:val="both"/>
        <w:rPr>
          <w:rFonts w:ascii="Arial" w:hAnsi="Arial" w:cs="Arial"/>
        </w:rPr>
      </w:pPr>
      <w:r w:rsidRPr="00851B38">
        <w:rPr>
          <w:rFonts w:ascii="Arial" w:hAnsi="Arial" w:cs="Arial"/>
        </w:rPr>
        <w:t xml:space="preserve">b) Para los años calendario siguientes, la oferta económica se pagará dentro del mes de enero de cada año, por la totalidad del monto comprometido por la sociedad operadora; exceptuando el caso en que, el último período de funcionamiento del casino de juego, no alcance a cubrir el año calendario, en cuya hipótesis deberá enterarse la oferta económica en la proporcionalidad referida en el literal precedente. </w:t>
      </w:r>
    </w:p>
    <w:p w:rsidR="0004050E" w:rsidRPr="00851B38" w:rsidRDefault="0004050E" w:rsidP="00C63923">
      <w:pPr>
        <w:spacing w:line="276" w:lineRule="auto"/>
        <w:ind w:left="-284"/>
        <w:jc w:val="both"/>
        <w:rPr>
          <w:rFonts w:ascii="Arial" w:hAnsi="Arial" w:cs="Arial"/>
        </w:rPr>
      </w:pPr>
    </w:p>
    <w:p w:rsidR="00954B53" w:rsidRPr="00851B38" w:rsidRDefault="00954B53" w:rsidP="00C63923">
      <w:pPr>
        <w:spacing w:line="276" w:lineRule="auto"/>
        <w:ind w:left="-284"/>
        <w:jc w:val="both"/>
        <w:rPr>
          <w:rFonts w:ascii="Arial" w:hAnsi="Arial" w:cs="Arial"/>
        </w:rPr>
      </w:pPr>
      <w:r w:rsidRPr="00146A5C">
        <w:rPr>
          <w:rFonts w:ascii="Arial" w:hAnsi="Arial" w:cs="Arial"/>
          <w:b/>
        </w:rPr>
        <w:lastRenderedPageBreak/>
        <w:t xml:space="preserve">Artículo </w:t>
      </w:r>
      <w:r w:rsidR="0004050E" w:rsidRPr="00146A5C">
        <w:rPr>
          <w:rFonts w:ascii="Arial" w:hAnsi="Arial" w:cs="Arial"/>
          <w:b/>
        </w:rPr>
        <w:t>16</w:t>
      </w:r>
      <w:r w:rsidRPr="00146A5C">
        <w:rPr>
          <w:rFonts w:ascii="Arial" w:hAnsi="Arial" w:cs="Arial"/>
          <w:b/>
        </w:rPr>
        <w:t>.-</w:t>
      </w:r>
      <w:r w:rsidRPr="00851B38">
        <w:rPr>
          <w:rFonts w:ascii="Arial" w:hAnsi="Arial" w:cs="Arial"/>
        </w:rPr>
        <w:t xml:space="preserve"> Para efectos del pago referido en el artículo precedente, se deberá considerar el valor de la unidad de fomento del último día del mes anterior a que se efectúe aquél.</w:t>
      </w:r>
    </w:p>
    <w:p w:rsidR="0004050E" w:rsidRPr="00851B38" w:rsidRDefault="0004050E" w:rsidP="00C63923">
      <w:pPr>
        <w:spacing w:line="276" w:lineRule="auto"/>
        <w:ind w:left="-284"/>
        <w:jc w:val="both"/>
        <w:rPr>
          <w:rFonts w:ascii="Arial" w:hAnsi="Arial" w:cs="Arial"/>
        </w:rPr>
      </w:pPr>
    </w:p>
    <w:p w:rsidR="0004050E" w:rsidRPr="00851B38" w:rsidRDefault="0004050E" w:rsidP="00C63923">
      <w:pPr>
        <w:spacing w:line="276" w:lineRule="auto"/>
        <w:ind w:left="-284"/>
        <w:jc w:val="both"/>
        <w:rPr>
          <w:rFonts w:ascii="Arial" w:hAnsi="Arial" w:cs="Arial"/>
        </w:rPr>
      </w:pPr>
      <w:r w:rsidRPr="00146A5C">
        <w:rPr>
          <w:rFonts w:ascii="Arial" w:hAnsi="Arial" w:cs="Arial"/>
          <w:b/>
        </w:rPr>
        <w:t>Artículo 17</w:t>
      </w:r>
      <w:r w:rsidR="00954B53" w:rsidRPr="00146A5C">
        <w:rPr>
          <w:rFonts w:ascii="Arial" w:hAnsi="Arial" w:cs="Arial"/>
          <w:b/>
        </w:rPr>
        <w:t>.-</w:t>
      </w:r>
      <w:r w:rsidR="00954B53" w:rsidRPr="00851B38">
        <w:rPr>
          <w:rFonts w:ascii="Arial" w:hAnsi="Arial" w:cs="Arial"/>
        </w:rPr>
        <w:t xml:space="preserve"> El Servicio de Tesorerías recaudará la referida oferta económica y pondrá a disposición de las municipalidades respectivas los recursos correspondientes, dentro del mes subsiguiente al de su recaudación</w:t>
      </w:r>
      <w:r w:rsidR="00A8063D">
        <w:rPr>
          <w:rFonts w:ascii="Arial" w:hAnsi="Arial" w:cs="Arial"/>
        </w:rPr>
        <w:t xml:space="preserve">, incluyendo, en su caso, </w:t>
      </w:r>
      <w:r w:rsidR="00F34C08">
        <w:rPr>
          <w:rFonts w:ascii="Arial" w:hAnsi="Arial" w:cs="Arial"/>
        </w:rPr>
        <w:t>aquellos provenientes de la eventual ejecución de la</w:t>
      </w:r>
      <w:r w:rsidR="0024514C">
        <w:rPr>
          <w:rFonts w:ascii="Arial" w:hAnsi="Arial" w:cs="Arial"/>
        </w:rPr>
        <w:t>s</w:t>
      </w:r>
      <w:r w:rsidR="00F34C08">
        <w:rPr>
          <w:rFonts w:ascii="Arial" w:hAnsi="Arial" w:cs="Arial"/>
        </w:rPr>
        <w:t xml:space="preserve"> garantía</w:t>
      </w:r>
      <w:r w:rsidR="0024514C">
        <w:rPr>
          <w:rFonts w:ascii="Arial" w:hAnsi="Arial" w:cs="Arial"/>
        </w:rPr>
        <w:t>s</w:t>
      </w:r>
      <w:r w:rsidR="00F34C08">
        <w:rPr>
          <w:rFonts w:ascii="Arial" w:hAnsi="Arial" w:cs="Arial"/>
        </w:rPr>
        <w:t xml:space="preserve"> establecida</w:t>
      </w:r>
      <w:r w:rsidR="0024514C">
        <w:rPr>
          <w:rFonts w:ascii="Arial" w:hAnsi="Arial" w:cs="Arial"/>
        </w:rPr>
        <w:t>s</w:t>
      </w:r>
      <w:r w:rsidR="00F34C08">
        <w:rPr>
          <w:rFonts w:ascii="Arial" w:hAnsi="Arial" w:cs="Arial"/>
        </w:rPr>
        <w:t xml:space="preserve"> en el artículo 46 de este reglamento</w:t>
      </w:r>
      <w:r w:rsidR="00146A5C">
        <w:rPr>
          <w:rFonts w:ascii="Arial" w:hAnsi="Arial" w:cs="Arial"/>
        </w:rPr>
        <w:t>.</w:t>
      </w:r>
    </w:p>
    <w:p w:rsidR="00954B53" w:rsidRPr="00851B38" w:rsidRDefault="00954B53" w:rsidP="00C63923">
      <w:pPr>
        <w:spacing w:line="276" w:lineRule="auto"/>
        <w:ind w:left="-284"/>
        <w:jc w:val="both"/>
        <w:rPr>
          <w:rFonts w:ascii="Arial" w:hAnsi="Arial" w:cs="Arial"/>
        </w:rPr>
      </w:pPr>
      <w:r w:rsidRPr="00851B38">
        <w:rPr>
          <w:rFonts w:ascii="Arial" w:hAnsi="Arial" w:cs="Arial"/>
        </w:rPr>
        <w:t xml:space="preserve"> </w:t>
      </w:r>
    </w:p>
    <w:p w:rsidR="00954B53" w:rsidRPr="00851B38" w:rsidRDefault="00954B53" w:rsidP="00C63923">
      <w:pPr>
        <w:spacing w:line="276" w:lineRule="auto"/>
        <w:ind w:left="-284"/>
        <w:jc w:val="both"/>
        <w:rPr>
          <w:rFonts w:ascii="Arial" w:hAnsi="Arial" w:cs="Arial"/>
        </w:rPr>
      </w:pPr>
      <w:r w:rsidRPr="00146A5C">
        <w:rPr>
          <w:rFonts w:ascii="Arial" w:hAnsi="Arial" w:cs="Arial"/>
          <w:b/>
        </w:rPr>
        <w:t xml:space="preserve">Artículo </w:t>
      </w:r>
      <w:r w:rsidR="0004050E" w:rsidRPr="00146A5C">
        <w:rPr>
          <w:rFonts w:ascii="Arial" w:hAnsi="Arial" w:cs="Arial"/>
          <w:b/>
        </w:rPr>
        <w:t>18</w:t>
      </w:r>
      <w:r w:rsidRPr="00146A5C">
        <w:rPr>
          <w:rFonts w:ascii="Arial" w:hAnsi="Arial" w:cs="Arial"/>
          <w:b/>
        </w:rPr>
        <w:t>.-</w:t>
      </w:r>
      <w:r w:rsidRPr="00851B38">
        <w:rPr>
          <w:rFonts w:ascii="Arial" w:hAnsi="Arial" w:cs="Arial"/>
        </w:rPr>
        <w:t xml:space="preserve"> Las sociedades operadoras de casinos de juego deberán informar a la Superintendencia acerca del pago de la oferta económica, conforme a las instrucciones que al efecto imparta dicha Autoridad.</w:t>
      </w:r>
    </w:p>
    <w:p w:rsidR="00954B53" w:rsidRPr="00851B38" w:rsidRDefault="00954B53" w:rsidP="00C63923">
      <w:pPr>
        <w:spacing w:line="276" w:lineRule="auto"/>
        <w:ind w:left="-284"/>
        <w:jc w:val="both"/>
        <w:rPr>
          <w:rFonts w:ascii="Arial" w:hAnsi="Arial" w:cs="Arial"/>
        </w:rPr>
      </w:pPr>
    </w:p>
    <w:p w:rsidR="0004050E" w:rsidRPr="00851B38" w:rsidRDefault="0004050E" w:rsidP="00C63923">
      <w:pPr>
        <w:spacing w:line="276" w:lineRule="auto"/>
        <w:ind w:left="-284"/>
        <w:jc w:val="both"/>
        <w:rPr>
          <w:rFonts w:ascii="Arial" w:hAnsi="Arial" w:cs="Arial"/>
        </w:rPr>
      </w:pPr>
      <w:r w:rsidRPr="00146A5C">
        <w:rPr>
          <w:rFonts w:ascii="Arial" w:hAnsi="Arial" w:cs="Arial"/>
          <w:b/>
        </w:rPr>
        <w:t>Artículo 19</w:t>
      </w:r>
      <w:r w:rsidR="00954B53" w:rsidRPr="00146A5C">
        <w:rPr>
          <w:rFonts w:ascii="Arial" w:hAnsi="Arial" w:cs="Arial"/>
          <w:b/>
        </w:rPr>
        <w:t>.-</w:t>
      </w:r>
      <w:r w:rsidR="00954B53" w:rsidRPr="00851B38">
        <w:rPr>
          <w:rFonts w:ascii="Arial" w:hAnsi="Arial" w:cs="Arial"/>
        </w:rPr>
        <w:t xml:space="preserve"> Si el monto de la oferta económica comprometida por la sociedad operadora no se entera oportuna e íntegramente en las condiciones establecidas precedentemente, la Superintendencia procederá a hacer efectiva la garantía a que se refiere </w:t>
      </w:r>
      <w:r w:rsidRPr="00851B38">
        <w:rPr>
          <w:rFonts w:ascii="Arial" w:hAnsi="Arial" w:cs="Arial"/>
        </w:rPr>
        <w:t>el artículo</w:t>
      </w:r>
      <w:r w:rsidR="00573439">
        <w:rPr>
          <w:rFonts w:ascii="Arial" w:hAnsi="Arial" w:cs="Arial"/>
        </w:rPr>
        <w:t xml:space="preserve"> </w:t>
      </w:r>
      <w:r w:rsidR="004C756B">
        <w:rPr>
          <w:rFonts w:ascii="Arial" w:hAnsi="Arial" w:cs="Arial"/>
        </w:rPr>
        <w:t>12, letra d)</w:t>
      </w:r>
      <w:r w:rsidRPr="00851B38">
        <w:rPr>
          <w:rFonts w:ascii="Arial" w:hAnsi="Arial" w:cs="Arial"/>
        </w:rPr>
        <w:t xml:space="preserve"> </w:t>
      </w:r>
      <w:r w:rsidR="006173FB" w:rsidRPr="00851B38">
        <w:rPr>
          <w:rFonts w:ascii="Arial" w:hAnsi="Arial" w:cs="Arial"/>
        </w:rPr>
        <w:t xml:space="preserve"> </w:t>
      </w:r>
      <w:r w:rsidR="00943ACB" w:rsidRPr="00851B38">
        <w:rPr>
          <w:rFonts w:ascii="Arial" w:hAnsi="Arial" w:cs="Arial"/>
        </w:rPr>
        <w:t>de este reglamento</w:t>
      </w:r>
      <w:r w:rsidRPr="00851B38">
        <w:rPr>
          <w:rFonts w:ascii="Arial" w:hAnsi="Arial" w:cs="Arial"/>
        </w:rPr>
        <w:t>,</w:t>
      </w:r>
      <w:r w:rsidR="00954B53" w:rsidRPr="00851B38">
        <w:rPr>
          <w:rFonts w:ascii="Arial" w:hAnsi="Arial" w:cs="Arial"/>
        </w:rPr>
        <w:t xml:space="preserve"> </w:t>
      </w:r>
      <w:r w:rsidR="0060145B">
        <w:rPr>
          <w:rFonts w:ascii="Arial" w:hAnsi="Arial" w:cs="Arial"/>
        </w:rPr>
        <w:t xml:space="preserve">o, en su caso de la que la reemplace, </w:t>
      </w:r>
      <w:r w:rsidR="00954B53" w:rsidRPr="00851B38">
        <w:rPr>
          <w:rFonts w:ascii="Arial" w:hAnsi="Arial" w:cs="Arial"/>
        </w:rPr>
        <w:t xml:space="preserve">debiendo traspasar dichos recursos al Servicio de Tesorerías para que ese Organismo dé cumplimiento a </w:t>
      </w:r>
      <w:r w:rsidRPr="00851B38">
        <w:rPr>
          <w:rFonts w:ascii="Arial" w:hAnsi="Arial" w:cs="Arial"/>
        </w:rPr>
        <w:t>lo establecido en el artículo 17</w:t>
      </w:r>
      <w:r w:rsidR="00954B53" w:rsidRPr="00851B38">
        <w:rPr>
          <w:rFonts w:ascii="Arial" w:hAnsi="Arial" w:cs="Arial"/>
        </w:rPr>
        <w:t>.</w:t>
      </w:r>
    </w:p>
    <w:p w:rsidR="0004050E" w:rsidRPr="00851B38" w:rsidRDefault="0004050E" w:rsidP="00C63923">
      <w:pPr>
        <w:spacing w:line="276" w:lineRule="auto"/>
        <w:ind w:left="-284"/>
        <w:jc w:val="both"/>
        <w:rPr>
          <w:rFonts w:ascii="Arial" w:hAnsi="Arial" w:cs="Arial"/>
        </w:rPr>
      </w:pPr>
    </w:p>
    <w:p w:rsidR="0004050E" w:rsidRPr="00636B98" w:rsidRDefault="0004050E" w:rsidP="00C63923">
      <w:pPr>
        <w:spacing w:line="276" w:lineRule="auto"/>
        <w:ind w:left="-284"/>
        <w:jc w:val="both"/>
        <w:rPr>
          <w:rFonts w:ascii="Arial" w:hAnsi="Arial" w:cs="Arial"/>
          <w:b/>
        </w:rPr>
      </w:pPr>
      <w:r w:rsidRPr="00636B98">
        <w:rPr>
          <w:rFonts w:ascii="Arial" w:hAnsi="Arial" w:cs="Arial"/>
          <w:b/>
        </w:rPr>
        <w:t>Párrafo 4º</w:t>
      </w:r>
      <w:r w:rsidR="00973AE2" w:rsidRPr="00636B98">
        <w:rPr>
          <w:rFonts w:ascii="Arial" w:hAnsi="Arial" w:cs="Arial"/>
          <w:b/>
        </w:rPr>
        <w:t xml:space="preserve">. </w:t>
      </w:r>
      <w:r w:rsidRPr="00636B98">
        <w:rPr>
          <w:rFonts w:ascii="Arial" w:hAnsi="Arial" w:cs="Arial"/>
          <w:b/>
        </w:rPr>
        <w:t xml:space="preserve"> De la evaluación de ofertas técnicas y económicas.</w:t>
      </w:r>
    </w:p>
    <w:p w:rsidR="00CF447E" w:rsidRDefault="00CF447E" w:rsidP="00C63923">
      <w:pPr>
        <w:spacing w:line="276" w:lineRule="auto"/>
        <w:ind w:left="-284"/>
        <w:jc w:val="both"/>
        <w:rPr>
          <w:rFonts w:ascii="Arial" w:hAnsi="Arial" w:cs="Arial"/>
        </w:rPr>
      </w:pPr>
    </w:p>
    <w:p w:rsidR="0004050E" w:rsidRDefault="005526E8" w:rsidP="00C63923">
      <w:pPr>
        <w:spacing w:line="276" w:lineRule="auto"/>
        <w:ind w:left="-284"/>
        <w:jc w:val="both"/>
        <w:rPr>
          <w:rFonts w:ascii="Arial" w:hAnsi="Arial" w:cs="Arial"/>
        </w:rPr>
      </w:pPr>
      <w:r w:rsidRPr="00146A5C">
        <w:rPr>
          <w:rFonts w:ascii="Arial" w:hAnsi="Arial" w:cs="Arial"/>
          <w:b/>
        </w:rPr>
        <w:t>Artículo 20</w:t>
      </w:r>
      <w:r w:rsidR="00FB5084" w:rsidRPr="00146A5C">
        <w:rPr>
          <w:rFonts w:ascii="Arial" w:hAnsi="Arial" w:cs="Arial"/>
          <w:b/>
        </w:rPr>
        <w:t>.-</w:t>
      </w:r>
      <w:r w:rsidR="00FB5084" w:rsidRPr="00CF447E">
        <w:rPr>
          <w:rFonts w:ascii="Arial" w:hAnsi="Arial" w:cs="Arial"/>
        </w:rPr>
        <w:t xml:space="preserve"> E</w:t>
      </w:r>
      <w:r w:rsidR="0004050E" w:rsidRPr="00CF447E">
        <w:rPr>
          <w:rFonts w:ascii="Arial" w:hAnsi="Arial" w:cs="Arial"/>
        </w:rPr>
        <w:t>n el día</w:t>
      </w:r>
      <w:r w:rsidR="00AC4BDA">
        <w:rPr>
          <w:rFonts w:ascii="Arial" w:hAnsi="Arial" w:cs="Arial"/>
        </w:rPr>
        <w:t>, hora</w:t>
      </w:r>
      <w:r w:rsidR="0004050E" w:rsidRPr="00CF447E">
        <w:rPr>
          <w:rFonts w:ascii="Arial" w:hAnsi="Arial" w:cs="Arial"/>
        </w:rPr>
        <w:t xml:space="preserve"> y lugar señalado por las bases </w:t>
      </w:r>
      <w:r w:rsidR="00C328D1" w:rsidRPr="00CF447E">
        <w:rPr>
          <w:rFonts w:ascii="Arial" w:hAnsi="Arial" w:cs="Arial"/>
        </w:rPr>
        <w:t xml:space="preserve">técnicas </w:t>
      </w:r>
      <w:r w:rsidR="0004050E" w:rsidRPr="00CF447E">
        <w:rPr>
          <w:rFonts w:ascii="Arial" w:hAnsi="Arial" w:cs="Arial"/>
        </w:rPr>
        <w:t xml:space="preserve">y la resolución de apertura, el que en todo caso deberá ser entre los noventa y los ciento veinte días siguientes a la publicación de aquella, se llevará a cabo </w:t>
      </w:r>
      <w:r w:rsidR="0004050E" w:rsidRPr="00C465B7">
        <w:rPr>
          <w:rFonts w:ascii="Arial" w:hAnsi="Arial" w:cs="Arial"/>
        </w:rPr>
        <w:t>la audiencia de presentación de la oferta técnica y económica</w:t>
      </w:r>
      <w:r w:rsidR="0004050E" w:rsidRPr="00CF447E">
        <w:rPr>
          <w:rFonts w:ascii="Arial" w:hAnsi="Arial" w:cs="Arial"/>
        </w:rPr>
        <w:t xml:space="preserve"> de cada uno de los postulantes. En dicha audiencia, que será pública, la Superintendencia abrirá la oferta técnica y verificará que contenga cada uno de los documentos solicitados. Por su parte, un integrante del Consejo Resolutivo custodiará la oferta económica hasta la audiencia respectiva, en una caja de seguridad perteneciente al Organismo Público del que es su representante, o en su defecto, aquella perteneciente a la casa matriz del Banco Estado, debidamente cerradas con un sello inviolable y foliado.</w:t>
      </w:r>
    </w:p>
    <w:p w:rsidR="00CF447E" w:rsidRPr="00CF447E" w:rsidRDefault="00CF447E" w:rsidP="00C63923">
      <w:pPr>
        <w:spacing w:line="276" w:lineRule="auto"/>
        <w:ind w:left="-284"/>
        <w:jc w:val="both"/>
        <w:rPr>
          <w:rFonts w:ascii="Arial" w:hAnsi="Arial" w:cs="Arial"/>
        </w:rPr>
      </w:pPr>
    </w:p>
    <w:p w:rsidR="0080655C" w:rsidRPr="00851B38" w:rsidRDefault="0080655C" w:rsidP="00C63923">
      <w:pPr>
        <w:spacing w:line="276" w:lineRule="auto"/>
        <w:ind w:left="-284"/>
        <w:jc w:val="both"/>
        <w:rPr>
          <w:rFonts w:ascii="Arial" w:hAnsi="Arial" w:cs="Arial"/>
        </w:rPr>
      </w:pPr>
      <w:r w:rsidRPr="00851B38">
        <w:rPr>
          <w:rFonts w:ascii="Arial" w:hAnsi="Arial" w:cs="Arial"/>
        </w:rPr>
        <w:lastRenderedPageBreak/>
        <w:t>A partir de la presentación de las ofertas, la Superintendencia abrirá un expediente por cada sociedad que hubiere formulado la respectiva oferta técnica y económica, el que se constituirá con todos los documentos, antecedentes, informes y actuaciones, recabados o desarrollados en las diversas etapas del proceso de otorgamiento de un permiso de operación de casino de juego.</w:t>
      </w:r>
    </w:p>
    <w:p w:rsidR="00486718" w:rsidRPr="00851B38" w:rsidRDefault="00486718" w:rsidP="00C63923">
      <w:pPr>
        <w:spacing w:line="276" w:lineRule="auto"/>
        <w:ind w:left="-284"/>
        <w:jc w:val="both"/>
        <w:rPr>
          <w:rFonts w:ascii="Arial" w:hAnsi="Arial" w:cs="Arial"/>
          <w:color w:val="FF0000"/>
        </w:rPr>
      </w:pPr>
    </w:p>
    <w:p w:rsidR="0004050E" w:rsidRDefault="0004050E" w:rsidP="00C63923">
      <w:pPr>
        <w:spacing w:line="276" w:lineRule="auto"/>
        <w:ind w:left="-284"/>
        <w:jc w:val="both"/>
        <w:rPr>
          <w:rFonts w:ascii="Arial" w:hAnsi="Arial" w:cs="Arial"/>
        </w:rPr>
      </w:pPr>
      <w:r w:rsidRPr="00146A5C">
        <w:rPr>
          <w:rFonts w:ascii="Arial" w:hAnsi="Arial" w:cs="Arial"/>
          <w:b/>
        </w:rPr>
        <w:t>Ar</w:t>
      </w:r>
      <w:r w:rsidR="005526E8" w:rsidRPr="00146A5C">
        <w:rPr>
          <w:rFonts w:ascii="Arial" w:hAnsi="Arial" w:cs="Arial"/>
          <w:b/>
        </w:rPr>
        <w:t>tículo 21</w:t>
      </w:r>
      <w:r w:rsidRPr="00146A5C">
        <w:rPr>
          <w:rFonts w:ascii="Arial" w:hAnsi="Arial" w:cs="Arial"/>
          <w:b/>
        </w:rPr>
        <w:t>.</w:t>
      </w:r>
      <w:r w:rsidR="005526E8" w:rsidRPr="00146A5C">
        <w:rPr>
          <w:rFonts w:ascii="Arial" w:hAnsi="Arial" w:cs="Arial"/>
          <w:b/>
        </w:rPr>
        <w:t>-</w:t>
      </w:r>
      <w:r w:rsidRPr="00851B38">
        <w:rPr>
          <w:rFonts w:ascii="Arial" w:hAnsi="Arial" w:cs="Arial"/>
        </w:rPr>
        <w:t xml:space="preserve"> Dentro de los ciento veinte días siguientes a la audiencia señalada en el artículo anterior, la Superintendencia deberá llevar a cabo el proceso </w:t>
      </w:r>
      <w:r w:rsidRPr="00C465B7">
        <w:rPr>
          <w:rFonts w:ascii="Arial" w:hAnsi="Arial" w:cs="Arial"/>
        </w:rPr>
        <w:t>de evaluación de las ofertas técnicas.</w:t>
      </w:r>
      <w:r w:rsidRPr="00851B38">
        <w:rPr>
          <w:rFonts w:ascii="Arial" w:hAnsi="Arial" w:cs="Arial"/>
        </w:rPr>
        <w:t xml:space="preserve"> </w:t>
      </w:r>
    </w:p>
    <w:p w:rsidR="00CF447E" w:rsidRPr="00851B38" w:rsidRDefault="00CF447E" w:rsidP="00C63923">
      <w:pPr>
        <w:spacing w:line="276" w:lineRule="auto"/>
        <w:ind w:left="-284"/>
        <w:jc w:val="both"/>
        <w:rPr>
          <w:rFonts w:ascii="Arial" w:hAnsi="Arial" w:cs="Arial"/>
        </w:rPr>
      </w:pPr>
    </w:p>
    <w:p w:rsidR="005526E8" w:rsidRPr="00851B38" w:rsidRDefault="00CF447E" w:rsidP="00C63923">
      <w:pPr>
        <w:spacing w:line="276" w:lineRule="auto"/>
        <w:ind w:left="-284"/>
        <w:jc w:val="both"/>
        <w:rPr>
          <w:rFonts w:ascii="Arial" w:hAnsi="Arial" w:cs="Arial"/>
        </w:rPr>
      </w:pPr>
      <w:r>
        <w:rPr>
          <w:rFonts w:ascii="Arial" w:hAnsi="Arial" w:cs="Arial"/>
        </w:rPr>
        <w:t xml:space="preserve"> </w:t>
      </w:r>
      <w:r>
        <w:rPr>
          <w:rFonts w:ascii="Arial" w:hAnsi="Arial" w:cs="Arial"/>
        </w:rPr>
        <w:tab/>
      </w:r>
      <w:r w:rsidR="005526E8" w:rsidRPr="00851B38">
        <w:rPr>
          <w:rFonts w:ascii="Arial" w:hAnsi="Arial" w:cs="Arial"/>
        </w:rPr>
        <w:t>Para cumplir con lo señalado en los incisos anteriores, la Superintendencia estará facultada para investigar los antecedentes comerciales, tributarios, financieros, administrativos, civiles y penales necesarios para v</w:t>
      </w:r>
      <w:r w:rsidR="000C7F05" w:rsidRPr="00851B38">
        <w:rPr>
          <w:rFonts w:ascii="Arial" w:hAnsi="Arial" w:cs="Arial"/>
        </w:rPr>
        <w:t>erificar los requisitos que la L</w:t>
      </w:r>
      <w:r w:rsidR="005526E8" w:rsidRPr="00851B38">
        <w:rPr>
          <w:rFonts w:ascii="Arial" w:hAnsi="Arial" w:cs="Arial"/>
        </w:rPr>
        <w:t xml:space="preserve">ey establece. Además, podrá solicitar a la sociedad postulante, si lo estima pertinente, justificar el origen </w:t>
      </w:r>
      <w:r w:rsidR="00C328D1" w:rsidRPr="00851B38">
        <w:rPr>
          <w:rFonts w:ascii="Arial" w:hAnsi="Arial" w:cs="Arial"/>
        </w:rPr>
        <w:t xml:space="preserve">y suficiencia </w:t>
      </w:r>
      <w:r w:rsidR="005526E8" w:rsidRPr="00851B38">
        <w:rPr>
          <w:rFonts w:ascii="Arial" w:hAnsi="Arial" w:cs="Arial"/>
        </w:rPr>
        <w:t>de los fondos que destinarán a financiar su propuesta a un permiso de operación, provengan éstos de accionistas personas naturales o jurídicas.</w:t>
      </w:r>
    </w:p>
    <w:p w:rsidR="00CF447E" w:rsidRDefault="00CF447E" w:rsidP="00C63923">
      <w:pPr>
        <w:spacing w:line="276" w:lineRule="auto"/>
        <w:ind w:left="-284"/>
        <w:jc w:val="both"/>
        <w:rPr>
          <w:rFonts w:ascii="Arial" w:hAnsi="Arial" w:cs="Arial"/>
        </w:rPr>
      </w:pPr>
    </w:p>
    <w:p w:rsidR="0004050E" w:rsidRPr="00851B38" w:rsidRDefault="0004050E" w:rsidP="00C63923">
      <w:pPr>
        <w:spacing w:line="276" w:lineRule="auto"/>
        <w:ind w:left="-284"/>
        <w:jc w:val="both"/>
        <w:rPr>
          <w:rFonts w:ascii="Arial" w:hAnsi="Arial" w:cs="Arial"/>
        </w:rPr>
      </w:pPr>
      <w:r w:rsidRPr="00851B38">
        <w:rPr>
          <w:rFonts w:ascii="Arial" w:hAnsi="Arial" w:cs="Arial"/>
        </w:rPr>
        <w:t>Los costos del proceso de evaluación serán asumidos por cada sociedad solicitante, con cargo al i</w:t>
      </w:r>
      <w:r w:rsidR="005526E8" w:rsidRPr="00851B38">
        <w:rPr>
          <w:rFonts w:ascii="Arial" w:hAnsi="Arial" w:cs="Arial"/>
        </w:rPr>
        <w:t>mporte establecido en la letra b) del artículo 12</w:t>
      </w:r>
      <w:r w:rsidRPr="00851B38">
        <w:rPr>
          <w:rFonts w:ascii="Arial" w:hAnsi="Arial" w:cs="Arial"/>
        </w:rPr>
        <w:t>, sin derecho a restitución de suma alguna por este concepto.</w:t>
      </w:r>
    </w:p>
    <w:p w:rsidR="005526E8" w:rsidRPr="00851B38" w:rsidRDefault="005526E8" w:rsidP="00C63923">
      <w:pPr>
        <w:spacing w:line="276" w:lineRule="auto"/>
        <w:ind w:left="-284"/>
        <w:jc w:val="both"/>
        <w:rPr>
          <w:rFonts w:ascii="Arial" w:hAnsi="Arial" w:cs="Arial"/>
        </w:rPr>
      </w:pPr>
    </w:p>
    <w:p w:rsidR="0004050E" w:rsidRDefault="0004050E" w:rsidP="00C63923">
      <w:pPr>
        <w:spacing w:line="276" w:lineRule="auto"/>
        <w:ind w:left="-284"/>
        <w:jc w:val="both"/>
        <w:rPr>
          <w:rFonts w:ascii="Arial" w:hAnsi="Arial" w:cs="Arial"/>
        </w:rPr>
      </w:pPr>
      <w:r w:rsidRPr="00146A5C">
        <w:rPr>
          <w:rFonts w:ascii="Arial" w:hAnsi="Arial" w:cs="Arial"/>
          <w:b/>
        </w:rPr>
        <w:t xml:space="preserve">Artículo </w:t>
      </w:r>
      <w:r w:rsidR="005526E8" w:rsidRPr="00146A5C">
        <w:rPr>
          <w:rFonts w:ascii="Arial" w:hAnsi="Arial" w:cs="Arial"/>
          <w:b/>
        </w:rPr>
        <w:t>22</w:t>
      </w:r>
      <w:r w:rsidRPr="00146A5C">
        <w:rPr>
          <w:rFonts w:ascii="Arial" w:hAnsi="Arial" w:cs="Arial"/>
          <w:b/>
        </w:rPr>
        <w:t>.-</w:t>
      </w:r>
      <w:r w:rsidRPr="00851B38">
        <w:rPr>
          <w:rFonts w:ascii="Arial" w:hAnsi="Arial" w:cs="Arial"/>
        </w:rPr>
        <w:t xml:space="preserve"> Las atribuciones establecidas en el artículo anterior también se ejercerán por la Superintendencia, cada vez que, ya otorgado un permiso de operación, se produjeren modificaciones en la composición accionaria o en el capital de la sociedad, como asimismo cuando se incorpore un nuevo partícipe en la sociedad operadora.</w:t>
      </w:r>
    </w:p>
    <w:p w:rsidR="00CF447E" w:rsidRPr="00851B38" w:rsidRDefault="00CF447E" w:rsidP="00C63923">
      <w:pPr>
        <w:spacing w:line="276" w:lineRule="auto"/>
        <w:ind w:left="-284"/>
        <w:jc w:val="both"/>
        <w:rPr>
          <w:rFonts w:ascii="Arial" w:hAnsi="Arial" w:cs="Arial"/>
        </w:rPr>
      </w:pPr>
    </w:p>
    <w:p w:rsidR="00D4703C" w:rsidRPr="00851B38" w:rsidRDefault="005B183F" w:rsidP="00C63923">
      <w:pPr>
        <w:spacing w:line="276" w:lineRule="auto"/>
        <w:ind w:left="-284"/>
        <w:jc w:val="both"/>
        <w:rPr>
          <w:rFonts w:ascii="Arial" w:hAnsi="Arial" w:cs="Arial"/>
        </w:rPr>
      </w:pPr>
      <w:r>
        <w:rPr>
          <w:rFonts w:ascii="Arial" w:hAnsi="Arial" w:cs="Arial"/>
        </w:rPr>
        <w:t xml:space="preserve"> </w:t>
      </w:r>
      <w:r>
        <w:rPr>
          <w:rFonts w:ascii="Arial" w:hAnsi="Arial" w:cs="Arial"/>
        </w:rPr>
        <w:tab/>
      </w:r>
      <w:r w:rsidR="00D4703C" w:rsidRPr="00851B38">
        <w:rPr>
          <w:rFonts w:ascii="Arial" w:hAnsi="Arial" w:cs="Arial"/>
        </w:rPr>
        <w:t>Asimismo, la Superintendencia deberá autorizar los nombramientos de nuevo gerente general y de directores de la sociedad operadora, en forma previa a la asunción del cargo respectivo.</w:t>
      </w:r>
    </w:p>
    <w:p w:rsidR="005526E8" w:rsidRPr="00CF447E" w:rsidRDefault="005526E8" w:rsidP="00C63923">
      <w:pPr>
        <w:spacing w:line="276" w:lineRule="auto"/>
        <w:ind w:left="-284"/>
        <w:jc w:val="both"/>
        <w:rPr>
          <w:rFonts w:ascii="Arial" w:hAnsi="Arial" w:cs="Arial"/>
        </w:rPr>
      </w:pPr>
    </w:p>
    <w:p w:rsidR="0004050E" w:rsidRPr="00851B38" w:rsidRDefault="005526E8" w:rsidP="00C63923">
      <w:pPr>
        <w:spacing w:line="276" w:lineRule="auto"/>
        <w:ind w:left="-284"/>
        <w:jc w:val="both"/>
        <w:rPr>
          <w:rFonts w:ascii="Arial" w:hAnsi="Arial" w:cs="Arial"/>
        </w:rPr>
      </w:pPr>
      <w:r w:rsidRPr="00146A5C">
        <w:rPr>
          <w:rFonts w:ascii="Arial" w:hAnsi="Arial" w:cs="Arial"/>
          <w:b/>
        </w:rPr>
        <w:lastRenderedPageBreak/>
        <w:t>Artículo 23</w:t>
      </w:r>
      <w:r w:rsidR="0004050E" w:rsidRPr="00146A5C">
        <w:rPr>
          <w:rFonts w:ascii="Arial" w:hAnsi="Arial" w:cs="Arial"/>
          <w:b/>
        </w:rPr>
        <w:t>.-</w:t>
      </w:r>
      <w:r w:rsidR="0004050E" w:rsidRPr="00CF447E">
        <w:rPr>
          <w:rFonts w:ascii="Arial" w:hAnsi="Arial" w:cs="Arial"/>
        </w:rPr>
        <w:t xml:space="preserve"> </w:t>
      </w:r>
      <w:r w:rsidR="00C465B7">
        <w:rPr>
          <w:rFonts w:ascii="Arial" w:hAnsi="Arial" w:cs="Arial"/>
        </w:rPr>
        <w:t>Toda vez que d</w:t>
      </w:r>
      <w:r w:rsidR="0004050E" w:rsidRPr="00CF447E">
        <w:rPr>
          <w:rFonts w:ascii="Arial" w:hAnsi="Arial" w:cs="Arial"/>
        </w:rPr>
        <w:t xml:space="preserve">urante el proceso de evaluación, la Superintendencia </w:t>
      </w:r>
      <w:r w:rsidR="00C465B7">
        <w:rPr>
          <w:rFonts w:ascii="Arial" w:hAnsi="Arial" w:cs="Arial"/>
        </w:rPr>
        <w:t xml:space="preserve">requiera </w:t>
      </w:r>
      <w:r w:rsidR="0004050E" w:rsidRPr="00CF447E">
        <w:rPr>
          <w:rFonts w:ascii="Arial" w:hAnsi="Arial" w:cs="Arial"/>
        </w:rPr>
        <w:t xml:space="preserve"> de las sociedades que hubieren presentado ofertas técnicas y económicas, como de cualquiera de sus accionistas personas naturales o jurídicas, todas las aclaraciones, precisiones y antecedentes que sean necesarios para desarrollar y concluir la evaluación</w:t>
      </w:r>
      <w:r w:rsidR="00C465B7">
        <w:rPr>
          <w:rFonts w:ascii="Arial" w:hAnsi="Arial" w:cs="Arial"/>
        </w:rPr>
        <w:t>, deberá dejarse constancia razonada del requerimiento y de sus detalles en el informe a que se refiere el último inciso del artículo 37 de este reglamento</w:t>
      </w:r>
      <w:r w:rsidR="0004050E" w:rsidRPr="00851B38">
        <w:rPr>
          <w:rFonts w:ascii="Arial" w:hAnsi="Arial" w:cs="Arial"/>
        </w:rPr>
        <w:t>.</w:t>
      </w:r>
    </w:p>
    <w:p w:rsidR="005526E8" w:rsidRPr="00851B38" w:rsidRDefault="005526E8" w:rsidP="00C63923">
      <w:pPr>
        <w:spacing w:line="276" w:lineRule="auto"/>
        <w:ind w:left="-284"/>
        <w:jc w:val="both"/>
        <w:rPr>
          <w:rFonts w:ascii="Arial" w:hAnsi="Arial" w:cs="Arial"/>
        </w:rPr>
      </w:pPr>
    </w:p>
    <w:p w:rsidR="0004050E" w:rsidRPr="00851B38" w:rsidRDefault="005526E8" w:rsidP="00C63923">
      <w:pPr>
        <w:spacing w:line="276" w:lineRule="auto"/>
        <w:ind w:left="-284"/>
        <w:jc w:val="both"/>
        <w:rPr>
          <w:rFonts w:ascii="Arial" w:hAnsi="Arial" w:cs="Arial"/>
        </w:rPr>
      </w:pPr>
      <w:r w:rsidRPr="00146A5C">
        <w:rPr>
          <w:rFonts w:ascii="Arial" w:hAnsi="Arial" w:cs="Arial"/>
          <w:b/>
        </w:rPr>
        <w:t>Artículo 24</w:t>
      </w:r>
      <w:r w:rsidR="0004050E" w:rsidRPr="00146A5C">
        <w:rPr>
          <w:rFonts w:ascii="Arial" w:hAnsi="Arial" w:cs="Arial"/>
          <w:b/>
        </w:rPr>
        <w:t>.-</w:t>
      </w:r>
      <w:r w:rsidR="0004050E" w:rsidRPr="00851B38">
        <w:rPr>
          <w:rFonts w:ascii="Arial" w:hAnsi="Arial" w:cs="Arial"/>
        </w:rPr>
        <w:t xml:space="preserve"> S</w:t>
      </w:r>
      <w:r w:rsidR="00636B98">
        <w:rPr>
          <w:rFonts w:ascii="Arial" w:hAnsi="Arial" w:cs="Arial"/>
        </w:rPr>
        <w:t>o</w:t>
      </w:r>
      <w:r w:rsidR="0004050E" w:rsidRPr="00851B38">
        <w:rPr>
          <w:rFonts w:ascii="Arial" w:hAnsi="Arial" w:cs="Arial"/>
        </w:rPr>
        <w:t>lo las sociedades que hayan dado cabal cumplimiento a los requisitos legales y reglamentarios exigidos para el otorgamiento de un permiso de operación, serán sometidas a la evaluación de los criterios y factores que se establecen en l</w:t>
      </w:r>
      <w:r w:rsidR="00345ACB" w:rsidRPr="00851B38">
        <w:rPr>
          <w:rFonts w:ascii="Arial" w:hAnsi="Arial" w:cs="Arial"/>
        </w:rPr>
        <w:t>os</w:t>
      </w:r>
      <w:r w:rsidR="0004050E" w:rsidRPr="00851B38">
        <w:rPr>
          <w:rFonts w:ascii="Arial" w:hAnsi="Arial" w:cs="Arial"/>
        </w:rPr>
        <w:t xml:space="preserve"> artículo</w:t>
      </w:r>
      <w:r w:rsidR="00345ACB" w:rsidRPr="00851B38">
        <w:rPr>
          <w:rFonts w:ascii="Arial" w:hAnsi="Arial" w:cs="Arial"/>
        </w:rPr>
        <w:t>s</w:t>
      </w:r>
      <w:r w:rsidR="0004050E" w:rsidRPr="00851B38">
        <w:rPr>
          <w:rFonts w:ascii="Arial" w:hAnsi="Arial" w:cs="Arial"/>
        </w:rPr>
        <w:t xml:space="preserve"> </w:t>
      </w:r>
      <w:r w:rsidR="006F267A" w:rsidRPr="00851B38">
        <w:rPr>
          <w:rFonts w:ascii="Arial" w:hAnsi="Arial" w:cs="Arial"/>
        </w:rPr>
        <w:t>26, 27,</w:t>
      </w:r>
      <w:r w:rsidR="00345ACB" w:rsidRPr="00851B38">
        <w:rPr>
          <w:rFonts w:ascii="Arial" w:hAnsi="Arial" w:cs="Arial"/>
        </w:rPr>
        <w:t xml:space="preserve"> 28</w:t>
      </w:r>
      <w:r w:rsidR="006F267A" w:rsidRPr="00851B38">
        <w:rPr>
          <w:rFonts w:ascii="Arial" w:hAnsi="Arial" w:cs="Arial"/>
        </w:rPr>
        <w:t xml:space="preserve"> y 29</w:t>
      </w:r>
      <w:r w:rsidR="00345ACB" w:rsidRPr="00851B38">
        <w:rPr>
          <w:rFonts w:ascii="Arial" w:hAnsi="Arial" w:cs="Arial"/>
        </w:rPr>
        <w:t xml:space="preserve"> de </w:t>
      </w:r>
      <w:r w:rsidR="00F94BD6" w:rsidRPr="00851B38">
        <w:rPr>
          <w:rFonts w:ascii="Arial" w:hAnsi="Arial" w:cs="Arial"/>
        </w:rPr>
        <w:t>este reglamento</w:t>
      </w:r>
      <w:r w:rsidR="0004050E" w:rsidRPr="00851B38">
        <w:rPr>
          <w:rFonts w:ascii="Arial" w:hAnsi="Arial" w:cs="Arial"/>
        </w:rPr>
        <w:t>.</w:t>
      </w:r>
    </w:p>
    <w:p w:rsidR="005526E8" w:rsidRPr="00851B38" w:rsidRDefault="005526E8" w:rsidP="00C63923">
      <w:pPr>
        <w:spacing w:line="276" w:lineRule="auto"/>
        <w:ind w:left="-284"/>
        <w:jc w:val="both"/>
        <w:rPr>
          <w:rFonts w:ascii="Arial" w:hAnsi="Arial" w:cs="Arial"/>
        </w:rPr>
      </w:pPr>
    </w:p>
    <w:p w:rsidR="0004050E" w:rsidRPr="00146A5C" w:rsidRDefault="005526E8" w:rsidP="00C63923">
      <w:pPr>
        <w:spacing w:line="276" w:lineRule="auto"/>
        <w:ind w:left="-284"/>
        <w:jc w:val="both"/>
        <w:rPr>
          <w:rFonts w:ascii="Arial" w:hAnsi="Arial" w:cs="Arial"/>
        </w:rPr>
      </w:pPr>
      <w:r w:rsidRPr="00146A5C">
        <w:rPr>
          <w:rFonts w:ascii="Arial" w:hAnsi="Arial" w:cs="Arial"/>
          <w:b/>
        </w:rPr>
        <w:t>Artículo 25</w:t>
      </w:r>
      <w:r w:rsidR="0004050E" w:rsidRPr="00146A5C">
        <w:rPr>
          <w:rFonts w:ascii="Arial" w:hAnsi="Arial" w:cs="Arial"/>
          <w:b/>
        </w:rPr>
        <w:t>.-</w:t>
      </w:r>
      <w:r w:rsidR="0004050E" w:rsidRPr="00146A5C">
        <w:rPr>
          <w:rFonts w:ascii="Arial" w:hAnsi="Arial" w:cs="Arial"/>
        </w:rPr>
        <w:t xml:space="preserve"> Se considerarán como únicas causales para que la sociedad solicitante no continúe con la etapa de evaluación, junto con el incumplimiento de los requisitos establecidos en los artículos 17, 18 y 20 de la ley </w:t>
      </w:r>
      <w:r w:rsidR="000C7F05" w:rsidRPr="00146A5C">
        <w:rPr>
          <w:rFonts w:ascii="Arial" w:hAnsi="Arial" w:cs="Arial"/>
        </w:rPr>
        <w:t xml:space="preserve">N° </w:t>
      </w:r>
      <w:r w:rsidR="0004050E" w:rsidRPr="00146A5C">
        <w:rPr>
          <w:rFonts w:ascii="Arial" w:hAnsi="Arial" w:cs="Arial"/>
        </w:rPr>
        <w:t>19.995, que ésta o sus accionistas se encuentren en alguna de las siguientes circunstancias:</w:t>
      </w:r>
    </w:p>
    <w:p w:rsidR="00CF447E" w:rsidRPr="00146A5C" w:rsidRDefault="00CF447E" w:rsidP="00C63923">
      <w:pPr>
        <w:spacing w:line="276" w:lineRule="auto"/>
        <w:ind w:left="-284"/>
        <w:jc w:val="both"/>
        <w:rPr>
          <w:rFonts w:ascii="Arial" w:hAnsi="Arial" w:cs="Arial"/>
        </w:rPr>
      </w:pPr>
    </w:p>
    <w:p w:rsidR="0004050E" w:rsidRDefault="0004050E" w:rsidP="00C63923">
      <w:pPr>
        <w:spacing w:line="276" w:lineRule="auto"/>
        <w:ind w:left="-284"/>
        <w:jc w:val="both"/>
        <w:rPr>
          <w:rFonts w:ascii="Arial" w:hAnsi="Arial" w:cs="Arial"/>
        </w:rPr>
      </w:pPr>
      <w:r w:rsidRPr="00146A5C">
        <w:rPr>
          <w:rFonts w:ascii="Arial" w:hAnsi="Arial" w:cs="Arial"/>
        </w:rPr>
        <w:t>a) En estado de insolvencia, esto es, la imposibilidad de cumplir con</w:t>
      </w:r>
      <w:r w:rsidR="00D63AC1" w:rsidRPr="00146A5C">
        <w:rPr>
          <w:rFonts w:ascii="Arial" w:hAnsi="Arial" w:cs="Arial"/>
        </w:rPr>
        <w:t xml:space="preserve"> el pago de</w:t>
      </w:r>
      <w:r w:rsidR="00146A5C">
        <w:rPr>
          <w:rFonts w:ascii="Arial" w:hAnsi="Arial" w:cs="Arial"/>
        </w:rPr>
        <w:t xml:space="preserve"> las obligaciones contraídas;</w:t>
      </w:r>
    </w:p>
    <w:p w:rsidR="00CF447E" w:rsidRPr="00851B38" w:rsidRDefault="00CF447E" w:rsidP="00C63923">
      <w:pPr>
        <w:spacing w:line="276" w:lineRule="auto"/>
        <w:ind w:left="-284"/>
        <w:jc w:val="both"/>
        <w:rPr>
          <w:rFonts w:ascii="Arial" w:hAnsi="Arial" w:cs="Arial"/>
        </w:rPr>
      </w:pPr>
    </w:p>
    <w:p w:rsidR="0004050E" w:rsidRDefault="0004050E" w:rsidP="00C63923">
      <w:pPr>
        <w:spacing w:line="276" w:lineRule="auto"/>
        <w:ind w:left="-284"/>
        <w:jc w:val="both"/>
        <w:rPr>
          <w:rFonts w:ascii="Arial" w:hAnsi="Arial" w:cs="Arial"/>
        </w:rPr>
      </w:pPr>
      <w:r w:rsidRPr="00851B38">
        <w:rPr>
          <w:rFonts w:ascii="Arial" w:hAnsi="Arial" w:cs="Arial"/>
        </w:rPr>
        <w:t>b) Haber sido, en los últimos quince años, director, gerente o accionista en una sociedad operadora a la cual se haya r</w:t>
      </w:r>
      <w:r w:rsidR="00146A5C">
        <w:rPr>
          <w:rFonts w:ascii="Arial" w:hAnsi="Arial" w:cs="Arial"/>
        </w:rPr>
        <w:t>evocado su permiso de operación;</w:t>
      </w:r>
    </w:p>
    <w:p w:rsidR="00CF447E" w:rsidRPr="00851B38" w:rsidRDefault="00CF447E" w:rsidP="00C63923">
      <w:pPr>
        <w:spacing w:line="276" w:lineRule="auto"/>
        <w:ind w:left="-284"/>
        <w:jc w:val="both"/>
        <w:rPr>
          <w:rFonts w:ascii="Arial" w:hAnsi="Arial" w:cs="Arial"/>
        </w:rPr>
      </w:pPr>
    </w:p>
    <w:p w:rsidR="0004050E" w:rsidRDefault="0004050E" w:rsidP="00C63923">
      <w:pPr>
        <w:spacing w:line="276" w:lineRule="auto"/>
        <w:ind w:left="-284"/>
        <w:jc w:val="both"/>
        <w:rPr>
          <w:rFonts w:ascii="Arial" w:hAnsi="Arial" w:cs="Arial"/>
        </w:rPr>
      </w:pPr>
      <w:r w:rsidRPr="00851B38">
        <w:rPr>
          <w:rFonts w:ascii="Arial" w:hAnsi="Arial" w:cs="Arial"/>
        </w:rPr>
        <w:t>c) Haber aportado a la Superintendencia información falsa, incompleta, inconsistente, adulterada o manifiestamente errón</w:t>
      </w:r>
      <w:r w:rsidR="00146A5C">
        <w:rPr>
          <w:rFonts w:ascii="Arial" w:hAnsi="Arial" w:cs="Arial"/>
        </w:rPr>
        <w:t>ea respecto de sus antecedentes;</w:t>
      </w:r>
    </w:p>
    <w:p w:rsidR="00636B98" w:rsidRPr="00851B38" w:rsidRDefault="00636B98" w:rsidP="00C63923">
      <w:pPr>
        <w:spacing w:line="276" w:lineRule="auto"/>
        <w:ind w:left="-284"/>
        <w:jc w:val="both"/>
        <w:rPr>
          <w:rFonts w:ascii="Arial" w:hAnsi="Arial" w:cs="Arial"/>
        </w:rPr>
      </w:pPr>
    </w:p>
    <w:p w:rsidR="0004050E" w:rsidRDefault="0004050E" w:rsidP="00C63923">
      <w:pPr>
        <w:spacing w:line="276" w:lineRule="auto"/>
        <w:ind w:left="-284"/>
        <w:jc w:val="both"/>
        <w:rPr>
          <w:rFonts w:ascii="Arial" w:hAnsi="Arial" w:cs="Arial"/>
        </w:rPr>
      </w:pPr>
      <w:r w:rsidRPr="00851B38">
        <w:rPr>
          <w:rFonts w:ascii="Arial" w:hAnsi="Arial" w:cs="Arial"/>
        </w:rPr>
        <w:t>d) No haber acompañado los antecedentes requeridos por la Superintendencia para llevar a cabo la evaluación en</w:t>
      </w:r>
      <w:r w:rsidR="00D63AC1">
        <w:rPr>
          <w:rFonts w:ascii="Arial" w:hAnsi="Arial" w:cs="Arial"/>
        </w:rPr>
        <w:t xml:space="preserve"> el</w:t>
      </w:r>
      <w:r w:rsidRPr="00851B38">
        <w:rPr>
          <w:rFonts w:ascii="Arial" w:hAnsi="Arial" w:cs="Arial"/>
        </w:rPr>
        <w:t xml:space="preserve"> tiempo y</w:t>
      </w:r>
      <w:r w:rsidR="00D63AC1">
        <w:rPr>
          <w:rFonts w:ascii="Arial" w:hAnsi="Arial" w:cs="Arial"/>
        </w:rPr>
        <w:t xml:space="preserve"> la</w:t>
      </w:r>
      <w:r w:rsidRPr="00851B38">
        <w:rPr>
          <w:rFonts w:ascii="Arial" w:hAnsi="Arial" w:cs="Arial"/>
        </w:rPr>
        <w:t xml:space="preserve"> forma</w:t>
      </w:r>
      <w:r w:rsidR="00D63AC1">
        <w:rPr>
          <w:rFonts w:ascii="Arial" w:hAnsi="Arial" w:cs="Arial"/>
        </w:rPr>
        <w:t xml:space="preserve"> que se describen en este reglamento</w:t>
      </w:r>
      <w:r w:rsidR="00146A5C">
        <w:rPr>
          <w:rFonts w:ascii="Arial" w:hAnsi="Arial" w:cs="Arial"/>
        </w:rPr>
        <w:t>;</w:t>
      </w:r>
    </w:p>
    <w:p w:rsidR="00CF447E" w:rsidRPr="00851B38" w:rsidRDefault="00CF447E" w:rsidP="00C63923">
      <w:pPr>
        <w:spacing w:line="276" w:lineRule="auto"/>
        <w:ind w:left="-284"/>
        <w:jc w:val="both"/>
        <w:rPr>
          <w:rFonts w:ascii="Arial" w:hAnsi="Arial" w:cs="Arial"/>
        </w:rPr>
      </w:pPr>
    </w:p>
    <w:p w:rsidR="0004050E" w:rsidRDefault="0004050E" w:rsidP="00C63923">
      <w:pPr>
        <w:spacing w:line="276" w:lineRule="auto"/>
        <w:ind w:left="-284"/>
        <w:jc w:val="both"/>
        <w:rPr>
          <w:rFonts w:ascii="Arial" w:hAnsi="Arial" w:cs="Arial"/>
        </w:rPr>
      </w:pPr>
      <w:r w:rsidRPr="00851B38">
        <w:rPr>
          <w:rFonts w:ascii="Arial" w:hAnsi="Arial" w:cs="Arial"/>
        </w:rPr>
        <w:t>e) Ser socio o administrador de empresas o sociedades que mantengan deudas impagas con el Fisco, cuyo plazo pa</w:t>
      </w:r>
      <w:r w:rsidR="00146A5C">
        <w:rPr>
          <w:rFonts w:ascii="Arial" w:hAnsi="Arial" w:cs="Arial"/>
        </w:rPr>
        <w:t>ra el pago se encuentre vencido;</w:t>
      </w:r>
    </w:p>
    <w:p w:rsidR="00CF447E" w:rsidRPr="00851B38" w:rsidRDefault="00CF447E" w:rsidP="00C63923">
      <w:pPr>
        <w:spacing w:line="276" w:lineRule="auto"/>
        <w:ind w:left="-284"/>
        <w:jc w:val="both"/>
        <w:rPr>
          <w:rFonts w:ascii="Arial" w:hAnsi="Arial" w:cs="Arial"/>
        </w:rPr>
      </w:pPr>
    </w:p>
    <w:p w:rsidR="00192ACE" w:rsidRDefault="0004050E" w:rsidP="00C63923">
      <w:pPr>
        <w:spacing w:line="276" w:lineRule="auto"/>
        <w:ind w:left="-284"/>
        <w:jc w:val="both"/>
        <w:rPr>
          <w:rFonts w:ascii="Arial" w:hAnsi="Arial" w:cs="Arial"/>
        </w:rPr>
      </w:pPr>
      <w:r w:rsidRPr="00851B38">
        <w:rPr>
          <w:rFonts w:ascii="Arial" w:hAnsi="Arial" w:cs="Arial"/>
        </w:rPr>
        <w:t xml:space="preserve">f) Haber sido sancionado administrativamente, mediante resolución firme, por tres o más infracciones </w:t>
      </w:r>
      <w:r w:rsidR="002B0639" w:rsidRPr="00C465B7">
        <w:rPr>
          <w:rFonts w:ascii="Arial" w:hAnsi="Arial" w:cs="Arial"/>
        </w:rPr>
        <w:t xml:space="preserve"> </w:t>
      </w:r>
      <w:r w:rsidRPr="00C465B7">
        <w:rPr>
          <w:rFonts w:ascii="Arial" w:hAnsi="Arial" w:cs="Arial"/>
        </w:rPr>
        <w:t>graves en</w:t>
      </w:r>
      <w:r w:rsidRPr="00851B38">
        <w:rPr>
          <w:rFonts w:ascii="Arial" w:hAnsi="Arial" w:cs="Arial"/>
        </w:rPr>
        <w:t xml:space="preserve"> los últimos cinco años por incumplimiento de las normas que regulan la actividad de los casinos</w:t>
      </w:r>
      <w:r w:rsidR="00146A5C">
        <w:rPr>
          <w:rFonts w:ascii="Arial" w:hAnsi="Arial" w:cs="Arial"/>
        </w:rPr>
        <w:t>;</w:t>
      </w:r>
    </w:p>
    <w:p w:rsidR="00192ACE" w:rsidRDefault="00192ACE" w:rsidP="00C63923">
      <w:pPr>
        <w:spacing w:line="276" w:lineRule="auto"/>
        <w:ind w:left="-284"/>
        <w:jc w:val="both"/>
        <w:rPr>
          <w:rFonts w:ascii="Arial" w:hAnsi="Arial" w:cs="Arial"/>
        </w:rPr>
      </w:pPr>
    </w:p>
    <w:p w:rsidR="00192ACE" w:rsidRDefault="00192ACE" w:rsidP="00C63923">
      <w:pPr>
        <w:spacing w:line="276" w:lineRule="auto"/>
        <w:ind w:left="-284"/>
        <w:jc w:val="both"/>
        <w:rPr>
          <w:rFonts w:ascii="Arial" w:hAnsi="Arial" w:cs="Arial"/>
        </w:rPr>
      </w:pPr>
      <w:r>
        <w:rPr>
          <w:rFonts w:ascii="Arial" w:hAnsi="Arial" w:cs="Arial"/>
        </w:rPr>
        <w:t>Se considerarán infracciones graves aquellas descritas en el artículo 31 de la ley N° 19.995</w:t>
      </w:r>
      <w:r w:rsidR="00757887">
        <w:rPr>
          <w:rFonts w:ascii="Arial" w:hAnsi="Arial" w:cs="Arial"/>
        </w:rPr>
        <w:t>, cometidas en</w:t>
      </w:r>
      <w:r w:rsidR="004311DF">
        <w:rPr>
          <w:rFonts w:ascii="Arial" w:hAnsi="Arial" w:cs="Arial"/>
        </w:rPr>
        <w:t xml:space="preserve"> relación a</w:t>
      </w:r>
      <w:r w:rsidR="00757887">
        <w:rPr>
          <w:rFonts w:ascii="Arial" w:hAnsi="Arial" w:cs="Arial"/>
        </w:rPr>
        <w:t xml:space="preserve"> un</w:t>
      </w:r>
      <w:r w:rsidR="004311DF">
        <w:rPr>
          <w:rFonts w:ascii="Arial" w:hAnsi="Arial" w:cs="Arial"/>
        </w:rPr>
        <w:t xml:space="preserve"> mismo</w:t>
      </w:r>
      <w:r w:rsidR="00757887">
        <w:rPr>
          <w:rFonts w:ascii="Arial" w:hAnsi="Arial" w:cs="Arial"/>
        </w:rPr>
        <w:t xml:space="preserve"> casino de juego nacional y</w:t>
      </w:r>
      <w:r w:rsidR="004311DF">
        <w:rPr>
          <w:rFonts w:ascii="Arial" w:hAnsi="Arial" w:cs="Arial"/>
        </w:rPr>
        <w:t xml:space="preserve">, </w:t>
      </w:r>
      <w:r w:rsidR="00757887">
        <w:rPr>
          <w:rFonts w:ascii="Arial" w:hAnsi="Arial" w:cs="Arial"/>
        </w:rPr>
        <w:t>aquellas</w:t>
      </w:r>
      <w:r w:rsidR="004311DF">
        <w:rPr>
          <w:rFonts w:ascii="Arial" w:hAnsi="Arial" w:cs="Arial"/>
        </w:rPr>
        <w:t>,</w:t>
      </w:r>
      <w:r w:rsidR="00757887">
        <w:rPr>
          <w:rFonts w:ascii="Arial" w:hAnsi="Arial" w:cs="Arial"/>
        </w:rPr>
        <w:t xml:space="preserve"> homologables</w:t>
      </w:r>
      <w:r w:rsidR="004311DF">
        <w:rPr>
          <w:rFonts w:ascii="Arial" w:hAnsi="Arial" w:cs="Arial"/>
        </w:rPr>
        <w:t>,</w:t>
      </w:r>
      <w:r w:rsidR="00757887">
        <w:rPr>
          <w:rFonts w:ascii="Arial" w:hAnsi="Arial" w:cs="Arial"/>
        </w:rPr>
        <w:t xml:space="preserve"> cometidas en</w:t>
      </w:r>
      <w:r w:rsidR="004311DF">
        <w:rPr>
          <w:rFonts w:ascii="Arial" w:hAnsi="Arial" w:cs="Arial"/>
        </w:rPr>
        <w:t xml:space="preserve"> relación a</w:t>
      </w:r>
      <w:r w:rsidR="00757887">
        <w:rPr>
          <w:rFonts w:ascii="Arial" w:hAnsi="Arial" w:cs="Arial"/>
        </w:rPr>
        <w:t xml:space="preserve"> un </w:t>
      </w:r>
      <w:r w:rsidR="004311DF">
        <w:rPr>
          <w:rFonts w:ascii="Arial" w:hAnsi="Arial" w:cs="Arial"/>
        </w:rPr>
        <w:t xml:space="preserve">mismo </w:t>
      </w:r>
      <w:r w:rsidR="00757887">
        <w:rPr>
          <w:rFonts w:ascii="Arial" w:hAnsi="Arial" w:cs="Arial"/>
        </w:rPr>
        <w:t>casino de juego</w:t>
      </w:r>
      <w:r w:rsidR="00146A5C">
        <w:rPr>
          <w:rFonts w:ascii="Arial" w:hAnsi="Arial" w:cs="Arial"/>
        </w:rPr>
        <w:t xml:space="preserve"> extranjero;</w:t>
      </w:r>
      <w:r w:rsidR="005B183F">
        <w:rPr>
          <w:rFonts w:ascii="Arial" w:hAnsi="Arial" w:cs="Arial"/>
        </w:rPr>
        <w:t xml:space="preserve"> y</w:t>
      </w:r>
      <w:r w:rsidR="00757887">
        <w:rPr>
          <w:rFonts w:ascii="Arial" w:hAnsi="Arial" w:cs="Arial"/>
        </w:rPr>
        <w:t xml:space="preserve"> </w:t>
      </w:r>
    </w:p>
    <w:p w:rsidR="00CF447E" w:rsidRPr="00851B38" w:rsidRDefault="00CF447E" w:rsidP="00C63923">
      <w:pPr>
        <w:spacing w:line="276" w:lineRule="auto"/>
        <w:ind w:left="-284"/>
        <w:jc w:val="both"/>
        <w:rPr>
          <w:rFonts w:ascii="Arial" w:hAnsi="Arial" w:cs="Arial"/>
        </w:rPr>
      </w:pPr>
    </w:p>
    <w:p w:rsidR="0004050E" w:rsidRDefault="0004050E" w:rsidP="00C63923">
      <w:pPr>
        <w:spacing w:line="276" w:lineRule="auto"/>
        <w:ind w:left="-284"/>
        <w:jc w:val="both"/>
        <w:rPr>
          <w:rFonts w:ascii="Arial" w:hAnsi="Arial" w:cs="Arial"/>
        </w:rPr>
      </w:pPr>
      <w:r w:rsidRPr="00851B38">
        <w:rPr>
          <w:rFonts w:ascii="Arial" w:hAnsi="Arial" w:cs="Arial"/>
        </w:rPr>
        <w:t xml:space="preserve">g) Haber sido sancionada la persona jurídica, por alguno de los delitos contemplados en la ley N° 20.393, que consagra la responsabilidad penal de las personas jurídicas por lavado de activos, </w:t>
      </w:r>
      <w:r w:rsidR="008F5179" w:rsidRPr="00851B38">
        <w:rPr>
          <w:rFonts w:ascii="Arial" w:hAnsi="Arial" w:cs="Arial"/>
        </w:rPr>
        <w:t xml:space="preserve">financiamiento del </w:t>
      </w:r>
      <w:r w:rsidRPr="00851B38">
        <w:rPr>
          <w:rFonts w:ascii="Arial" w:hAnsi="Arial" w:cs="Arial"/>
        </w:rPr>
        <w:t xml:space="preserve">terrorismo o cohecho; o los accionistas personas naturales en virtud de lo dispuesto en los artículos 27 </w:t>
      </w:r>
      <w:r w:rsidR="00636B98" w:rsidRPr="00851B38">
        <w:rPr>
          <w:rFonts w:ascii="Arial" w:hAnsi="Arial" w:cs="Arial"/>
        </w:rPr>
        <w:t>o</w:t>
      </w:r>
      <w:r w:rsidRPr="00851B38">
        <w:rPr>
          <w:rFonts w:ascii="Arial" w:hAnsi="Arial" w:cs="Arial"/>
        </w:rPr>
        <w:t xml:space="preserve"> 28 de la ley N° 19.913, sobre lavado o blanqueo de activos, en la ley N° 18.314, que determina conductas terroristas o fija su penalidad, o en los artículos 250 y 251 bis del Código Penal, relativos al delito de cohecho. </w:t>
      </w:r>
    </w:p>
    <w:p w:rsidR="00CF447E" w:rsidRPr="00851B38" w:rsidRDefault="00CF447E" w:rsidP="00C63923">
      <w:pPr>
        <w:spacing w:line="276" w:lineRule="auto"/>
        <w:ind w:left="-284"/>
        <w:jc w:val="both"/>
        <w:rPr>
          <w:rFonts w:ascii="Arial" w:hAnsi="Arial" w:cs="Arial"/>
        </w:rPr>
      </w:pPr>
    </w:p>
    <w:p w:rsidR="0004050E" w:rsidRPr="00851B38" w:rsidRDefault="00CF447E" w:rsidP="00C63923">
      <w:pPr>
        <w:spacing w:line="276" w:lineRule="auto"/>
        <w:ind w:left="-284"/>
        <w:jc w:val="both"/>
        <w:rPr>
          <w:rFonts w:ascii="Arial" w:hAnsi="Arial" w:cs="Arial"/>
        </w:rPr>
      </w:pPr>
      <w:r>
        <w:rPr>
          <w:rFonts w:ascii="Arial" w:hAnsi="Arial" w:cs="Arial"/>
        </w:rPr>
        <w:t xml:space="preserve"> </w:t>
      </w:r>
      <w:r>
        <w:rPr>
          <w:rFonts w:ascii="Arial" w:hAnsi="Arial" w:cs="Arial"/>
        </w:rPr>
        <w:tab/>
      </w:r>
      <w:r w:rsidR="0004050E" w:rsidRPr="00C465B7">
        <w:rPr>
          <w:rFonts w:ascii="Arial" w:hAnsi="Arial" w:cs="Arial"/>
        </w:rPr>
        <w:t>Asimismo, la causal a que se refiere este literal también se configurará en aquellos ca</w:t>
      </w:r>
      <w:r w:rsidR="0004050E" w:rsidRPr="00D33013">
        <w:rPr>
          <w:rFonts w:ascii="Arial" w:hAnsi="Arial" w:cs="Arial"/>
        </w:rPr>
        <w:t>sos en que los accionistas, sean personas jurídicas o naturales, hayan sido condenados por delitos equivalentes en el extranjero</w:t>
      </w:r>
      <w:r w:rsidR="0004050E" w:rsidRPr="00C465B7">
        <w:rPr>
          <w:rFonts w:ascii="Arial" w:hAnsi="Arial" w:cs="Arial"/>
        </w:rPr>
        <w:t>.”.</w:t>
      </w:r>
    </w:p>
    <w:p w:rsidR="0004050E" w:rsidRPr="00851B38" w:rsidRDefault="0004050E" w:rsidP="00C63923">
      <w:pPr>
        <w:spacing w:line="276" w:lineRule="auto"/>
        <w:ind w:left="-284"/>
        <w:jc w:val="both"/>
        <w:rPr>
          <w:rFonts w:ascii="Arial" w:hAnsi="Arial" w:cs="Arial"/>
        </w:rPr>
      </w:pPr>
    </w:p>
    <w:p w:rsidR="0004050E" w:rsidRDefault="005526E8" w:rsidP="00C63923">
      <w:pPr>
        <w:spacing w:line="276" w:lineRule="auto"/>
        <w:ind w:left="-284"/>
        <w:jc w:val="both"/>
        <w:rPr>
          <w:rFonts w:ascii="Arial" w:hAnsi="Arial" w:cs="Arial"/>
        </w:rPr>
      </w:pPr>
      <w:r w:rsidRPr="00692694">
        <w:rPr>
          <w:rFonts w:ascii="Arial" w:hAnsi="Arial" w:cs="Arial"/>
          <w:b/>
        </w:rPr>
        <w:t>Artículo 26</w:t>
      </w:r>
      <w:r w:rsidR="0004050E" w:rsidRPr="00692694">
        <w:rPr>
          <w:rFonts w:ascii="Arial" w:hAnsi="Arial" w:cs="Arial"/>
          <w:b/>
        </w:rPr>
        <w:t>.-</w:t>
      </w:r>
      <w:r w:rsidR="0004050E" w:rsidRPr="00851B38">
        <w:rPr>
          <w:rFonts w:ascii="Arial" w:hAnsi="Arial" w:cs="Arial"/>
        </w:rPr>
        <w:t xml:space="preserve"> Respecto de cada oferta </w:t>
      </w:r>
      <w:r w:rsidR="00BC7DD8" w:rsidRPr="00851B38">
        <w:rPr>
          <w:rFonts w:ascii="Arial" w:hAnsi="Arial" w:cs="Arial"/>
        </w:rPr>
        <w:t xml:space="preserve">técnica </w:t>
      </w:r>
      <w:r w:rsidR="0004050E" w:rsidRPr="00851B38">
        <w:rPr>
          <w:rFonts w:ascii="Arial" w:hAnsi="Arial" w:cs="Arial"/>
        </w:rPr>
        <w:t>que haya cumplido con los requisitos exigidos en los artículos 17, 18, 20 y 21</w:t>
      </w:r>
      <w:r w:rsidR="008A44BD" w:rsidRPr="00851B38">
        <w:rPr>
          <w:rFonts w:ascii="Arial" w:hAnsi="Arial" w:cs="Arial"/>
        </w:rPr>
        <w:t xml:space="preserve"> </w:t>
      </w:r>
      <w:r w:rsidR="0004050E" w:rsidRPr="00851B38">
        <w:rPr>
          <w:rFonts w:ascii="Arial" w:hAnsi="Arial" w:cs="Arial"/>
        </w:rPr>
        <w:t xml:space="preserve">bis de la ley </w:t>
      </w:r>
      <w:r w:rsidR="000C7F05" w:rsidRPr="00851B38">
        <w:rPr>
          <w:rFonts w:ascii="Arial" w:hAnsi="Arial" w:cs="Arial"/>
        </w:rPr>
        <w:t xml:space="preserve">N° </w:t>
      </w:r>
      <w:r w:rsidR="0004050E" w:rsidRPr="00851B38">
        <w:rPr>
          <w:rFonts w:ascii="Arial" w:hAnsi="Arial" w:cs="Arial"/>
        </w:rPr>
        <w:t xml:space="preserve">19.995 y disposiciones precedentes, la Superintendencia deberá recabar informe de la Intendencia y de la municipalidad en cuyos territorios se propone el funcionamiento del casino de </w:t>
      </w:r>
      <w:r w:rsidR="00657D67" w:rsidRPr="00851B38">
        <w:rPr>
          <w:rFonts w:ascii="Arial" w:hAnsi="Arial" w:cs="Arial"/>
        </w:rPr>
        <w:t>juego que comprende la propuesta</w:t>
      </w:r>
      <w:r w:rsidR="0004050E" w:rsidRPr="00851B38">
        <w:rPr>
          <w:rFonts w:ascii="Arial" w:hAnsi="Arial" w:cs="Arial"/>
        </w:rPr>
        <w:t>.</w:t>
      </w:r>
    </w:p>
    <w:p w:rsidR="00CF447E" w:rsidRPr="00851B38" w:rsidRDefault="00CF447E" w:rsidP="00C63923">
      <w:pPr>
        <w:spacing w:line="276" w:lineRule="auto"/>
        <w:ind w:left="-284"/>
        <w:jc w:val="both"/>
        <w:rPr>
          <w:rFonts w:ascii="Arial" w:hAnsi="Arial" w:cs="Arial"/>
        </w:rPr>
      </w:pPr>
    </w:p>
    <w:p w:rsidR="0004050E" w:rsidRPr="00851B38" w:rsidRDefault="00CF447E" w:rsidP="00C63923">
      <w:pPr>
        <w:spacing w:line="276" w:lineRule="auto"/>
        <w:ind w:left="-284"/>
        <w:jc w:val="both"/>
        <w:rPr>
          <w:rFonts w:ascii="Arial" w:hAnsi="Arial" w:cs="Arial"/>
        </w:rPr>
      </w:pPr>
      <w:r>
        <w:rPr>
          <w:rFonts w:ascii="Arial" w:hAnsi="Arial" w:cs="Arial"/>
        </w:rPr>
        <w:t xml:space="preserve"> </w:t>
      </w:r>
      <w:r>
        <w:rPr>
          <w:rFonts w:ascii="Arial" w:hAnsi="Arial" w:cs="Arial"/>
        </w:rPr>
        <w:tab/>
      </w:r>
      <w:r w:rsidR="0004050E" w:rsidRPr="00851B38">
        <w:rPr>
          <w:rFonts w:ascii="Arial" w:hAnsi="Arial" w:cs="Arial"/>
        </w:rPr>
        <w:t>Para los efectos señalados, el Superintendente deberá oficiar a las autoridades de los Organismos antes individualizados, para que emitan su pronunciamiento dentro de los doce días hábiles siguientes de evacuado el oficio pertinente, señalándose en éste la fecha límite para su emisión.</w:t>
      </w:r>
    </w:p>
    <w:p w:rsidR="0004050E" w:rsidRPr="00851B38" w:rsidRDefault="0004050E" w:rsidP="00C63923">
      <w:pPr>
        <w:spacing w:line="276" w:lineRule="auto"/>
        <w:ind w:left="-284"/>
        <w:jc w:val="both"/>
        <w:rPr>
          <w:rFonts w:ascii="Arial" w:hAnsi="Arial" w:cs="Arial"/>
        </w:rPr>
      </w:pPr>
    </w:p>
    <w:p w:rsidR="0004050E" w:rsidRDefault="0004050E" w:rsidP="00C63923">
      <w:pPr>
        <w:spacing w:line="276" w:lineRule="auto"/>
        <w:ind w:left="-284"/>
        <w:jc w:val="both"/>
        <w:rPr>
          <w:rFonts w:ascii="Arial" w:hAnsi="Arial" w:cs="Arial"/>
        </w:rPr>
      </w:pPr>
      <w:r w:rsidRPr="00692694">
        <w:rPr>
          <w:rFonts w:ascii="Arial" w:hAnsi="Arial" w:cs="Arial"/>
          <w:b/>
        </w:rPr>
        <w:lastRenderedPageBreak/>
        <w:t>Artículo 2</w:t>
      </w:r>
      <w:r w:rsidR="00345ACB" w:rsidRPr="00692694">
        <w:rPr>
          <w:rFonts w:ascii="Arial" w:hAnsi="Arial" w:cs="Arial"/>
          <w:b/>
        </w:rPr>
        <w:t>7</w:t>
      </w:r>
      <w:r w:rsidRPr="00692694">
        <w:rPr>
          <w:rFonts w:ascii="Arial" w:hAnsi="Arial" w:cs="Arial"/>
          <w:b/>
        </w:rPr>
        <w:t>.-</w:t>
      </w:r>
      <w:r w:rsidRPr="00851B38">
        <w:rPr>
          <w:rFonts w:ascii="Arial" w:hAnsi="Arial" w:cs="Arial"/>
        </w:rPr>
        <w:t xml:space="preserve"> La Intendencia circ</w:t>
      </w:r>
      <w:r w:rsidR="00AB34C8">
        <w:rPr>
          <w:rFonts w:ascii="Arial" w:hAnsi="Arial" w:cs="Arial"/>
        </w:rPr>
        <w:t>unscribirá su pronunciamiento so</w:t>
      </w:r>
      <w:r w:rsidRPr="00851B38">
        <w:rPr>
          <w:rFonts w:ascii="Arial" w:hAnsi="Arial" w:cs="Arial"/>
        </w:rPr>
        <w:t>lo respecto del mérito de la comuna propuesta por la sociedad solicitante para la instalación del casino de juego, así como el impacto de</w:t>
      </w:r>
      <w:r w:rsidR="00003932" w:rsidRPr="00851B38">
        <w:rPr>
          <w:rFonts w:ascii="Arial" w:hAnsi="Arial" w:cs="Arial"/>
        </w:rPr>
        <w:t>l proyecto</w:t>
      </w:r>
      <w:r w:rsidRPr="00851B38">
        <w:rPr>
          <w:rFonts w:ascii="Arial" w:hAnsi="Arial" w:cs="Arial"/>
        </w:rPr>
        <w:t xml:space="preserve"> en la estrategia de desarrollo regional.</w:t>
      </w:r>
    </w:p>
    <w:p w:rsidR="00CF447E" w:rsidRPr="00851B38" w:rsidRDefault="00CF447E" w:rsidP="00C63923">
      <w:pPr>
        <w:spacing w:line="276" w:lineRule="auto"/>
        <w:ind w:left="-284"/>
        <w:jc w:val="both"/>
        <w:rPr>
          <w:rFonts w:ascii="Arial" w:hAnsi="Arial" w:cs="Arial"/>
        </w:rPr>
      </w:pPr>
    </w:p>
    <w:p w:rsidR="0004050E" w:rsidRDefault="00CF447E" w:rsidP="00C63923">
      <w:pPr>
        <w:spacing w:line="276" w:lineRule="auto"/>
        <w:ind w:left="-284"/>
        <w:jc w:val="both"/>
        <w:rPr>
          <w:rFonts w:ascii="Arial" w:hAnsi="Arial" w:cs="Arial"/>
        </w:rPr>
      </w:pPr>
      <w:r>
        <w:rPr>
          <w:rFonts w:ascii="Arial" w:hAnsi="Arial" w:cs="Arial"/>
        </w:rPr>
        <w:t xml:space="preserve"> </w:t>
      </w:r>
      <w:r>
        <w:rPr>
          <w:rFonts w:ascii="Arial" w:hAnsi="Arial" w:cs="Arial"/>
        </w:rPr>
        <w:tab/>
      </w:r>
      <w:r w:rsidR="0004050E" w:rsidRPr="00851B38">
        <w:rPr>
          <w:rFonts w:ascii="Arial" w:hAnsi="Arial" w:cs="Arial"/>
        </w:rPr>
        <w:t>Por su parte, la municipalidad circ</w:t>
      </w:r>
      <w:r w:rsidR="00AB34C8">
        <w:rPr>
          <w:rFonts w:ascii="Arial" w:hAnsi="Arial" w:cs="Arial"/>
        </w:rPr>
        <w:t>unscribirá su pronunciamiento so</w:t>
      </w:r>
      <w:r w:rsidR="0004050E" w:rsidRPr="00851B38">
        <w:rPr>
          <w:rFonts w:ascii="Arial" w:hAnsi="Arial" w:cs="Arial"/>
        </w:rPr>
        <w:t>lo al impacto y viabilidad logística de llevar a cabo el proyecto en la comuna, debiendo acompañar el respectivo informe del Director de Obras Municipales.</w:t>
      </w:r>
    </w:p>
    <w:p w:rsidR="00CF447E" w:rsidRPr="00851B38" w:rsidRDefault="00CF447E" w:rsidP="00C63923">
      <w:pPr>
        <w:spacing w:line="276" w:lineRule="auto"/>
        <w:ind w:left="-284"/>
        <w:jc w:val="both"/>
        <w:rPr>
          <w:rFonts w:ascii="Arial" w:hAnsi="Arial" w:cs="Arial"/>
        </w:rPr>
      </w:pPr>
    </w:p>
    <w:p w:rsidR="0004050E" w:rsidRDefault="00CF447E" w:rsidP="00C63923">
      <w:pPr>
        <w:spacing w:line="276" w:lineRule="auto"/>
        <w:ind w:left="-284"/>
        <w:jc w:val="both"/>
        <w:rPr>
          <w:rFonts w:ascii="Arial" w:hAnsi="Arial" w:cs="Arial"/>
        </w:rPr>
      </w:pPr>
      <w:r>
        <w:rPr>
          <w:rFonts w:ascii="Arial" w:hAnsi="Arial" w:cs="Arial"/>
        </w:rPr>
        <w:t xml:space="preserve"> </w:t>
      </w:r>
      <w:r>
        <w:rPr>
          <w:rFonts w:ascii="Arial" w:hAnsi="Arial" w:cs="Arial"/>
        </w:rPr>
        <w:tab/>
      </w:r>
      <w:r w:rsidR="0004050E" w:rsidRPr="00851B38">
        <w:rPr>
          <w:rFonts w:ascii="Arial" w:hAnsi="Arial" w:cs="Arial"/>
        </w:rPr>
        <w:t xml:space="preserve">Si los organismos señalados fueren requeridos por la Superintendencia para emitir pronunciamiento simultáneamente respecto de más de una oferta técnica, cada </w:t>
      </w:r>
      <w:r w:rsidR="00657D67" w:rsidRPr="00851B38">
        <w:rPr>
          <w:rFonts w:ascii="Arial" w:hAnsi="Arial" w:cs="Arial"/>
        </w:rPr>
        <w:t>una de ellas</w:t>
      </w:r>
      <w:r w:rsidR="0004050E" w:rsidRPr="00851B38">
        <w:rPr>
          <w:rFonts w:ascii="Arial" w:hAnsi="Arial" w:cs="Arial"/>
        </w:rPr>
        <w:t xml:space="preserve"> deberá evaluarse de manera independiente, sin efectuar una comparación entre ellas.</w:t>
      </w:r>
    </w:p>
    <w:p w:rsidR="00CF447E" w:rsidRPr="00851B38" w:rsidRDefault="00CF447E" w:rsidP="00C63923">
      <w:pPr>
        <w:spacing w:line="276" w:lineRule="auto"/>
        <w:ind w:left="-284"/>
        <w:jc w:val="both"/>
        <w:rPr>
          <w:rFonts w:ascii="Arial" w:hAnsi="Arial" w:cs="Arial"/>
        </w:rPr>
      </w:pPr>
    </w:p>
    <w:p w:rsidR="0004050E" w:rsidRPr="00851B38" w:rsidRDefault="00E8483C" w:rsidP="00C63923">
      <w:pPr>
        <w:spacing w:line="276" w:lineRule="auto"/>
        <w:ind w:left="-284"/>
        <w:jc w:val="both"/>
        <w:rPr>
          <w:rFonts w:ascii="Arial" w:hAnsi="Arial" w:cs="Arial"/>
        </w:rPr>
      </w:pPr>
      <w:r w:rsidRPr="00851B38">
        <w:rPr>
          <w:rFonts w:ascii="Arial" w:hAnsi="Arial" w:cs="Arial"/>
        </w:rPr>
        <w:t>Para los fines previstos en el presente artículo, el Superintendente pondrá a disposición del inte</w:t>
      </w:r>
      <w:r>
        <w:rPr>
          <w:rFonts w:ascii="Arial" w:hAnsi="Arial" w:cs="Arial"/>
        </w:rPr>
        <w:t>ndente y del alcalde respectivo</w:t>
      </w:r>
      <w:r w:rsidRPr="00851B38">
        <w:rPr>
          <w:rFonts w:ascii="Arial" w:hAnsi="Arial" w:cs="Arial"/>
        </w:rPr>
        <w:t>, para conocimiento de los</w:t>
      </w:r>
      <w:r>
        <w:rPr>
          <w:rFonts w:ascii="Arial" w:hAnsi="Arial" w:cs="Arial"/>
        </w:rPr>
        <w:t xml:space="preserve"> organismos correspondientes, so</w:t>
      </w:r>
      <w:r w:rsidRPr="00851B38">
        <w:rPr>
          <w:rFonts w:ascii="Arial" w:hAnsi="Arial" w:cs="Arial"/>
        </w:rPr>
        <w:t>lo aquellos antecedentes indispensables para que dichas instancias regionales y municipales emitan los informes requeridos.</w:t>
      </w:r>
    </w:p>
    <w:p w:rsidR="00CF447E" w:rsidRDefault="00CF447E" w:rsidP="00C63923">
      <w:pPr>
        <w:spacing w:line="276" w:lineRule="auto"/>
        <w:ind w:left="-284"/>
        <w:jc w:val="both"/>
        <w:rPr>
          <w:rFonts w:ascii="Arial" w:hAnsi="Arial" w:cs="Arial"/>
        </w:rPr>
      </w:pPr>
    </w:p>
    <w:p w:rsidR="0004050E" w:rsidRPr="00851B38" w:rsidRDefault="00CF447E" w:rsidP="00C63923">
      <w:pPr>
        <w:spacing w:line="276" w:lineRule="auto"/>
        <w:ind w:left="-284"/>
        <w:jc w:val="both"/>
        <w:rPr>
          <w:rFonts w:ascii="Arial" w:hAnsi="Arial" w:cs="Arial"/>
        </w:rPr>
      </w:pPr>
      <w:r>
        <w:rPr>
          <w:rFonts w:ascii="Arial" w:hAnsi="Arial" w:cs="Arial"/>
        </w:rPr>
        <w:t xml:space="preserve"> </w:t>
      </w:r>
      <w:r>
        <w:rPr>
          <w:rFonts w:ascii="Arial" w:hAnsi="Arial" w:cs="Arial"/>
        </w:rPr>
        <w:tab/>
      </w:r>
      <w:r w:rsidR="0004050E" w:rsidRPr="00851B38">
        <w:rPr>
          <w:rFonts w:ascii="Arial" w:hAnsi="Arial" w:cs="Arial"/>
        </w:rPr>
        <w:t>El pronunciamiento que emita cada uno de los referidos organismos deberá ser comunicado al Superintendente por el intendente y alcalde respectivos, mediante oficio.</w:t>
      </w:r>
    </w:p>
    <w:p w:rsidR="00345ACB" w:rsidRPr="00851B38" w:rsidRDefault="00345ACB" w:rsidP="00C63923">
      <w:pPr>
        <w:spacing w:line="276" w:lineRule="auto"/>
        <w:ind w:left="-284"/>
        <w:jc w:val="both"/>
        <w:rPr>
          <w:rFonts w:ascii="Arial" w:hAnsi="Arial" w:cs="Arial"/>
        </w:rPr>
      </w:pPr>
    </w:p>
    <w:p w:rsidR="0004050E" w:rsidRDefault="00345ACB" w:rsidP="00C63923">
      <w:pPr>
        <w:spacing w:line="276" w:lineRule="auto"/>
        <w:ind w:left="-284"/>
        <w:jc w:val="both"/>
        <w:rPr>
          <w:rFonts w:ascii="Arial" w:hAnsi="Arial" w:cs="Arial"/>
        </w:rPr>
      </w:pPr>
      <w:r w:rsidRPr="00692694">
        <w:rPr>
          <w:rFonts w:ascii="Arial" w:hAnsi="Arial" w:cs="Arial"/>
          <w:b/>
        </w:rPr>
        <w:t>Artículo 28</w:t>
      </w:r>
      <w:r w:rsidR="0004050E" w:rsidRPr="00692694">
        <w:rPr>
          <w:rFonts w:ascii="Arial" w:hAnsi="Arial" w:cs="Arial"/>
          <w:b/>
        </w:rPr>
        <w:t>.-</w:t>
      </w:r>
      <w:r w:rsidR="0004050E" w:rsidRPr="00851B38">
        <w:rPr>
          <w:rFonts w:ascii="Arial" w:hAnsi="Arial" w:cs="Arial"/>
        </w:rPr>
        <w:t xml:space="preserve"> La Superintendencia deberá requerir además del Servicio Nacional de Turismo, un informe técnico sobre la calidad de territorio turísticamente consolidado o de claro potencial turístico que reúna el lugar de emplazamiento del casino </w:t>
      </w:r>
      <w:r w:rsidR="00003932" w:rsidRPr="00851B38">
        <w:rPr>
          <w:rFonts w:ascii="Arial" w:hAnsi="Arial" w:cs="Arial"/>
        </w:rPr>
        <w:t>de juego y las demás obras complementarias</w:t>
      </w:r>
      <w:r w:rsidR="0004050E" w:rsidRPr="00851B38">
        <w:rPr>
          <w:rFonts w:ascii="Arial" w:hAnsi="Arial" w:cs="Arial"/>
        </w:rPr>
        <w:t xml:space="preserve"> cuyo permiso de operación se solicita. Al efecto, el referido Servicio podrá acompañar los estudios y antecedentes que estime pertinentes para mejor fundar el informe requerido.</w:t>
      </w:r>
    </w:p>
    <w:p w:rsidR="00CF447E" w:rsidRPr="00851B38" w:rsidRDefault="00CF447E" w:rsidP="00C63923">
      <w:pPr>
        <w:spacing w:line="276" w:lineRule="auto"/>
        <w:ind w:left="-284"/>
        <w:jc w:val="both"/>
        <w:rPr>
          <w:rFonts w:ascii="Arial" w:hAnsi="Arial" w:cs="Arial"/>
        </w:rPr>
      </w:pPr>
    </w:p>
    <w:p w:rsidR="00FF30E0" w:rsidRDefault="00CF447E" w:rsidP="00C63923">
      <w:pPr>
        <w:spacing w:line="276" w:lineRule="auto"/>
        <w:ind w:left="-284"/>
        <w:jc w:val="both"/>
        <w:rPr>
          <w:rFonts w:ascii="Arial" w:hAnsi="Arial" w:cs="Arial"/>
        </w:rPr>
      </w:pPr>
      <w:r>
        <w:rPr>
          <w:rFonts w:ascii="Arial" w:hAnsi="Arial" w:cs="Arial"/>
        </w:rPr>
        <w:t xml:space="preserve"> </w:t>
      </w:r>
      <w:r>
        <w:rPr>
          <w:rFonts w:ascii="Arial" w:hAnsi="Arial" w:cs="Arial"/>
        </w:rPr>
        <w:tab/>
      </w:r>
      <w:r w:rsidR="0004050E" w:rsidRPr="00851B38">
        <w:rPr>
          <w:rFonts w:ascii="Arial" w:hAnsi="Arial" w:cs="Arial"/>
        </w:rPr>
        <w:t xml:space="preserve">De igual forma, la Superintendencia requerirá del Ministerio del Interior </w:t>
      </w:r>
      <w:r w:rsidR="00F6610E">
        <w:rPr>
          <w:rFonts w:ascii="Arial" w:hAnsi="Arial" w:cs="Arial"/>
        </w:rPr>
        <w:t xml:space="preserve">y Seguridad Pública </w:t>
      </w:r>
      <w:r w:rsidR="0004050E" w:rsidRPr="00851B38">
        <w:rPr>
          <w:rFonts w:ascii="Arial" w:hAnsi="Arial" w:cs="Arial"/>
        </w:rPr>
        <w:t xml:space="preserve">un informe respecto de las consideraciones de seguridad y orden público que reúna el lugar o localidad de emplazamiento del casino de juego y de su entorno inmediato. </w:t>
      </w:r>
    </w:p>
    <w:p w:rsidR="00CF447E" w:rsidRPr="00851B38" w:rsidRDefault="00CF447E" w:rsidP="00C63923">
      <w:pPr>
        <w:spacing w:line="276" w:lineRule="auto"/>
        <w:ind w:left="-284"/>
        <w:jc w:val="both"/>
        <w:rPr>
          <w:rFonts w:ascii="Arial" w:hAnsi="Arial" w:cs="Arial"/>
        </w:rPr>
      </w:pPr>
    </w:p>
    <w:p w:rsidR="0004050E" w:rsidRPr="00851B38" w:rsidRDefault="00CF447E" w:rsidP="00C63923">
      <w:pPr>
        <w:spacing w:line="276" w:lineRule="auto"/>
        <w:ind w:left="-284"/>
        <w:jc w:val="both"/>
        <w:rPr>
          <w:rFonts w:ascii="Arial" w:hAnsi="Arial" w:cs="Arial"/>
        </w:rPr>
      </w:pPr>
      <w:r>
        <w:rPr>
          <w:rFonts w:ascii="Arial" w:hAnsi="Arial" w:cs="Arial"/>
        </w:rPr>
        <w:lastRenderedPageBreak/>
        <w:t xml:space="preserve"> </w:t>
      </w:r>
      <w:r>
        <w:rPr>
          <w:rFonts w:ascii="Arial" w:hAnsi="Arial" w:cs="Arial"/>
        </w:rPr>
        <w:tab/>
      </w:r>
      <w:r w:rsidR="0004050E" w:rsidRPr="00851B38">
        <w:rPr>
          <w:rFonts w:ascii="Arial" w:hAnsi="Arial" w:cs="Arial"/>
        </w:rPr>
        <w:t>Los referidos informes deberán ser evacuados por los organismos antes mencionados, dentro del plazo de diez días hábiles siguientes a la fecha de emisión del oficio que requirió su pronunciamiento.</w:t>
      </w:r>
    </w:p>
    <w:p w:rsidR="00345ACB" w:rsidRPr="00851B38" w:rsidRDefault="00345ACB" w:rsidP="00C63923">
      <w:pPr>
        <w:spacing w:line="276" w:lineRule="auto"/>
        <w:ind w:left="-284"/>
        <w:jc w:val="both"/>
        <w:rPr>
          <w:rFonts w:ascii="Arial" w:hAnsi="Arial" w:cs="Arial"/>
        </w:rPr>
      </w:pPr>
    </w:p>
    <w:p w:rsidR="00345ACB" w:rsidRDefault="00345ACB" w:rsidP="00C63923">
      <w:pPr>
        <w:spacing w:line="276" w:lineRule="auto"/>
        <w:ind w:left="-284"/>
        <w:jc w:val="both"/>
        <w:rPr>
          <w:rFonts w:ascii="Arial" w:hAnsi="Arial" w:cs="Arial"/>
        </w:rPr>
      </w:pPr>
      <w:r w:rsidRPr="00692694">
        <w:rPr>
          <w:rFonts w:ascii="Arial" w:hAnsi="Arial" w:cs="Arial"/>
          <w:b/>
        </w:rPr>
        <w:t>Artículo 29</w:t>
      </w:r>
      <w:r w:rsidR="0004050E" w:rsidRPr="00692694">
        <w:rPr>
          <w:rFonts w:ascii="Arial" w:hAnsi="Arial" w:cs="Arial"/>
          <w:b/>
        </w:rPr>
        <w:t>.-</w:t>
      </w:r>
      <w:r w:rsidR="0004050E" w:rsidRPr="00851B38">
        <w:rPr>
          <w:rFonts w:ascii="Arial" w:hAnsi="Arial" w:cs="Arial"/>
        </w:rPr>
        <w:t xml:space="preserve"> </w:t>
      </w:r>
      <w:r w:rsidRPr="00851B38">
        <w:rPr>
          <w:rFonts w:ascii="Arial" w:hAnsi="Arial" w:cs="Arial"/>
        </w:rPr>
        <w:t>Para los efectos de evaluar las cualidades del proyecto integral</w:t>
      </w:r>
      <w:r w:rsidRPr="00CF447E">
        <w:rPr>
          <w:rFonts w:ascii="Arial" w:hAnsi="Arial" w:cs="Arial"/>
        </w:rPr>
        <w:t xml:space="preserve"> y su plan de operación, según los factores contemplados en la Ley, la Superintendencia considerará, entre otros, los siguientes </w:t>
      </w:r>
      <w:r w:rsidR="009E1921" w:rsidRPr="00CF447E">
        <w:rPr>
          <w:rFonts w:ascii="Arial" w:hAnsi="Arial" w:cs="Arial"/>
        </w:rPr>
        <w:t>subfactores</w:t>
      </w:r>
      <w:r w:rsidRPr="00CF447E">
        <w:rPr>
          <w:rFonts w:ascii="Arial" w:hAnsi="Arial" w:cs="Arial"/>
        </w:rPr>
        <w:t xml:space="preserve"> que en cada caso se señalan:</w:t>
      </w:r>
    </w:p>
    <w:p w:rsidR="00CF447E" w:rsidRPr="00CF447E" w:rsidRDefault="00CF447E" w:rsidP="00C63923">
      <w:pPr>
        <w:spacing w:line="276" w:lineRule="auto"/>
        <w:ind w:left="-284"/>
        <w:jc w:val="both"/>
        <w:rPr>
          <w:rFonts w:ascii="Arial" w:hAnsi="Arial" w:cs="Arial"/>
        </w:rPr>
      </w:pPr>
    </w:p>
    <w:p w:rsidR="00345ACB" w:rsidRDefault="00345ACB" w:rsidP="00C63923">
      <w:pPr>
        <w:spacing w:line="276" w:lineRule="auto"/>
        <w:ind w:left="-284"/>
        <w:jc w:val="both"/>
        <w:rPr>
          <w:rFonts w:ascii="Arial" w:hAnsi="Arial" w:cs="Arial"/>
        </w:rPr>
      </w:pPr>
      <w:r w:rsidRPr="00CF447E">
        <w:rPr>
          <w:rFonts w:ascii="Arial" w:hAnsi="Arial" w:cs="Arial"/>
        </w:rPr>
        <w:t>a) El incremento de la oferta turíst</w:t>
      </w:r>
      <w:r w:rsidR="00692694">
        <w:rPr>
          <w:rFonts w:ascii="Arial" w:hAnsi="Arial" w:cs="Arial"/>
        </w:rPr>
        <w:t>ica de la zona de emplazamiento;</w:t>
      </w:r>
    </w:p>
    <w:p w:rsidR="00CF447E" w:rsidRPr="00CF447E" w:rsidRDefault="00CF447E" w:rsidP="00C63923">
      <w:pPr>
        <w:spacing w:line="276" w:lineRule="auto"/>
        <w:ind w:left="-284"/>
        <w:jc w:val="both"/>
        <w:rPr>
          <w:rFonts w:ascii="Arial" w:hAnsi="Arial" w:cs="Arial"/>
        </w:rPr>
      </w:pPr>
    </w:p>
    <w:p w:rsidR="00CF447E" w:rsidRDefault="00345ACB" w:rsidP="00C63923">
      <w:pPr>
        <w:spacing w:line="276" w:lineRule="auto"/>
        <w:ind w:left="-284"/>
        <w:jc w:val="both"/>
        <w:rPr>
          <w:rFonts w:ascii="Arial" w:hAnsi="Arial" w:cs="Arial"/>
        </w:rPr>
      </w:pPr>
      <w:r w:rsidRPr="00CF447E">
        <w:rPr>
          <w:rFonts w:ascii="Arial" w:hAnsi="Arial" w:cs="Arial"/>
        </w:rPr>
        <w:t xml:space="preserve">b) </w:t>
      </w:r>
      <w:r w:rsidR="00003932" w:rsidRPr="00CF447E">
        <w:rPr>
          <w:rFonts w:ascii="Arial" w:hAnsi="Arial" w:cs="Arial"/>
        </w:rPr>
        <w:t>L</w:t>
      </w:r>
      <w:r w:rsidRPr="00CF447E">
        <w:rPr>
          <w:rFonts w:ascii="Arial" w:hAnsi="Arial" w:cs="Arial"/>
        </w:rPr>
        <w:t>a ubicación, diseño</w:t>
      </w:r>
      <w:r w:rsidR="00692694">
        <w:rPr>
          <w:rFonts w:ascii="Arial" w:hAnsi="Arial" w:cs="Arial"/>
        </w:rPr>
        <w:t xml:space="preserve"> y calidad de las instalaciones;</w:t>
      </w:r>
    </w:p>
    <w:p w:rsidR="00636B98" w:rsidRPr="00CF447E" w:rsidRDefault="00636B98" w:rsidP="00C63923">
      <w:pPr>
        <w:spacing w:line="276" w:lineRule="auto"/>
        <w:ind w:left="-284"/>
        <w:jc w:val="both"/>
        <w:rPr>
          <w:rFonts w:ascii="Arial" w:hAnsi="Arial" w:cs="Arial"/>
        </w:rPr>
      </w:pPr>
    </w:p>
    <w:p w:rsidR="00345ACB" w:rsidRDefault="00345ACB" w:rsidP="00C63923">
      <w:pPr>
        <w:spacing w:line="276" w:lineRule="auto"/>
        <w:ind w:left="-284"/>
        <w:jc w:val="both"/>
        <w:rPr>
          <w:rFonts w:ascii="Arial" w:hAnsi="Arial" w:cs="Arial"/>
        </w:rPr>
      </w:pPr>
      <w:r w:rsidRPr="00CF447E">
        <w:rPr>
          <w:rFonts w:ascii="Arial" w:hAnsi="Arial" w:cs="Arial"/>
        </w:rPr>
        <w:t xml:space="preserve">- </w:t>
      </w:r>
      <w:r w:rsidR="00003932" w:rsidRPr="00CF447E">
        <w:rPr>
          <w:rFonts w:ascii="Arial" w:hAnsi="Arial" w:cs="Arial"/>
        </w:rPr>
        <w:t>Consistencia de la ubicación y diseño de las instalaciones con el plan regulador de l</w:t>
      </w:r>
      <w:r w:rsidR="00692694">
        <w:rPr>
          <w:rFonts w:ascii="Arial" w:hAnsi="Arial" w:cs="Arial"/>
        </w:rPr>
        <w:t>a comuna de emplazamiento;</w:t>
      </w:r>
    </w:p>
    <w:p w:rsidR="00636B98" w:rsidRPr="00CF447E" w:rsidRDefault="00636B98" w:rsidP="00C63923">
      <w:pPr>
        <w:spacing w:line="276" w:lineRule="auto"/>
        <w:ind w:left="-284"/>
        <w:jc w:val="both"/>
        <w:rPr>
          <w:rFonts w:ascii="Arial" w:hAnsi="Arial" w:cs="Arial"/>
        </w:rPr>
      </w:pPr>
    </w:p>
    <w:p w:rsidR="00345ACB" w:rsidRDefault="00345ACB" w:rsidP="00C63923">
      <w:pPr>
        <w:spacing w:line="276" w:lineRule="auto"/>
        <w:ind w:left="-284"/>
        <w:jc w:val="both"/>
        <w:rPr>
          <w:rFonts w:ascii="Arial" w:hAnsi="Arial" w:cs="Arial"/>
        </w:rPr>
      </w:pPr>
      <w:r w:rsidRPr="00CF447E">
        <w:rPr>
          <w:rFonts w:ascii="Arial" w:hAnsi="Arial" w:cs="Arial"/>
        </w:rPr>
        <w:t xml:space="preserve">- </w:t>
      </w:r>
      <w:r w:rsidR="002C3DD1" w:rsidRPr="00CF447E">
        <w:rPr>
          <w:rFonts w:ascii="Arial" w:hAnsi="Arial" w:cs="Arial"/>
        </w:rPr>
        <w:t>Consistencia del diseño, calidad y seguridad de las instala</w:t>
      </w:r>
      <w:r w:rsidR="00692694">
        <w:rPr>
          <w:rFonts w:ascii="Arial" w:hAnsi="Arial" w:cs="Arial"/>
        </w:rPr>
        <w:t>ciones con la normativa vigente;</w:t>
      </w:r>
    </w:p>
    <w:p w:rsidR="00CF447E" w:rsidRPr="00CF447E" w:rsidRDefault="00CF447E" w:rsidP="00C63923">
      <w:pPr>
        <w:spacing w:line="276" w:lineRule="auto"/>
        <w:ind w:left="-284"/>
        <w:jc w:val="both"/>
        <w:rPr>
          <w:rFonts w:ascii="Arial" w:hAnsi="Arial" w:cs="Arial"/>
        </w:rPr>
      </w:pPr>
    </w:p>
    <w:p w:rsidR="00345ACB" w:rsidRDefault="00345ACB" w:rsidP="00C63923">
      <w:pPr>
        <w:spacing w:line="276" w:lineRule="auto"/>
        <w:ind w:left="-284"/>
        <w:jc w:val="both"/>
        <w:rPr>
          <w:rFonts w:ascii="Arial" w:hAnsi="Arial" w:cs="Arial"/>
        </w:rPr>
      </w:pPr>
      <w:r w:rsidRPr="00CF447E">
        <w:rPr>
          <w:rFonts w:ascii="Arial" w:hAnsi="Arial" w:cs="Arial"/>
        </w:rPr>
        <w:t>c) La relación armónica con el entorno:</w:t>
      </w:r>
    </w:p>
    <w:p w:rsidR="00636B98" w:rsidRPr="00CF447E" w:rsidRDefault="00636B98" w:rsidP="00C63923">
      <w:pPr>
        <w:spacing w:line="276" w:lineRule="auto"/>
        <w:ind w:left="-284"/>
        <w:jc w:val="both"/>
        <w:rPr>
          <w:rFonts w:ascii="Arial" w:hAnsi="Arial" w:cs="Arial"/>
        </w:rPr>
      </w:pPr>
    </w:p>
    <w:p w:rsidR="00345ACB" w:rsidRDefault="00345ACB" w:rsidP="00C63923">
      <w:pPr>
        <w:spacing w:line="276" w:lineRule="auto"/>
        <w:ind w:left="-284"/>
        <w:jc w:val="both"/>
        <w:rPr>
          <w:rFonts w:ascii="Arial" w:hAnsi="Arial" w:cs="Arial"/>
        </w:rPr>
      </w:pPr>
      <w:r w:rsidRPr="00CF447E">
        <w:rPr>
          <w:rFonts w:ascii="Arial" w:hAnsi="Arial" w:cs="Arial"/>
        </w:rPr>
        <w:t>- Ubicación</w:t>
      </w:r>
      <w:r w:rsidR="002C3DD1" w:rsidRPr="00CF447E">
        <w:rPr>
          <w:rFonts w:ascii="Arial" w:hAnsi="Arial" w:cs="Arial"/>
        </w:rPr>
        <w:t xml:space="preserve">, diseño y calidad de </w:t>
      </w:r>
      <w:r w:rsidRPr="00CF447E">
        <w:rPr>
          <w:rFonts w:ascii="Arial" w:hAnsi="Arial" w:cs="Arial"/>
        </w:rPr>
        <w:t>las diversas obras e instalaciones del proyecto en relación con las características espaciales</w:t>
      </w:r>
      <w:r w:rsidR="002C3DD1" w:rsidRPr="00CF447E">
        <w:rPr>
          <w:rFonts w:ascii="Arial" w:hAnsi="Arial" w:cs="Arial"/>
        </w:rPr>
        <w:t>, naturales</w:t>
      </w:r>
      <w:r w:rsidRPr="00CF447E">
        <w:rPr>
          <w:rFonts w:ascii="Arial" w:hAnsi="Arial" w:cs="Arial"/>
        </w:rPr>
        <w:t xml:space="preserve"> y</w:t>
      </w:r>
      <w:r w:rsidR="002C3DD1" w:rsidRPr="00CF447E">
        <w:rPr>
          <w:rFonts w:ascii="Arial" w:hAnsi="Arial" w:cs="Arial"/>
        </w:rPr>
        <w:t>/o</w:t>
      </w:r>
      <w:r w:rsidR="00692694">
        <w:rPr>
          <w:rFonts w:ascii="Arial" w:hAnsi="Arial" w:cs="Arial"/>
        </w:rPr>
        <w:t xml:space="preserve"> arquitectónicas del entorno;</w:t>
      </w:r>
      <w:r w:rsidRPr="00CF447E">
        <w:rPr>
          <w:rFonts w:ascii="Arial" w:hAnsi="Arial" w:cs="Arial"/>
        </w:rPr>
        <w:t xml:space="preserve"> </w:t>
      </w:r>
    </w:p>
    <w:p w:rsidR="00CF447E" w:rsidRPr="00CF447E" w:rsidRDefault="00CF447E" w:rsidP="00C63923">
      <w:pPr>
        <w:spacing w:line="276" w:lineRule="auto"/>
        <w:ind w:left="-284"/>
        <w:jc w:val="both"/>
        <w:rPr>
          <w:rFonts w:ascii="Arial" w:hAnsi="Arial" w:cs="Arial"/>
        </w:rPr>
      </w:pPr>
    </w:p>
    <w:p w:rsidR="00345ACB" w:rsidRDefault="00345ACB" w:rsidP="00C63923">
      <w:pPr>
        <w:spacing w:line="276" w:lineRule="auto"/>
        <w:ind w:left="-284"/>
        <w:jc w:val="both"/>
        <w:rPr>
          <w:rFonts w:ascii="Arial" w:hAnsi="Arial" w:cs="Arial"/>
        </w:rPr>
      </w:pPr>
      <w:r w:rsidRPr="00CF447E">
        <w:rPr>
          <w:rFonts w:ascii="Arial" w:hAnsi="Arial" w:cs="Arial"/>
        </w:rPr>
        <w:t>d) La conexión co</w:t>
      </w:r>
      <w:r w:rsidR="00692694">
        <w:rPr>
          <w:rFonts w:ascii="Arial" w:hAnsi="Arial" w:cs="Arial"/>
        </w:rPr>
        <w:t>n los servicios y vías públicas</w:t>
      </w:r>
      <w:r w:rsidR="005B183F">
        <w:rPr>
          <w:rFonts w:ascii="Arial" w:hAnsi="Arial" w:cs="Arial"/>
        </w:rPr>
        <w:t>:</w:t>
      </w:r>
    </w:p>
    <w:p w:rsidR="00636B98" w:rsidRPr="00CF447E" w:rsidRDefault="00636B98" w:rsidP="00C63923">
      <w:pPr>
        <w:spacing w:line="276" w:lineRule="auto"/>
        <w:ind w:left="-284"/>
        <w:jc w:val="both"/>
        <w:rPr>
          <w:rFonts w:ascii="Arial" w:hAnsi="Arial" w:cs="Arial"/>
        </w:rPr>
      </w:pPr>
    </w:p>
    <w:p w:rsidR="00345ACB" w:rsidRDefault="00345ACB" w:rsidP="00C63923">
      <w:pPr>
        <w:spacing w:line="276" w:lineRule="auto"/>
        <w:ind w:left="-284"/>
        <w:jc w:val="both"/>
        <w:rPr>
          <w:rFonts w:ascii="Arial" w:hAnsi="Arial" w:cs="Arial"/>
        </w:rPr>
      </w:pPr>
      <w:r w:rsidRPr="00CF447E">
        <w:rPr>
          <w:rFonts w:ascii="Arial" w:hAnsi="Arial" w:cs="Arial"/>
        </w:rPr>
        <w:t xml:space="preserve">- </w:t>
      </w:r>
      <w:r w:rsidR="002C3DD1" w:rsidRPr="00CF447E">
        <w:rPr>
          <w:rFonts w:ascii="Arial" w:hAnsi="Arial" w:cs="Arial"/>
        </w:rPr>
        <w:t>Cumplimiento de las v</w:t>
      </w:r>
      <w:r w:rsidRPr="00CF447E">
        <w:rPr>
          <w:rFonts w:ascii="Arial" w:hAnsi="Arial" w:cs="Arial"/>
        </w:rPr>
        <w:t xml:space="preserve">ías públicas de acceso al conjunto arquitectónico que comprende el proyecto, con los estándares definidos por el </w:t>
      </w:r>
      <w:r w:rsidR="002232C4" w:rsidRPr="00CF447E">
        <w:rPr>
          <w:rFonts w:ascii="Arial" w:hAnsi="Arial" w:cs="Arial"/>
        </w:rPr>
        <w:t>p</w:t>
      </w:r>
      <w:r w:rsidRPr="00CF447E">
        <w:rPr>
          <w:rFonts w:ascii="Arial" w:hAnsi="Arial" w:cs="Arial"/>
        </w:rPr>
        <w:t xml:space="preserve">lan </w:t>
      </w:r>
      <w:r w:rsidR="002232C4" w:rsidRPr="00CF447E">
        <w:rPr>
          <w:rFonts w:ascii="Arial" w:hAnsi="Arial" w:cs="Arial"/>
        </w:rPr>
        <w:t>r</w:t>
      </w:r>
      <w:r w:rsidRPr="00573439">
        <w:rPr>
          <w:rFonts w:ascii="Arial" w:hAnsi="Arial" w:cs="Arial"/>
        </w:rPr>
        <w:t>egulador vigente (PR)</w:t>
      </w:r>
      <w:r w:rsidR="002232C4" w:rsidRPr="00C465B7">
        <w:rPr>
          <w:rFonts w:ascii="Arial" w:hAnsi="Arial" w:cs="Arial"/>
        </w:rPr>
        <w:t>,</w:t>
      </w:r>
      <w:r w:rsidRPr="00C465B7">
        <w:rPr>
          <w:rFonts w:ascii="Arial" w:hAnsi="Arial" w:cs="Arial"/>
        </w:rPr>
        <w:t xml:space="preserve"> la Ordenanza General de Urbanismo y Construcciones (OGUC)</w:t>
      </w:r>
      <w:r w:rsidR="002232C4" w:rsidRPr="00C465B7">
        <w:rPr>
          <w:rFonts w:ascii="Arial" w:hAnsi="Arial" w:cs="Arial"/>
        </w:rPr>
        <w:t xml:space="preserve"> u otros estándares y/o nor</w:t>
      </w:r>
      <w:r w:rsidR="00692694">
        <w:rPr>
          <w:rFonts w:ascii="Arial" w:hAnsi="Arial" w:cs="Arial"/>
        </w:rPr>
        <w:t>mativas que resulten aplicables;</w:t>
      </w:r>
    </w:p>
    <w:p w:rsidR="00636B98" w:rsidRDefault="00636B98" w:rsidP="00C63923">
      <w:pPr>
        <w:spacing w:line="276" w:lineRule="auto"/>
        <w:ind w:left="-284"/>
        <w:jc w:val="both"/>
        <w:rPr>
          <w:rFonts w:ascii="Arial" w:hAnsi="Arial" w:cs="Arial"/>
        </w:rPr>
      </w:pPr>
    </w:p>
    <w:p w:rsidR="002232C4" w:rsidRDefault="00345ACB" w:rsidP="00C63923">
      <w:pPr>
        <w:spacing w:line="276" w:lineRule="auto"/>
        <w:ind w:left="-284"/>
        <w:jc w:val="both"/>
        <w:rPr>
          <w:rFonts w:ascii="Arial" w:hAnsi="Arial" w:cs="Arial"/>
        </w:rPr>
      </w:pPr>
      <w:r w:rsidRPr="00CF447E">
        <w:rPr>
          <w:rFonts w:ascii="Arial" w:hAnsi="Arial" w:cs="Arial"/>
        </w:rPr>
        <w:t>e) Los efectos económico-sociales que la instalación del establecimiento haya de crear o promover en la zona geográfica de su localización</w:t>
      </w:r>
      <w:r w:rsidR="002232C4" w:rsidRPr="00CF447E">
        <w:rPr>
          <w:rFonts w:ascii="Arial" w:hAnsi="Arial" w:cs="Arial"/>
        </w:rPr>
        <w:t xml:space="preserve">, para lo cual la Superintendencia de </w:t>
      </w:r>
      <w:r w:rsidR="002232C4" w:rsidRPr="00CF447E">
        <w:rPr>
          <w:rFonts w:ascii="Arial" w:hAnsi="Arial" w:cs="Arial"/>
        </w:rPr>
        <w:lastRenderedPageBreak/>
        <w:t xml:space="preserve">Casinos de Juego </w:t>
      </w:r>
      <w:r w:rsidR="003D55F3" w:rsidRPr="00CF447E">
        <w:rPr>
          <w:rFonts w:ascii="Arial" w:hAnsi="Arial" w:cs="Arial"/>
        </w:rPr>
        <w:t>requerirá</w:t>
      </w:r>
      <w:r w:rsidR="002232C4" w:rsidRPr="00CF447E">
        <w:rPr>
          <w:rFonts w:ascii="Arial" w:hAnsi="Arial" w:cs="Arial"/>
        </w:rPr>
        <w:t xml:space="preserve"> información a la Intendencia y Municipalidad respectivas, y demás or</w:t>
      </w:r>
      <w:r w:rsidR="00692694">
        <w:rPr>
          <w:rFonts w:ascii="Arial" w:hAnsi="Arial" w:cs="Arial"/>
        </w:rPr>
        <w:t>ganismos que estime pertinentes; y</w:t>
      </w:r>
    </w:p>
    <w:p w:rsidR="00CF447E" w:rsidRPr="00CF447E" w:rsidRDefault="00CF447E" w:rsidP="00C63923">
      <w:pPr>
        <w:spacing w:line="276" w:lineRule="auto"/>
        <w:ind w:left="-284"/>
        <w:jc w:val="both"/>
        <w:rPr>
          <w:rFonts w:ascii="Arial" w:hAnsi="Arial" w:cs="Arial"/>
        </w:rPr>
      </w:pPr>
    </w:p>
    <w:p w:rsidR="00345ACB" w:rsidRDefault="00345ACB" w:rsidP="00C63923">
      <w:pPr>
        <w:spacing w:line="276" w:lineRule="auto"/>
        <w:ind w:left="-284"/>
        <w:jc w:val="both"/>
        <w:rPr>
          <w:rFonts w:ascii="Arial" w:hAnsi="Arial" w:cs="Arial"/>
        </w:rPr>
      </w:pPr>
      <w:r w:rsidRPr="00CF447E">
        <w:rPr>
          <w:rFonts w:ascii="Arial" w:hAnsi="Arial" w:cs="Arial"/>
        </w:rPr>
        <w:t>f) El monto de la inversión total del proyecto</w:t>
      </w:r>
      <w:r w:rsidR="002232C4" w:rsidRPr="00CF447E">
        <w:rPr>
          <w:rFonts w:ascii="Arial" w:hAnsi="Arial" w:cs="Arial"/>
        </w:rPr>
        <w:t xml:space="preserve"> a ejecutar por el solicitante</w:t>
      </w:r>
      <w:r w:rsidRPr="00CF447E">
        <w:rPr>
          <w:rFonts w:ascii="Arial" w:hAnsi="Arial" w:cs="Arial"/>
        </w:rPr>
        <w:t>:</w:t>
      </w:r>
    </w:p>
    <w:p w:rsidR="00636B98" w:rsidRPr="00CF447E" w:rsidRDefault="00636B98" w:rsidP="00C63923">
      <w:pPr>
        <w:spacing w:line="276" w:lineRule="auto"/>
        <w:ind w:left="-284"/>
        <w:jc w:val="both"/>
        <w:rPr>
          <w:rFonts w:ascii="Arial" w:hAnsi="Arial" w:cs="Arial"/>
        </w:rPr>
      </w:pPr>
    </w:p>
    <w:p w:rsidR="00345ACB" w:rsidRPr="00851B38" w:rsidRDefault="00345ACB" w:rsidP="00C63923">
      <w:pPr>
        <w:spacing w:line="276" w:lineRule="auto"/>
        <w:ind w:left="-284"/>
        <w:jc w:val="both"/>
        <w:rPr>
          <w:rFonts w:ascii="Arial" w:hAnsi="Arial" w:cs="Arial"/>
        </w:rPr>
      </w:pPr>
      <w:r w:rsidRPr="00CF447E">
        <w:rPr>
          <w:rFonts w:ascii="Arial" w:hAnsi="Arial" w:cs="Arial"/>
        </w:rPr>
        <w:t>- Inversión total del proyecto, según contemple el programa de inversiones a desarrollar</w:t>
      </w:r>
      <w:r w:rsidR="00430F0A">
        <w:rPr>
          <w:rFonts w:ascii="Arial" w:hAnsi="Arial" w:cs="Arial"/>
        </w:rPr>
        <w:t>, debiendo considerarse, en caso de ser procedente, los terrenos a valor de avalúo fiscal.</w:t>
      </w:r>
    </w:p>
    <w:p w:rsidR="00DD3EF3" w:rsidRPr="00851B38" w:rsidRDefault="00DD3EF3" w:rsidP="00C63923">
      <w:pPr>
        <w:spacing w:line="276" w:lineRule="auto"/>
        <w:ind w:left="-284"/>
        <w:jc w:val="both"/>
        <w:rPr>
          <w:rFonts w:ascii="Arial" w:hAnsi="Arial" w:cs="Arial"/>
        </w:rPr>
      </w:pPr>
    </w:p>
    <w:p w:rsidR="00426E83" w:rsidRPr="00851B38" w:rsidRDefault="00426E83" w:rsidP="00C63923">
      <w:pPr>
        <w:spacing w:line="276" w:lineRule="auto"/>
        <w:ind w:left="-284"/>
        <w:jc w:val="both"/>
        <w:rPr>
          <w:rFonts w:ascii="Arial" w:hAnsi="Arial" w:cs="Arial"/>
        </w:rPr>
      </w:pPr>
      <w:r w:rsidRPr="00692694">
        <w:rPr>
          <w:rFonts w:ascii="Arial" w:hAnsi="Arial" w:cs="Arial"/>
          <w:b/>
        </w:rPr>
        <w:t>Artículo 30.-</w:t>
      </w:r>
      <w:r w:rsidRPr="00851B38">
        <w:rPr>
          <w:rFonts w:ascii="Arial" w:hAnsi="Arial" w:cs="Arial"/>
        </w:rPr>
        <w:t xml:space="preserve"> Sin perjuicio de lo dispuesto en los artículos anteriores, la Superintendencia podrá requerir los demás informes que estime necesarios y pertinentes de cualquier otro órgano de la Administración del Estado para que, dentro de la esfera de su competencia, emita un pronunciamiento técnico sobre cualquier componente, elemento o antecedente de la oferta técnica, como asimismo respecto de la sociedad proponente y de sus accionistas. Asimismo, la Superintendencia está además facultada para recabar cualquier otro informe, estudio o investigación, de origen público o privado, que estime conveniente para mejor evaluar y resolver la respectiva oferta.</w:t>
      </w:r>
    </w:p>
    <w:p w:rsidR="00426E83" w:rsidRPr="00851B38" w:rsidRDefault="00426E83" w:rsidP="00C63923">
      <w:pPr>
        <w:spacing w:line="276" w:lineRule="auto"/>
        <w:ind w:left="-284"/>
        <w:jc w:val="both"/>
        <w:rPr>
          <w:rFonts w:ascii="Arial" w:hAnsi="Arial" w:cs="Arial"/>
        </w:rPr>
      </w:pPr>
    </w:p>
    <w:p w:rsidR="00C465B7" w:rsidRDefault="00426E83" w:rsidP="00C63923">
      <w:pPr>
        <w:spacing w:line="276" w:lineRule="auto"/>
        <w:ind w:left="-284"/>
        <w:jc w:val="both"/>
        <w:rPr>
          <w:rFonts w:ascii="Arial" w:hAnsi="Arial" w:cs="Arial"/>
        </w:rPr>
      </w:pPr>
      <w:r w:rsidRPr="00692694">
        <w:rPr>
          <w:rFonts w:ascii="Arial" w:hAnsi="Arial" w:cs="Arial"/>
          <w:b/>
        </w:rPr>
        <w:t>Artículo 31.-</w:t>
      </w:r>
      <w:r w:rsidRPr="00851B38">
        <w:rPr>
          <w:rFonts w:ascii="Arial" w:hAnsi="Arial" w:cs="Arial"/>
        </w:rPr>
        <w:t xml:space="preserve"> </w:t>
      </w:r>
      <w:r w:rsidR="002B0639" w:rsidRPr="00851B38">
        <w:rPr>
          <w:rFonts w:ascii="Arial" w:hAnsi="Arial" w:cs="Arial"/>
        </w:rPr>
        <w:t xml:space="preserve">La Superintendencia, una vez dictada la resolución que declara abierto el proceso de otorgamiento o de renovación de permisos de operación, y durante todo el período </w:t>
      </w:r>
      <w:r w:rsidR="009E1921" w:rsidRPr="00851B38">
        <w:rPr>
          <w:rFonts w:ascii="Arial" w:hAnsi="Arial" w:cs="Arial"/>
        </w:rPr>
        <w:t>de evaluación</w:t>
      </w:r>
      <w:r w:rsidR="002B0639" w:rsidRPr="00851B38">
        <w:rPr>
          <w:rFonts w:ascii="Arial" w:hAnsi="Arial" w:cs="Arial"/>
        </w:rPr>
        <w:t>, no podrá tener contactos con</w:t>
      </w:r>
      <w:r w:rsidR="00234DF5" w:rsidRPr="00851B38">
        <w:rPr>
          <w:rFonts w:ascii="Arial" w:hAnsi="Arial" w:cs="Arial"/>
        </w:rPr>
        <w:t xml:space="preserve"> </w:t>
      </w:r>
      <w:r w:rsidR="009E1921" w:rsidRPr="00851B38">
        <w:rPr>
          <w:rFonts w:ascii="Arial" w:hAnsi="Arial" w:cs="Arial"/>
        </w:rPr>
        <w:t>o</w:t>
      </w:r>
      <w:r w:rsidR="002B0639" w:rsidRPr="00851B38">
        <w:rPr>
          <w:rFonts w:ascii="Arial" w:hAnsi="Arial" w:cs="Arial"/>
        </w:rPr>
        <w:t>ferentes,</w:t>
      </w:r>
      <w:r w:rsidR="00234DF5" w:rsidRPr="00851B38">
        <w:rPr>
          <w:rFonts w:ascii="Arial" w:hAnsi="Arial" w:cs="Arial"/>
        </w:rPr>
        <w:t xml:space="preserve"> sean éstos potenciales o que efectivamente hayan presentado ofertas</w:t>
      </w:r>
      <w:r w:rsidR="00C465B7">
        <w:rPr>
          <w:rFonts w:ascii="Arial" w:hAnsi="Arial" w:cs="Arial"/>
        </w:rPr>
        <w:t>, salvo en ejercicio de lo dispuesto en el inciso final del artículo 18 y 21, de la ley N° 19.995 y artículo 12 letra a) y  23 del presente reglamento.</w:t>
      </w:r>
    </w:p>
    <w:p w:rsidR="00426E83" w:rsidRPr="00851B38" w:rsidRDefault="00426E83" w:rsidP="00C63923">
      <w:pPr>
        <w:spacing w:line="276" w:lineRule="auto"/>
        <w:ind w:left="-284"/>
        <w:jc w:val="both"/>
        <w:rPr>
          <w:rFonts w:ascii="Arial" w:hAnsi="Arial" w:cs="Arial"/>
        </w:rPr>
      </w:pPr>
    </w:p>
    <w:p w:rsidR="00426E83" w:rsidRPr="00636B98" w:rsidRDefault="00426E83" w:rsidP="00C63923">
      <w:pPr>
        <w:spacing w:line="276" w:lineRule="auto"/>
        <w:ind w:left="-284"/>
        <w:jc w:val="both"/>
        <w:rPr>
          <w:rFonts w:ascii="Arial" w:hAnsi="Arial" w:cs="Arial"/>
          <w:b/>
        </w:rPr>
      </w:pPr>
      <w:r w:rsidRPr="00636B98">
        <w:rPr>
          <w:rFonts w:ascii="Arial" w:hAnsi="Arial" w:cs="Arial"/>
          <w:b/>
        </w:rPr>
        <w:t>Párrafo 5º</w:t>
      </w:r>
      <w:r w:rsidR="00973AE2" w:rsidRPr="00636B98">
        <w:rPr>
          <w:rFonts w:ascii="Arial" w:hAnsi="Arial" w:cs="Arial"/>
          <w:b/>
        </w:rPr>
        <w:t xml:space="preserve">. </w:t>
      </w:r>
      <w:r w:rsidRPr="00636B98">
        <w:rPr>
          <w:rFonts w:ascii="Arial" w:hAnsi="Arial" w:cs="Arial"/>
          <w:b/>
        </w:rPr>
        <w:t xml:space="preserve"> Pondera</w:t>
      </w:r>
      <w:r w:rsidR="00657D67" w:rsidRPr="00636B98">
        <w:rPr>
          <w:rFonts w:ascii="Arial" w:hAnsi="Arial" w:cs="Arial"/>
          <w:b/>
        </w:rPr>
        <w:t>ción de la oferta</w:t>
      </w:r>
      <w:r w:rsidR="009E1921" w:rsidRPr="00636B98">
        <w:rPr>
          <w:rFonts w:ascii="Arial" w:hAnsi="Arial" w:cs="Arial"/>
          <w:b/>
        </w:rPr>
        <w:t xml:space="preserve"> técnica.</w:t>
      </w:r>
    </w:p>
    <w:p w:rsidR="00426E83" w:rsidRPr="00851B38" w:rsidRDefault="00426E83" w:rsidP="00C63923">
      <w:pPr>
        <w:spacing w:line="276" w:lineRule="auto"/>
        <w:ind w:left="-284"/>
        <w:jc w:val="both"/>
        <w:rPr>
          <w:rFonts w:ascii="Arial" w:hAnsi="Arial" w:cs="Arial"/>
        </w:rPr>
      </w:pPr>
    </w:p>
    <w:p w:rsidR="00426E83" w:rsidRPr="00851B38" w:rsidRDefault="00426E83" w:rsidP="00C63923">
      <w:pPr>
        <w:spacing w:line="276" w:lineRule="auto"/>
        <w:ind w:left="-284"/>
        <w:jc w:val="both"/>
        <w:rPr>
          <w:rFonts w:ascii="Arial" w:hAnsi="Arial" w:cs="Arial"/>
        </w:rPr>
      </w:pPr>
      <w:r w:rsidRPr="00692694">
        <w:rPr>
          <w:rFonts w:ascii="Arial" w:hAnsi="Arial" w:cs="Arial"/>
          <w:b/>
        </w:rPr>
        <w:t>Artículo 32.-</w:t>
      </w:r>
      <w:r w:rsidRPr="00851B38">
        <w:rPr>
          <w:rFonts w:ascii="Arial" w:hAnsi="Arial" w:cs="Arial"/>
        </w:rPr>
        <w:t xml:space="preserve"> Una vez recabados todos los informes, estudios e investigaciones señalados en los artículos precedentes, la Superintendencia procederá a evaluar y pond</w:t>
      </w:r>
      <w:r w:rsidR="00657D67" w:rsidRPr="00851B38">
        <w:rPr>
          <w:rFonts w:ascii="Arial" w:hAnsi="Arial" w:cs="Arial"/>
        </w:rPr>
        <w:t>erar cada una de las ofertas técnicas</w:t>
      </w:r>
      <w:r w:rsidRPr="00851B38">
        <w:rPr>
          <w:rFonts w:ascii="Arial" w:hAnsi="Arial" w:cs="Arial"/>
        </w:rPr>
        <w:t xml:space="preserve"> de acuerdo a las disposiciones de los artículos siguientes</w:t>
      </w:r>
      <w:r w:rsidR="00BC2FB4">
        <w:rPr>
          <w:rFonts w:ascii="Arial" w:hAnsi="Arial" w:cs="Arial"/>
        </w:rPr>
        <w:t xml:space="preserve"> y de acuerdo a la escala de evaluación que defina para cada factor y sub factor en las bases técnicas.</w:t>
      </w:r>
    </w:p>
    <w:p w:rsidR="00426E83" w:rsidRPr="00851B38" w:rsidRDefault="00426E83" w:rsidP="00C63923">
      <w:pPr>
        <w:spacing w:line="276" w:lineRule="auto"/>
        <w:ind w:left="-284"/>
        <w:jc w:val="both"/>
        <w:rPr>
          <w:rFonts w:ascii="Arial" w:hAnsi="Arial" w:cs="Arial"/>
        </w:rPr>
      </w:pPr>
    </w:p>
    <w:p w:rsidR="00915B95" w:rsidRDefault="00426E83" w:rsidP="00C63923">
      <w:pPr>
        <w:spacing w:line="276" w:lineRule="auto"/>
        <w:ind w:left="-284"/>
        <w:jc w:val="both"/>
        <w:rPr>
          <w:rFonts w:ascii="Arial" w:hAnsi="Arial" w:cs="Arial"/>
        </w:rPr>
      </w:pPr>
      <w:r w:rsidRPr="00692694">
        <w:rPr>
          <w:rFonts w:ascii="Arial" w:hAnsi="Arial" w:cs="Arial"/>
          <w:b/>
        </w:rPr>
        <w:t>Artículo 33.-</w:t>
      </w:r>
      <w:r w:rsidRPr="00851B38">
        <w:rPr>
          <w:rFonts w:ascii="Arial" w:hAnsi="Arial" w:cs="Arial"/>
        </w:rPr>
        <w:t xml:space="preserve"> </w:t>
      </w:r>
      <w:r w:rsidR="00915B95" w:rsidRPr="00851B38">
        <w:rPr>
          <w:rFonts w:ascii="Arial" w:hAnsi="Arial" w:cs="Arial"/>
        </w:rPr>
        <w:t>La Superintendencia evaluará cada propuesta, considerando al efecto la ponderación que</w:t>
      </w:r>
      <w:r w:rsidR="00430F0A">
        <w:rPr>
          <w:rFonts w:ascii="Arial" w:hAnsi="Arial" w:cs="Arial"/>
        </w:rPr>
        <w:t>,</w:t>
      </w:r>
      <w:r w:rsidR="00915B95" w:rsidRPr="00851B38">
        <w:rPr>
          <w:rFonts w:ascii="Arial" w:hAnsi="Arial" w:cs="Arial"/>
        </w:rPr>
        <w:t xml:space="preserve"> para cada uno de los criterios y factores</w:t>
      </w:r>
      <w:r w:rsidR="00430F0A">
        <w:rPr>
          <w:rFonts w:ascii="Arial" w:hAnsi="Arial" w:cs="Arial"/>
        </w:rPr>
        <w:t>,</w:t>
      </w:r>
      <w:r w:rsidR="00915B95" w:rsidRPr="00851B38">
        <w:rPr>
          <w:rFonts w:ascii="Arial" w:hAnsi="Arial" w:cs="Arial"/>
        </w:rPr>
        <w:t xml:space="preserve"> a continuación se establece:</w:t>
      </w:r>
    </w:p>
    <w:p w:rsidR="00CF447E" w:rsidRPr="00851B38" w:rsidRDefault="00CF447E" w:rsidP="00C63923">
      <w:pPr>
        <w:spacing w:line="276" w:lineRule="auto"/>
        <w:ind w:left="-284"/>
        <w:jc w:val="both"/>
        <w:rPr>
          <w:rFonts w:ascii="Arial" w:hAnsi="Arial" w:cs="Arial"/>
        </w:rPr>
      </w:pPr>
    </w:p>
    <w:p w:rsidR="00915B95" w:rsidRDefault="00915B95" w:rsidP="00C63923">
      <w:pPr>
        <w:spacing w:line="276" w:lineRule="auto"/>
        <w:ind w:left="-284"/>
        <w:jc w:val="both"/>
        <w:rPr>
          <w:rFonts w:ascii="Arial" w:hAnsi="Arial" w:cs="Arial"/>
        </w:rPr>
      </w:pPr>
      <w:r w:rsidRPr="00851B38">
        <w:rPr>
          <w:rFonts w:ascii="Arial" w:hAnsi="Arial" w:cs="Arial"/>
        </w:rPr>
        <w:t>1.- El informe emitido por la Intendencia regional, respecto de la comuna de emplazamie</w:t>
      </w:r>
      <w:r w:rsidR="000120E0" w:rsidRPr="00851B38">
        <w:rPr>
          <w:rFonts w:ascii="Arial" w:hAnsi="Arial" w:cs="Arial"/>
        </w:rPr>
        <w:t>nto propuesta por el oferente</w:t>
      </w:r>
      <w:r w:rsidRPr="00851B38">
        <w:rPr>
          <w:rFonts w:ascii="Arial" w:hAnsi="Arial" w:cs="Arial"/>
        </w:rPr>
        <w:t>: hasta 100 puntos, ponderados de la siguiente forma:</w:t>
      </w:r>
    </w:p>
    <w:p w:rsidR="00CF447E" w:rsidRPr="00851B38" w:rsidRDefault="00CF447E" w:rsidP="00C63923">
      <w:pPr>
        <w:spacing w:line="276" w:lineRule="auto"/>
        <w:ind w:left="-284"/>
        <w:jc w:val="both"/>
        <w:rPr>
          <w:rFonts w:ascii="Arial" w:hAnsi="Arial" w:cs="Arial"/>
        </w:rPr>
      </w:pPr>
    </w:p>
    <w:p w:rsidR="00915B95" w:rsidRDefault="00915B95" w:rsidP="00C63923">
      <w:pPr>
        <w:spacing w:line="276" w:lineRule="auto"/>
        <w:ind w:left="-284"/>
        <w:jc w:val="both"/>
        <w:rPr>
          <w:rFonts w:ascii="Arial" w:hAnsi="Arial" w:cs="Arial"/>
        </w:rPr>
      </w:pPr>
      <w:r w:rsidRPr="00851B38">
        <w:rPr>
          <w:rFonts w:ascii="Arial" w:hAnsi="Arial" w:cs="Arial"/>
        </w:rPr>
        <w:t>a) Respecto del mérito de la comuna de emplazamiento propu</w:t>
      </w:r>
      <w:r w:rsidR="000120E0" w:rsidRPr="00851B38">
        <w:rPr>
          <w:rFonts w:ascii="Arial" w:hAnsi="Arial" w:cs="Arial"/>
        </w:rPr>
        <w:t>esta por la sociedad postulante</w:t>
      </w:r>
      <w:r w:rsidRPr="00851B38">
        <w:rPr>
          <w:rFonts w:ascii="Arial" w:hAnsi="Arial" w:cs="Arial"/>
        </w:rPr>
        <w:t xml:space="preserve"> para la instalac</w:t>
      </w:r>
      <w:r w:rsidR="000120E0" w:rsidRPr="00851B38">
        <w:rPr>
          <w:rFonts w:ascii="Arial" w:hAnsi="Arial" w:cs="Arial"/>
        </w:rPr>
        <w:t>ión del casino de juego: hasta 7</w:t>
      </w:r>
      <w:r w:rsidRPr="00851B38">
        <w:rPr>
          <w:rFonts w:ascii="Arial" w:hAnsi="Arial" w:cs="Arial"/>
        </w:rPr>
        <w:t>0 puntos;</w:t>
      </w:r>
      <w:r w:rsidR="00692694">
        <w:rPr>
          <w:rFonts w:ascii="Arial" w:hAnsi="Arial" w:cs="Arial"/>
        </w:rPr>
        <w:t xml:space="preserve"> y</w:t>
      </w:r>
    </w:p>
    <w:p w:rsidR="00CF447E" w:rsidRPr="00851B38" w:rsidRDefault="00CF447E" w:rsidP="00C63923">
      <w:pPr>
        <w:spacing w:line="276" w:lineRule="auto"/>
        <w:ind w:left="-284"/>
        <w:jc w:val="both"/>
        <w:rPr>
          <w:rFonts w:ascii="Arial" w:hAnsi="Arial" w:cs="Arial"/>
        </w:rPr>
      </w:pPr>
    </w:p>
    <w:p w:rsidR="00915B95" w:rsidRDefault="00915B95" w:rsidP="00C63923">
      <w:pPr>
        <w:spacing w:line="276" w:lineRule="auto"/>
        <w:ind w:left="-284"/>
        <w:jc w:val="both"/>
        <w:rPr>
          <w:rFonts w:ascii="Arial" w:hAnsi="Arial" w:cs="Arial"/>
        </w:rPr>
      </w:pPr>
      <w:r w:rsidRPr="00851B38">
        <w:rPr>
          <w:rFonts w:ascii="Arial" w:hAnsi="Arial" w:cs="Arial"/>
        </w:rPr>
        <w:t>b) Respecto del impacto de</w:t>
      </w:r>
      <w:r w:rsidR="000120E0" w:rsidRPr="00851B38">
        <w:rPr>
          <w:rFonts w:ascii="Arial" w:hAnsi="Arial" w:cs="Arial"/>
        </w:rPr>
        <w:t>l proyecto</w:t>
      </w:r>
      <w:r w:rsidRPr="00851B38">
        <w:rPr>
          <w:rFonts w:ascii="Arial" w:hAnsi="Arial" w:cs="Arial"/>
        </w:rPr>
        <w:t xml:space="preserve"> en la estrategia</w:t>
      </w:r>
      <w:r w:rsidR="000120E0" w:rsidRPr="00851B38">
        <w:rPr>
          <w:rFonts w:ascii="Arial" w:hAnsi="Arial" w:cs="Arial"/>
        </w:rPr>
        <w:t xml:space="preserve"> de desarrollo regional: hasta 3</w:t>
      </w:r>
      <w:r w:rsidR="00692694">
        <w:rPr>
          <w:rFonts w:ascii="Arial" w:hAnsi="Arial" w:cs="Arial"/>
        </w:rPr>
        <w:t>0 puntos;</w:t>
      </w:r>
      <w:r w:rsidRPr="00851B38">
        <w:rPr>
          <w:rFonts w:ascii="Arial" w:hAnsi="Arial" w:cs="Arial"/>
        </w:rPr>
        <w:t xml:space="preserve"> </w:t>
      </w:r>
    </w:p>
    <w:p w:rsidR="00CF447E" w:rsidRPr="00851B38" w:rsidRDefault="00CF447E" w:rsidP="00C63923">
      <w:pPr>
        <w:spacing w:line="276" w:lineRule="auto"/>
        <w:ind w:left="-284"/>
        <w:jc w:val="both"/>
        <w:rPr>
          <w:rFonts w:ascii="Arial" w:hAnsi="Arial" w:cs="Arial"/>
        </w:rPr>
      </w:pPr>
    </w:p>
    <w:p w:rsidR="00915B95" w:rsidRDefault="00915B95" w:rsidP="00C63923">
      <w:pPr>
        <w:spacing w:line="276" w:lineRule="auto"/>
        <w:ind w:left="-284"/>
        <w:jc w:val="both"/>
        <w:rPr>
          <w:rFonts w:ascii="Arial" w:hAnsi="Arial" w:cs="Arial"/>
        </w:rPr>
      </w:pPr>
      <w:r w:rsidRPr="00851B38">
        <w:rPr>
          <w:rFonts w:ascii="Arial" w:hAnsi="Arial" w:cs="Arial"/>
        </w:rPr>
        <w:t>2.- El informe favorable emitido por la municipalidad respectiva sobre el impacto y viabilidad logística  de llevar a cabo el proyecto en la comuna: hasta 100 puntos</w:t>
      </w:r>
      <w:r w:rsidR="00CF447E">
        <w:rPr>
          <w:rFonts w:ascii="Arial" w:hAnsi="Arial" w:cs="Arial"/>
        </w:rPr>
        <w:t>:</w:t>
      </w:r>
    </w:p>
    <w:p w:rsidR="00CF447E" w:rsidRPr="00851B38" w:rsidRDefault="00CF447E" w:rsidP="00C63923">
      <w:pPr>
        <w:spacing w:line="276" w:lineRule="auto"/>
        <w:ind w:left="-284"/>
        <w:jc w:val="both"/>
        <w:rPr>
          <w:rFonts w:ascii="Arial" w:hAnsi="Arial" w:cs="Arial"/>
        </w:rPr>
      </w:pPr>
    </w:p>
    <w:p w:rsidR="000120E0" w:rsidRDefault="000120E0" w:rsidP="00C63923">
      <w:pPr>
        <w:spacing w:line="276" w:lineRule="auto"/>
        <w:ind w:left="-284"/>
        <w:jc w:val="both"/>
        <w:rPr>
          <w:rFonts w:ascii="Arial" w:hAnsi="Arial" w:cs="Arial"/>
        </w:rPr>
      </w:pPr>
      <w:r w:rsidRPr="00851B38">
        <w:rPr>
          <w:rFonts w:ascii="Arial" w:hAnsi="Arial" w:cs="Arial"/>
        </w:rPr>
        <w:t xml:space="preserve">a) Respecto del impacto: </w:t>
      </w:r>
      <w:r w:rsidR="00BC2FB4">
        <w:rPr>
          <w:rFonts w:ascii="Arial" w:hAnsi="Arial" w:cs="Arial"/>
        </w:rPr>
        <w:t>0 o</w:t>
      </w:r>
      <w:r w:rsidRPr="00851B38">
        <w:rPr>
          <w:rFonts w:ascii="Arial" w:hAnsi="Arial" w:cs="Arial"/>
        </w:rPr>
        <w:t xml:space="preserve"> 50 puntos;</w:t>
      </w:r>
      <w:r w:rsidR="00692694">
        <w:rPr>
          <w:rFonts w:ascii="Arial" w:hAnsi="Arial" w:cs="Arial"/>
        </w:rPr>
        <w:t xml:space="preserve"> y</w:t>
      </w:r>
    </w:p>
    <w:p w:rsidR="00CF447E" w:rsidRPr="00851B38" w:rsidRDefault="00CF447E" w:rsidP="00C63923">
      <w:pPr>
        <w:spacing w:line="276" w:lineRule="auto"/>
        <w:ind w:left="-284"/>
        <w:jc w:val="both"/>
        <w:rPr>
          <w:rFonts w:ascii="Arial" w:hAnsi="Arial" w:cs="Arial"/>
        </w:rPr>
      </w:pPr>
    </w:p>
    <w:p w:rsidR="000120E0" w:rsidRDefault="000120E0" w:rsidP="00C63923">
      <w:pPr>
        <w:spacing w:line="276" w:lineRule="auto"/>
        <w:ind w:left="-284"/>
        <w:jc w:val="both"/>
        <w:rPr>
          <w:rFonts w:ascii="Arial" w:hAnsi="Arial" w:cs="Arial"/>
        </w:rPr>
      </w:pPr>
      <w:r w:rsidRPr="00851B38">
        <w:rPr>
          <w:rFonts w:ascii="Arial" w:hAnsi="Arial" w:cs="Arial"/>
        </w:rPr>
        <w:t>b) Respecto de la factibilidad logístic</w:t>
      </w:r>
      <w:r w:rsidR="00692694">
        <w:rPr>
          <w:rFonts w:ascii="Arial" w:hAnsi="Arial" w:cs="Arial"/>
        </w:rPr>
        <w:t xml:space="preserve">a del proyecto: </w:t>
      </w:r>
      <w:r w:rsidR="00156381">
        <w:rPr>
          <w:rFonts w:ascii="Arial" w:hAnsi="Arial" w:cs="Arial"/>
        </w:rPr>
        <w:t>0 ó</w:t>
      </w:r>
      <w:r w:rsidR="00692694">
        <w:rPr>
          <w:rFonts w:ascii="Arial" w:hAnsi="Arial" w:cs="Arial"/>
        </w:rPr>
        <w:t xml:space="preserve"> 50 puntos;</w:t>
      </w:r>
    </w:p>
    <w:p w:rsidR="00CF447E" w:rsidRPr="00851B38" w:rsidRDefault="00CF447E" w:rsidP="00C63923">
      <w:pPr>
        <w:spacing w:line="276" w:lineRule="auto"/>
        <w:ind w:left="-284"/>
        <w:jc w:val="both"/>
        <w:rPr>
          <w:rFonts w:ascii="Arial" w:hAnsi="Arial" w:cs="Arial"/>
        </w:rPr>
      </w:pPr>
    </w:p>
    <w:p w:rsidR="00915B95" w:rsidRDefault="00915B95" w:rsidP="00C63923">
      <w:pPr>
        <w:spacing w:line="276" w:lineRule="auto"/>
        <w:ind w:left="-284"/>
        <w:jc w:val="both"/>
        <w:rPr>
          <w:rFonts w:ascii="Arial" w:hAnsi="Arial" w:cs="Arial"/>
        </w:rPr>
      </w:pPr>
      <w:r w:rsidRPr="00851B38">
        <w:rPr>
          <w:rFonts w:ascii="Arial" w:hAnsi="Arial" w:cs="Arial"/>
        </w:rPr>
        <w:t xml:space="preserve">3.- El informe del Servicio Nacional de Turismo, respecto de la calidad de territorio turísticamente consolidado o de claro potencial turístico del lugar de emplazamiento del casino de juego cuyo </w:t>
      </w:r>
      <w:r w:rsidR="000120E0" w:rsidRPr="00851B38">
        <w:rPr>
          <w:rFonts w:ascii="Arial" w:hAnsi="Arial" w:cs="Arial"/>
        </w:rPr>
        <w:t>permiso de operación se postula</w:t>
      </w:r>
      <w:r w:rsidRPr="00851B38">
        <w:rPr>
          <w:rFonts w:ascii="Arial" w:hAnsi="Arial" w:cs="Arial"/>
        </w:rPr>
        <w:t>: hasta 100 puntos;</w:t>
      </w:r>
    </w:p>
    <w:p w:rsidR="00CF447E" w:rsidRPr="00851B38" w:rsidRDefault="00CF447E" w:rsidP="00C63923">
      <w:pPr>
        <w:spacing w:line="276" w:lineRule="auto"/>
        <w:ind w:left="-284"/>
        <w:jc w:val="both"/>
        <w:rPr>
          <w:rFonts w:ascii="Arial" w:hAnsi="Arial" w:cs="Arial"/>
        </w:rPr>
      </w:pPr>
    </w:p>
    <w:p w:rsidR="00915B95" w:rsidRDefault="00915B95" w:rsidP="00C63923">
      <w:pPr>
        <w:spacing w:line="276" w:lineRule="auto"/>
        <w:ind w:left="-284"/>
        <w:jc w:val="both"/>
        <w:rPr>
          <w:rFonts w:ascii="Arial" w:hAnsi="Arial" w:cs="Arial"/>
        </w:rPr>
      </w:pPr>
      <w:r w:rsidRPr="00851B38">
        <w:rPr>
          <w:rFonts w:ascii="Arial" w:hAnsi="Arial" w:cs="Arial"/>
        </w:rPr>
        <w:t>4.- El informe emitido por el Ministerio del Interior</w:t>
      </w:r>
      <w:r w:rsidR="00F6610E">
        <w:rPr>
          <w:rFonts w:ascii="Arial" w:hAnsi="Arial" w:cs="Arial"/>
        </w:rPr>
        <w:t xml:space="preserve"> y Seguridad Pública</w:t>
      </w:r>
      <w:r w:rsidRPr="00851B38">
        <w:rPr>
          <w:rFonts w:ascii="Arial" w:hAnsi="Arial" w:cs="Arial"/>
        </w:rPr>
        <w:t>, sobre las consideraciones de seguridad y orden público que reúna el lugar de emplazamiento</w:t>
      </w:r>
      <w:r w:rsidR="000120E0" w:rsidRPr="00851B38">
        <w:rPr>
          <w:rFonts w:ascii="Arial" w:hAnsi="Arial" w:cs="Arial"/>
        </w:rPr>
        <w:t xml:space="preserve"> y su entorno inmediato: hasta 10</w:t>
      </w:r>
      <w:r w:rsidRPr="00851B38">
        <w:rPr>
          <w:rFonts w:ascii="Arial" w:hAnsi="Arial" w:cs="Arial"/>
        </w:rPr>
        <w:t>0 puntos;</w:t>
      </w:r>
    </w:p>
    <w:p w:rsidR="00CF447E" w:rsidRPr="00851B38" w:rsidRDefault="00CF447E" w:rsidP="00C63923">
      <w:pPr>
        <w:spacing w:line="276" w:lineRule="auto"/>
        <w:ind w:left="-284"/>
        <w:jc w:val="both"/>
        <w:rPr>
          <w:rFonts w:ascii="Arial" w:hAnsi="Arial" w:cs="Arial"/>
        </w:rPr>
      </w:pPr>
    </w:p>
    <w:p w:rsidR="00915B95" w:rsidRDefault="00915B95" w:rsidP="00C63923">
      <w:pPr>
        <w:spacing w:line="276" w:lineRule="auto"/>
        <w:ind w:left="-284"/>
        <w:jc w:val="both"/>
        <w:rPr>
          <w:rFonts w:ascii="Arial" w:hAnsi="Arial" w:cs="Arial"/>
        </w:rPr>
      </w:pPr>
      <w:r w:rsidRPr="00851B38">
        <w:rPr>
          <w:rFonts w:ascii="Arial" w:hAnsi="Arial" w:cs="Arial"/>
        </w:rPr>
        <w:t>5.- Las cualidades del proyecto y su plan de operación: hasta 600 puntos, considerando al efecto la siguiente desagregación de factores específicos:</w:t>
      </w:r>
    </w:p>
    <w:p w:rsidR="00CF447E" w:rsidRPr="00851B38" w:rsidRDefault="00CF447E" w:rsidP="00C63923">
      <w:pPr>
        <w:spacing w:line="276" w:lineRule="auto"/>
        <w:ind w:left="-284"/>
        <w:jc w:val="both"/>
        <w:rPr>
          <w:rFonts w:ascii="Arial" w:hAnsi="Arial" w:cs="Arial"/>
        </w:rPr>
      </w:pPr>
    </w:p>
    <w:p w:rsidR="00915B95" w:rsidRDefault="00915B95" w:rsidP="00C63923">
      <w:pPr>
        <w:spacing w:line="276" w:lineRule="auto"/>
        <w:ind w:left="-284"/>
        <w:jc w:val="both"/>
        <w:rPr>
          <w:rFonts w:ascii="Arial" w:hAnsi="Arial" w:cs="Arial"/>
        </w:rPr>
      </w:pPr>
      <w:r w:rsidRPr="00851B38">
        <w:rPr>
          <w:rFonts w:ascii="Arial" w:hAnsi="Arial" w:cs="Arial"/>
        </w:rPr>
        <w:lastRenderedPageBreak/>
        <w:t>a) Incremento de la oferta turística de la zona de emplazamiento: hasta 100 puntos</w:t>
      </w:r>
      <w:r w:rsidR="00692694">
        <w:rPr>
          <w:rFonts w:ascii="Arial" w:hAnsi="Arial" w:cs="Arial"/>
        </w:rPr>
        <w:t xml:space="preserve">; </w:t>
      </w:r>
    </w:p>
    <w:p w:rsidR="00636B98" w:rsidRPr="00851B38" w:rsidRDefault="00636B98" w:rsidP="00C63923">
      <w:pPr>
        <w:spacing w:line="276" w:lineRule="auto"/>
        <w:ind w:left="-284"/>
        <w:jc w:val="both"/>
        <w:rPr>
          <w:rFonts w:ascii="Arial" w:hAnsi="Arial" w:cs="Arial"/>
        </w:rPr>
      </w:pPr>
    </w:p>
    <w:p w:rsidR="00915B95" w:rsidRDefault="00915B95" w:rsidP="00C63923">
      <w:pPr>
        <w:spacing w:line="276" w:lineRule="auto"/>
        <w:ind w:left="-284"/>
        <w:jc w:val="both"/>
        <w:rPr>
          <w:rFonts w:ascii="Arial" w:hAnsi="Arial" w:cs="Arial"/>
        </w:rPr>
      </w:pPr>
      <w:r w:rsidRPr="00851B38">
        <w:rPr>
          <w:rFonts w:ascii="Arial" w:hAnsi="Arial" w:cs="Arial"/>
        </w:rPr>
        <w:t xml:space="preserve">b) La ubicación, diseño y calidad de las </w:t>
      </w:r>
      <w:r w:rsidR="00692694">
        <w:rPr>
          <w:rFonts w:ascii="Arial" w:hAnsi="Arial" w:cs="Arial"/>
        </w:rPr>
        <w:t>instalaciones: hasta 100 puntos;</w:t>
      </w:r>
    </w:p>
    <w:p w:rsidR="00636B98" w:rsidRPr="00851B38" w:rsidRDefault="00636B98" w:rsidP="00C63923">
      <w:pPr>
        <w:spacing w:line="276" w:lineRule="auto"/>
        <w:ind w:left="-284"/>
        <w:jc w:val="both"/>
        <w:rPr>
          <w:rFonts w:ascii="Arial" w:hAnsi="Arial" w:cs="Arial"/>
        </w:rPr>
      </w:pPr>
    </w:p>
    <w:p w:rsidR="00915B95" w:rsidRDefault="00915B95" w:rsidP="00C63923">
      <w:pPr>
        <w:spacing w:line="276" w:lineRule="auto"/>
        <w:ind w:left="-284"/>
        <w:jc w:val="both"/>
        <w:rPr>
          <w:rFonts w:ascii="Arial" w:hAnsi="Arial" w:cs="Arial"/>
        </w:rPr>
      </w:pPr>
      <w:r w:rsidRPr="00851B38">
        <w:rPr>
          <w:rFonts w:ascii="Arial" w:hAnsi="Arial" w:cs="Arial"/>
        </w:rPr>
        <w:t>c) La relación armónica c</w:t>
      </w:r>
      <w:r w:rsidR="00692694">
        <w:rPr>
          <w:rFonts w:ascii="Arial" w:hAnsi="Arial" w:cs="Arial"/>
        </w:rPr>
        <w:t>on el entorno: hasta 100 puntos;</w:t>
      </w:r>
    </w:p>
    <w:p w:rsidR="00636B98" w:rsidRPr="00851B38" w:rsidRDefault="00636B98" w:rsidP="00C63923">
      <w:pPr>
        <w:spacing w:line="276" w:lineRule="auto"/>
        <w:ind w:left="-284"/>
        <w:jc w:val="both"/>
        <w:rPr>
          <w:rFonts w:ascii="Arial" w:hAnsi="Arial" w:cs="Arial"/>
        </w:rPr>
      </w:pPr>
    </w:p>
    <w:p w:rsidR="00915B95" w:rsidRDefault="00915B95" w:rsidP="00C63923">
      <w:pPr>
        <w:spacing w:line="276" w:lineRule="auto"/>
        <w:ind w:left="-284"/>
        <w:jc w:val="both"/>
        <w:rPr>
          <w:rFonts w:ascii="Arial" w:hAnsi="Arial" w:cs="Arial"/>
        </w:rPr>
      </w:pPr>
      <w:r w:rsidRPr="00851B38">
        <w:rPr>
          <w:rFonts w:ascii="Arial" w:hAnsi="Arial" w:cs="Arial"/>
        </w:rPr>
        <w:t xml:space="preserve">d) La conexión con los servicios y </w:t>
      </w:r>
      <w:r w:rsidR="00692694">
        <w:rPr>
          <w:rFonts w:ascii="Arial" w:hAnsi="Arial" w:cs="Arial"/>
        </w:rPr>
        <w:t>vías públicas: hasta 100 puntos;</w:t>
      </w:r>
    </w:p>
    <w:p w:rsidR="00636B98" w:rsidRPr="00851B38" w:rsidRDefault="00636B98" w:rsidP="00C63923">
      <w:pPr>
        <w:spacing w:line="276" w:lineRule="auto"/>
        <w:ind w:left="-284"/>
        <w:jc w:val="both"/>
        <w:rPr>
          <w:rFonts w:ascii="Arial" w:hAnsi="Arial" w:cs="Arial"/>
        </w:rPr>
      </w:pPr>
    </w:p>
    <w:p w:rsidR="00915B95" w:rsidRDefault="00915B95" w:rsidP="00C63923">
      <w:pPr>
        <w:spacing w:line="276" w:lineRule="auto"/>
        <w:ind w:left="-284"/>
        <w:jc w:val="both"/>
        <w:rPr>
          <w:rFonts w:ascii="Arial" w:hAnsi="Arial" w:cs="Arial"/>
        </w:rPr>
      </w:pPr>
      <w:r w:rsidRPr="00851B38">
        <w:rPr>
          <w:rFonts w:ascii="Arial" w:hAnsi="Arial" w:cs="Arial"/>
        </w:rPr>
        <w:t xml:space="preserve">e) Los efectos económico-sociales que la instalación del establecimiento haya de crear o promover en la zona </w:t>
      </w:r>
      <w:r w:rsidRPr="00CF447E">
        <w:rPr>
          <w:rFonts w:ascii="Arial" w:hAnsi="Arial" w:cs="Arial"/>
        </w:rPr>
        <w:t>geográfica de su localización: hasta 100 puntos.</w:t>
      </w:r>
    </w:p>
    <w:p w:rsidR="00430F0A" w:rsidRDefault="00430F0A" w:rsidP="00C63923">
      <w:pPr>
        <w:spacing w:line="276" w:lineRule="auto"/>
        <w:ind w:left="-284"/>
        <w:jc w:val="both"/>
        <w:rPr>
          <w:rFonts w:ascii="Arial" w:hAnsi="Arial" w:cs="Arial"/>
        </w:rPr>
      </w:pPr>
    </w:p>
    <w:p w:rsidR="00430F0A" w:rsidRDefault="00430F0A" w:rsidP="00C63923">
      <w:pPr>
        <w:numPr>
          <w:ilvl w:val="0"/>
          <w:numId w:val="8"/>
        </w:numPr>
        <w:spacing w:line="276" w:lineRule="auto"/>
        <w:ind w:left="-284" w:firstLine="0"/>
        <w:jc w:val="both"/>
        <w:rPr>
          <w:rFonts w:ascii="Arial" w:hAnsi="Arial" w:cs="Arial"/>
        </w:rPr>
      </w:pPr>
      <w:r>
        <w:rPr>
          <w:rFonts w:ascii="Arial" w:hAnsi="Arial" w:cs="Arial"/>
        </w:rPr>
        <w:t>Para la evaluación de este factor se tomarán en consideración lo precisado en los informes entregados  por la municipalidad respectiva, el Ministerio del Interior</w:t>
      </w:r>
      <w:r w:rsidR="00F6610E">
        <w:rPr>
          <w:rFonts w:ascii="Arial" w:hAnsi="Arial" w:cs="Arial"/>
        </w:rPr>
        <w:t xml:space="preserve"> y Seguridad Pública</w:t>
      </w:r>
      <w:r>
        <w:rPr>
          <w:rFonts w:ascii="Arial" w:hAnsi="Arial" w:cs="Arial"/>
        </w:rPr>
        <w:t>, la Intendencia Regional y Servicio Nacional de Turismo, entre otros, que la Supe</w:t>
      </w:r>
      <w:r w:rsidR="00692694">
        <w:rPr>
          <w:rFonts w:ascii="Arial" w:hAnsi="Arial" w:cs="Arial"/>
        </w:rPr>
        <w:t>rintendencia estime conveniente;</w:t>
      </w:r>
      <w:r w:rsidR="00C63923">
        <w:rPr>
          <w:rFonts w:ascii="Arial" w:hAnsi="Arial" w:cs="Arial"/>
        </w:rPr>
        <w:t xml:space="preserve"> y</w:t>
      </w:r>
    </w:p>
    <w:p w:rsidR="00636B98" w:rsidRPr="00CF447E" w:rsidRDefault="00636B98" w:rsidP="00C63923">
      <w:pPr>
        <w:spacing w:line="276" w:lineRule="auto"/>
        <w:ind w:left="-284"/>
        <w:jc w:val="both"/>
        <w:rPr>
          <w:rFonts w:ascii="Arial" w:hAnsi="Arial" w:cs="Arial"/>
        </w:rPr>
      </w:pPr>
    </w:p>
    <w:p w:rsidR="00915B95" w:rsidRDefault="00915B95" w:rsidP="00C63923">
      <w:pPr>
        <w:spacing w:line="276" w:lineRule="auto"/>
        <w:ind w:left="-284"/>
        <w:jc w:val="both"/>
        <w:rPr>
          <w:rFonts w:ascii="Arial" w:hAnsi="Arial" w:cs="Arial"/>
        </w:rPr>
      </w:pPr>
      <w:r w:rsidRPr="00CF447E">
        <w:rPr>
          <w:rFonts w:ascii="Arial" w:hAnsi="Arial" w:cs="Arial"/>
        </w:rPr>
        <w:t xml:space="preserve">f) El monto de la inversión total del proyecto a ejecutar por la </w:t>
      </w:r>
      <w:r w:rsidR="000120E0" w:rsidRPr="00CF447E">
        <w:rPr>
          <w:rFonts w:ascii="Arial" w:hAnsi="Arial" w:cs="Arial"/>
        </w:rPr>
        <w:t>sociedad oferente</w:t>
      </w:r>
      <w:r w:rsidRPr="00CF447E">
        <w:rPr>
          <w:rFonts w:ascii="Arial" w:hAnsi="Arial" w:cs="Arial"/>
        </w:rPr>
        <w:t>: hasta 100 puntos.</w:t>
      </w:r>
    </w:p>
    <w:p w:rsidR="00CF447E" w:rsidRPr="00CF447E" w:rsidRDefault="00CF447E" w:rsidP="00C63923">
      <w:pPr>
        <w:spacing w:line="276" w:lineRule="auto"/>
        <w:ind w:left="-284"/>
        <w:jc w:val="both"/>
        <w:rPr>
          <w:rFonts w:ascii="Arial" w:hAnsi="Arial" w:cs="Arial"/>
        </w:rPr>
      </w:pPr>
    </w:p>
    <w:p w:rsidR="00264FD3" w:rsidRDefault="00264FD3" w:rsidP="00C63923">
      <w:pPr>
        <w:spacing w:line="276" w:lineRule="auto"/>
        <w:ind w:left="-284"/>
        <w:jc w:val="both"/>
        <w:rPr>
          <w:rFonts w:ascii="Arial" w:hAnsi="Arial" w:cs="Arial"/>
        </w:rPr>
      </w:pPr>
      <w:r w:rsidRPr="00851B38">
        <w:rPr>
          <w:rFonts w:ascii="Arial" w:hAnsi="Arial" w:cs="Arial"/>
        </w:rPr>
        <w:t>Se considerará u</w:t>
      </w:r>
      <w:r w:rsidR="00915B95" w:rsidRPr="00851B38">
        <w:rPr>
          <w:rFonts w:ascii="Arial" w:hAnsi="Arial" w:cs="Arial"/>
        </w:rPr>
        <w:t>n</w:t>
      </w:r>
      <w:r w:rsidR="00D33013">
        <w:rPr>
          <w:rFonts w:ascii="Arial" w:hAnsi="Arial" w:cs="Arial"/>
        </w:rPr>
        <w:t xml:space="preserve"> ponderador </w:t>
      </w:r>
      <w:r w:rsidR="00915B95" w:rsidRPr="00851B38">
        <w:rPr>
          <w:rFonts w:ascii="Arial" w:hAnsi="Arial" w:cs="Arial"/>
        </w:rPr>
        <w:t xml:space="preserve"> </w:t>
      </w:r>
      <w:r w:rsidR="000120E0" w:rsidRPr="00851B38">
        <w:rPr>
          <w:rFonts w:ascii="Arial" w:hAnsi="Arial" w:cs="Arial"/>
        </w:rPr>
        <w:t>que tomar</w:t>
      </w:r>
      <w:r w:rsidRPr="00851B38">
        <w:rPr>
          <w:rFonts w:ascii="Arial" w:hAnsi="Arial" w:cs="Arial"/>
        </w:rPr>
        <w:t>á valor 1 si es que copulativamente en</w:t>
      </w:r>
      <w:r w:rsidR="000120E0" w:rsidRPr="00851B38">
        <w:rPr>
          <w:rFonts w:ascii="Arial" w:hAnsi="Arial" w:cs="Arial"/>
        </w:rPr>
        <w:t xml:space="preserve"> los factores a), b), d), e) y f) del numeral 5 del presente artículo se alcanzare el 60% o más del puntaje máximo total obtenible en ese numeral. </w:t>
      </w:r>
      <w:r w:rsidRPr="00851B38">
        <w:rPr>
          <w:rFonts w:ascii="Arial" w:hAnsi="Arial" w:cs="Arial"/>
        </w:rPr>
        <w:t xml:space="preserve">Dicho </w:t>
      </w:r>
      <w:r w:rsidR="000120E0" w:rsidRPr="00851B38">
        <w:rPr>
          <w:rFonts w:ascii="Arial" w:hAnsi="Arial" w:cs="Arial"/>
        </w:rPr>
        <w:t>indicador tomará valor 0 en el caso en que al menos en uno de esos factores se alcanzare un puntaje inferior al 60% del máximo obtenible en ese numeral.</w:t>
      </w:r>
    </w:p>
    <w:p w:rsidR="00CF447E" w:rsidRPr="00851B38" w:rsidRDefault="00CF447E" w:rsidP="00C63923">
      <w:pPr>
        <w:spacing w:line="276" w:lineRule="auto"/>
        <w:ind w:left="-284"/>
        <w:jc w:val="both"/>
        <w:rPr>
          <w:rFonts w:ascii="Arial" w:hAnsi="Arial" w:cs="Arial"/>
        </w:rPr>
      </w:pPr>
    </w:p>
    <w:p w:rsidR="00264FD3" w:rsidRDefault="00264FD3" w:rsidP="00C63923">
      <w:pPr>
        <w:spacing w:line="276" w:lineRule="auto"/>
        <w:ind w:left="-284"/>
        <w:jc w:val="both"/>
        <w:rPr>
          <w:rFonts w:ascii="Arial" w:hAnsi="Arial" w:cs="Arial"/>
        </w:rPr>
      </w:pPr>
      <w:r w:rsidRPr="00851B38">
        <w:rPr>
          <w:rFonts w:ascii="Arial" w:hAnsi="Arial" w:cs="Arial"/>
        </w:rPr>
        <w:t>El puntaje ponderado total del proyecto corresponderá a la suma de los puntajes de los cuatro criterios mencionados en los numerales 1, 2, 3, y 4, más la suma de los puntajes obtenidos en cada uno de los factores mencionados en el numeral 5 del presente artículo, éste último multiplicado por el indicador señalado en el inciso anterior.</w:t>
      </w:r>
    </w:p>
    <w:p w:rsidR="00CF447E" w:rsidRPr="00851B38" w:rsidRDefault="00CF447E" w:rsidP="00C63923">
      <w:pPr>
        <w:spacing w:line="276" w:lineRule="auto"/>
        <w:ind w:left="-284"/>
        <w:jc w:val="both"/>
        <w:rPr>
          <w:rFonts w:ascii="Arial" w:hAnsi="Arial" w:cs="Arial"/>
        </w:rPr>
      </w:pPr>
    </w:p>
    <w:p w:rsidR="000120E0" w:rsidRPr="00851B38" w:rsidRDefault="000120E0" w:rsidP="00C63923">
      <w:pPr>
        <w:spacing w:line="276" w:lineRule="auto"/>
        <w:ind w:left="-284"/>
        <w:jc w:val="both"/>
        <w:rPr>
          <w:rFonts w:ascii="Arial" w:hAnsi="Arial" w:cs="Arial"/>
        </w:rPr>
      </w:pPr>
      <w:r w:rsidRPr="00851B38">
        <w:rPr>
          <w:rFonts w:ascii="Arial" w:hAnsi="Arial" w:cs="Arial"/>
        </w:rPr>
        <w:lastRenderedPageBreak/>
        <w:t>Para los efectos de la evaluación y ponderación de los factores señalados en el presente numeral, la Superintendencia, en ejercicio de sus atribuciones, podrá encomendar estudios e informes de</w:t>
      </w:r>
      <w:r w:rsidR="00264FD3" w:rsidRPr="00851B38">
        <w:rPr>
          <w:rFonts w:ascii="Arial" w:hAnsi="Arial" w:cs="Arial"/>
        </w:rPr>
        <w:t xml:space="preserve"> los</w:t>
      </w:r>
      <w:r w:rsidRPr="00851B38">
        <w:rPr>
          <w:rFonts w:ascii="Arial" w:hAnsi="Arial" w:cs="Arial"/>
        </w:rPr>
        <w:t xml:space="preserve"> organismos </w:t>
      </w:r>
      <w:r w:rsidR="00264FD3" w:rsidRPr="00851B38">
        <w:rPr>
          <w:rFonts w:ascii="Arial" w:hAnsi="Arial" w:cs="Arial"/>
        </w:rPr>
        <w:t>que estime convenientes</w:t>
      </w:r>
      <w:r w:rsidRPr="00851B38">
        <w:rPr>
          <w:rFonts w:ascii="Arial" w:hAnsi="Arial" w:cs="Arial"/>
        </w:rPr>
        <w:t>.</w:t>
      </w:r>
    </w:p>
    <w:p w:rsidR="00426E83" w:rsidRPr="00851B38" w:rsidRDefault="00426E83" w:rsidP="00C63923">
      <w:pPr>
        <w:spacing w:line="276" w:lineRule="auto"/>
        <w:ind w:left="-284"/>
        <w:jc w:val="both"/>
        <w:rPr>
          <w:rFonts w:ascii="Arial" w:hAnsi="Arial" w:cs="Arial"/>
        </w:rPr>
      </w:pPr>
    </w:p>
    <w:p w:rsidR="00915B95" w:rsidRPr="00851B38" w:rsidRDefault="00426E83" w:rsidP="00C63923">
      <w:pPr>
        <w:spacing w:line="276" w:lineRule="auto"/>
        <w:ind w:left="-284"/>
        <w:jc w:val="both"/>
        <w:rPr>
          <w:rFonts w:ascii="Arial" w:hAnsi="Arial" w:cs="Arial"/>
        </w:rPr>
      </w:pPr>
      <w:r w:rsidRPr="005B183F">
        <w:rPr>
          <w:rFonts w:ascii="Arial" w:hAnsi="Arial" w:cs="Arial"/>
          <w:b/>
        </w:rPr>
        <w:t>Artículo 34.-</w:t>
      </w:r>
      <w:r w:rsidRPr="00851B38">
        <w:rPr>
          <w:rFonts w:ascii="Arial" w:hAnsi="Arial" w:cs="Arial"/>
        </w:rPr>
        <w:t xml:space="preserve"> </w:t>
      </w:r>
      <w:r w:rsidR="00915B95" w:rsidRPr="00851B38">
        <w:rPr>
          <w:rFonts w:ascii="Arial" w:hAnsi="Arial" w:cs="Arial"/>
        </w:rPr>
        <w:t>Para los efectos de la evaluación y ponderación de una solicitud de renovación de un permiso de operación vigente, la Superintendencia tendrá en cuenta las siguientes consideraciones</w:t>
      </w:r>
      <w:r w:rsidR="006C5023" w:rsidRPr="00851B38">
        <w:rPr>
          <w:rFonts w:ascii="Arial" w:hAnsi="Arial" w:cs="Arial"/>
        </w:rPr>
        <w:t xml:space="preserve"> en relación con la sociedad operadora</w:t>
      </w:r>
      <w:r w:rsidR="00915B95" w:rsidRPr="00851B38">
        <w:rPr>
          <w:rFonts w:ascii="Arial" w:hAnsi="Arial" w:cs="Arial"/>
        </w:rPr>
        <w:t>:</w:t>
      </w:r>
    </w:p>
    <w:p w:rsidR="00915B95" w:rsidRPr="00851B38" w:rsidRDefault="00915B95" w:rsidP="00C63923">
      <w:pPr>
        <w:spacing w:line="276" w:lineRule="auto"/>
        <w:ind w:left="-284"/>
        <w:jc w:val="both"/>
        <w:rPr>
          <w:rFonts w:ascii="Arial" w:hAnsi="Arial" w:cs="Arial"/>
        </w:rPr>
      </w:pPr>
    </w:p>
    <w:p w:rsidR="006C5023" w:rsidRDefault="00915B95" w:rsidP="00C63923">
      <w:pPr>
        <w:spacing w:line="276" w:lineRule="auto"/>
        <w:ind w:left="-284"/>
        <w:jc w:val="both"/>
        <w:rPr>
          <w:rFonts w:ascii="Arial" w:hAnsi="Arial" w:cs="Arial"/>
        </w:rPr>
      </w:pPr>
      <w:r w:rsidRPr="00851B38">
        <w:rPr>
          <w:rFonts w:ascii="Arial" w:hAnsi="Arial" w:cs="Arial"/>
        </w:rPr>
        <w:t xml:space="preserve">1.- </w:t>
      </w:r>
      <w:r w:rsidR="006C5023" w:rsidRPr="00851B38">
        <w:rPr>
          <w:rFonts w:ascii="Arial" w:hAnsi="Arial" w:cs="Arial"/>
        </w:rPr>
        <w:t>Se entenderá que el proyecto postulado cumple con los criterios establecidos en los numerales 1, 2, 3 y 4, y con los factores de las letras a), b), c), d) y e) del Nº5, del artículo precedente, y en tal virtud podrá acceder al máximo de ponderación que en cada uno de ellos se contempla; a menos que el proyecto considere modificaciones, adecuaciones o nuevas obras que ameriten, a juicio de la Superintendencia, recabar los respectivos informes y antecedentes, y efectuar una nueva evaluación y ponde</w:t>
      </w:r>
      <w:r w:rsidR="00AB34C8">
        <w:rPr>
          <w:rFonts w:ascii="Arial" w:hAnsi="Arial" w:cs="Arial"/>
        </w:rPr>
        <w:t>ración, en todo caso, siempre so</w:t>
      </w:r>
      <w:r w:rsidR="006C5023" w:rsidRPr="00851B38">
        <w:rPr>
          <w:rFonts w:ascii="Arial" w:hAnsi="Arial" w:cs="Arial"/>
        </w:rPr>
        <w:t xml:space="preserve">lo en lo correspondiente a las modificaciones, adecuaciones o nuevas </w:t>
      </w:r>
      <w:r w:rsidR="00C63923">
        <w:rPr>
          <w:rFonts w:ascii="Arial" w:hAnsi="Arial" w:cs="Arial"/>
        </w:rPr>
        <w:t>obras;</w:t>
      </w:r>
    </w:p>
    <w:p w:rsidR="00636B98" w:rsidRPr="00CF447E" w:rsidRDefault="00636B98" w:rsidP="00C63923">
      <w:pPr>
        <w:spacing w:line="276" w:lineRule="auto"/>
        <w:ind w:left="-284"/>
        <w:jc w:val="both"/>
        <w:rPr>
          <w:rFonts w:ascii="Arial" w:hAnsi="Arial" w:cs="Arial"/>
        </w:rPr>
      </w:pPr>
    </w:p>
    <w:p w:rsidR="00915B95" w:rsidRDefault="006C5023" w:rsidP="00C63923">
      <w:pPr>
        <w:spacing w:line="276" w:lineRule="auto"/>
        <w:ind w:left="-284"/>
        <w:jc w:val="both"/>
        <w:rPr>
          <w:rFonts w:ascii="Arial" w:hAnsi="Arial" w:cs="Arial"/>
        </w:rPr>
      </w:pPr>
      <w:r w:rsidRPr="00CF447E">
        <w:rPr>
          <w:rFonts w:ascii="Arial" w:hAnsi="Arial" w:cs="Arial"/>
        </w:rPr>
        <w:t xml:space="preserve">2.- </w:t>
      </w:r>
      <w:r w:rsidR="00915B95" w:rsidRPr="00CF447E">
        <w:rPr>
          <w:rFonts w:ascii="Arial" w:hAnsi="Arial" w:cs="Arial"/>
        </w:rPr>
        <w:t xml:space="preserve">Para los efectos de la evaluación y ponderación del monto de la inversión total del proyecto, de que da cuenta el factor consagrado en la letra f) del Nº 5 del artículo anterior, las obras e instalaciones amparadas por el permiso de operación vigente, </w:t>
      </w:r>
      <w:r w:rsidR="006F2FDC" w:rsidRPr="00CF447E">
        <w:rPr>
          <w:rFonts w:ascii="Arial" w:hAnsi="Arial" w:cs="Arial"/>
        </w:rPr>
        <w:t xml:space="preserve">no </w:t>
      </w:r>
      <w:r w:rsidR="00915B95" w:rsidRPr="00CF447E">
        <w:rPr>
          <w:rFonts w:ascii="Arial" w:hAnsi="Arial" w:cs="Arial"/>
        </w:rPr>
        <w:t xml:space="preserve">se ponderarán </w:t>
      </w:r>
      <w:r w:rsidR="00AB34C8">
        <w:rPr>
          <w:rFonts w:ascii="Arial" w:hAnsi="Arial" w:cs="Arial"/>
        </w:rPr>
        <w:t>sino so</w:t>
      </w:r>
      <w:r w:rsidR="006F2FDC" w:rsidRPr="00CF447E">
        <w:rPr>
          <w:rFonts w:ascii="Arial" w:hAnsi="Arial" w:cs="Arial"/>
        </w:rPr>
        <w:t>lo</w:t>
      </w:r>
      <w:r w:rsidR="00915B95" w:rsidRPr="00CF447E">
        <w:rPr>
          <w:rFonts w:ascii="Arial" w:hAnsi="Arial" w:cs="Arial"/>
        </w:rPr>
        <w:t xml:space="preserve"> la valorización de la inversión que correspondiere a las nuevas obras e instalaciones que comprenda el proyecto, si la solicitu</w:t>
      </w:r>
      <w:r w:rsidR="00C63923">
        <w:rPr>
          <w:rFonts w:ascii="Arial" w:hAnsi="Arial" w:cs="Arial"/>
        </w:rPr>
        <w:t>d de renovación las considerare; y</w:t>
      </w:r>
    </w:p>
    <w:p w:rsidR="00636B98" w:rsidRPr="00CF447E" w:rsidRDefault="00636B98" w:rsidP="00C63923">
      <w:pPr>
        <w:spacing w:line="276" w:lineRule="auto"/>
        <w:ind w:left="-284"/>
        <w:jc w:val="both"/>
        <w:rPr>
          <w:rFonts w:ascii="Arial" w:hAnsi="Arial" w:cs="Arial"/>
        </w:rPr>
      </w:pPr>
    </w:p>
    <w:p w:rsidR="00AB43E9" w:rsidRDefault="00AB43E9" w:rsidP="00C63923">
      <w:pPr>
        <w:spacing w:line="276" w:lineRule="auto"/>
        <w:ind w:left="-284"/>
        <w:jc w:val="both"/>
        <w:rPr>
          <w:rFonts w:ascii="Arial" w:hAnsi="Arial" w:cs="Arial"/>
        </w:rPr>
      </w:pPr>
      <w:r w:rsidRPr="00CF447E">
        <w:rPr>
          <w:rFonts w:ascii="Arial" w:hAnsi="Arial" w:cs="Arial"/>
        </w:rPr>
        <w:t>3</w:t>
      </w:r>
      <w:r w:rsidR="00915B95" w:rsidRPr="00CF447E">
        <w:rPr>
          <w:rFonts w:ascii="Arial" w:hAnsi="Arial" w:cs="Arial"/>
        </w:rPr>
        <w:t xml:space="preserve">.- La evaluación y ponderación del desempeño o ejercicio operacional del casino de juego respectivo, se efectuará teniendo en consideración el informe que al efecto deberá emitir la propia Superintendencia, respecto del período operacional del establecimiento, tan pronto la respectiva sociedad operadora haya </w:t>
      </w:r>
      <w:r w:rsidRPr="00CF447E">
        <w:rPr>
          <w:rFonts w:ascii="Arial" w:hAnsi="Arial" w:cs="Arial"/>
        </w:rPr>
        <w:t>presentado su oferta técnica y económica</w:t>
      </w:r>
      <w:r w:rsidR="00915B95" w:rsidRPr="00CF447E">
        <w:rPr>
          <w:rFonts w:ascii="Arial" w:hAnsi="Arial" w:cs="Arial"/>
        </w:rPr>
        <w:t>. El referido informe tendrá como principal antecedente para su elaboración, el estado anual de desempeño operacio</w:t>
      </w:r>
      <w:r w:rsidRPr="00CF447E">
        <w:rPr>
          <w:rFonts w:ascii="Arial" w:hAnsi="Arial" w:cs="Arial"/>
        </w:rPr>
        <w:t>nal que contempla el artículo 52</w:t>
      </w:r>
      <w:r w:rsidR="00915B95" w:rsidRPr="00CF447E">
        <w:rPr>
          <w:rFonts w:ascii="Arial" w:hAnsi="Arial" w:cs="Arial"/>
        </w:rPr>
        <w:t xml:space="preserve"> del presente reglamento.</w:t>
      </w:r>
      <w:r w:rsidRPr="00CF447E">
        <w:rPr>
          <w:rFonts w:ascii="Arial" w:hAnsi="Arial" w:cs="Arial"/>
        </w:rPr>
        <w:t xml:space="preserve"> El presente factor podrá tener un máximo de 100 puntos</w:t>
      </w:r>
      <w:r w:rsidR="00A26AF6" w:rsidRPr="00CF447E">
        <w:rPr>
          <w:rFonts w:ascii="Arial" w:hAnsi="Arial" w:cs="Arial"/>
        </w:rPr>
        <w:t xml:space="preserve">, y se incorporará para efectos de su ponderación al grupo de factores indicados en el inciso segundo del artículo anterior, debiendo por tanto obtener un puntaje igual o superior al 60% del máximo obtenible para </w:t>
      </w:r>
      <w:r w:rsidR="00156381">
        <w:rPr>
          <w:rFonts w:ascii="Arial" w:hAnsi="Arial" w:cs="Arial"/>
        </w:rPr>
        <w:t xml:space="preserve">que </w:t>
      </w:r>
      <w:r w:rsidR="00156381">
        <w:rPr>
          <w:rFonts w:ascii="Arial" w:hAnsi="Arial" w:cs="Arial"/>
        </w:rPr>
        <w:lastRenderedPageBreak/>
        <w:t>el ponderador señalado en el artículo precedente tome</w:t>
      </w:r>
      <w:r w:rsidR="00A26AF6" w:rsidRPr="00CF447E">
        <w:rPr>
          <w:rFonts w:ascii="Arial" w:hAnsi="Arial" w:cs="Arial"/>
        </w:rPr>
        <w:t xml:space="preserve"> valor 1, de lo contrario obtendrá valor 0</w:t>
      </w:r>
      <w:r w:rsidR="00C63923">
        <w:rPr>
          <w:rFonts w:ascii="Arial" w:hAnsi="Arial" w:cs="Arial"/>
        </w:rPr>
        <w:t>;</w:t>
      </w:r>
    </w:p>
    <w:p w:rsidR="00636B98" w:rsidRPr="00CF447E" w:rsidRDefault="00636B98" w:rsidP="00C63923">
      <w:pPr>
        <w:spacing w:line="276" w:lineRule="auto"/>
        <w:ind w:left="-284"/>
        <w:jc w:val="both"/>
        <w:rPr>
          <w:rFonts w:ascii="Arial" w:hAnsi="Arial" w:cs="Arial"/>
        </w:rPr>
      </w:pPr>
    </w:p>
    <w:p w:rsidR="00426E83" w:rsidRPr="00573439" w:rsidRDefault="00AB43E9" w:rsidP="00C63923">
      <w:pPr>
        <w:spacing w:line="276" w:lineRule="auto"/>
        <w:ind w:left="-284"/>
        <w:jc w:val="both"/>
        <w:rPr>
          <w:rFonts w:ascii="Arial" w:hAnsi="Arial" w:cs="Arial"/>
        </w:rPr>
      </w:pPr>
      <w:r w:rsidRPr="00CF447E">
        <w:rPr>
          <w:rFonts w:ascii="Arial" w:hAnsi="Arial" w:cs="Arial"/>
        </w:rPr>
        <w:t>El puntaje ponderado total para una solicitud de renovación será calculado tal como el señalado en el artículo 33, con la</w:t>
      </w:r>
      <w:r w:rsidR="00A26AF6" w:rsidRPr="00CF447E">
        <w:rPr>
          <w:rFonts w:ascii="Arial" w:hAnsi="Arial" w:cs="Arial"/>
        </w:rPr>
        <w:t>s</w:t>
      </w:r>
      <w:r w:rsidRPr="00CF447E">
        <w:rPr>
          <w:rFonts w:ascii="Arial" w:hAnsi="Arial" w:cs="Arial"/>
        </w:rPr>
        <w:t xml:space="preserve"> salvedad</w:t>
      </w:r>
      <w:r w:rsidR="00A26AF6" w:rsidRPr="00573439">
        <w:rPr>
          <w:rFonts w:ascii="Arial" w:hAnsi="Arial" w:cs="Arial"/>
        </w:rPr>
        <w:t>es in</w:t>
      </w:r>
      <w:r w:rsidR="00C63923">
        <w:rPr>
          <w:rFonts w:ascii="Arial" w:hAnsi="Arial" w:cs="Arial"/>
        </w:rPr>
        <w:t>dicadas en el presente artículo.</w:t>
      </w:r>
      <w:r w:rsidRPr="00573439">
        <w:rPr>
          <w:rFonts w:ascii="Arial" w:hAnsi="Arial" w:cs="Arial"/>
        </w:rPr>
        <w:t xml:space="preserve"> </w:t>
      </w:r>
    </w:p>
    <w:p w:rsidR="00426E83" w:rsidRPr="00C465B7" w:rsidRDefault="00426E83" w:rsidP="00C63923">
      <w:pPr>
        <w:spacing w:line="276" w:lineRule="auto"/>
        <w:ind w:left="-284"/>
        <w:jc w:val="both"/>
        <w:rPr>
          <w:rFonts w:ascii="Arial" w:hAnsi="Arial" w:cs="Arial"/>
        </w:rPr>
      </w:pPr>
    </w:p>
    <w:p w:rsidR="00426E83" w:rsidRPr="00FA5918" w:rsidRDefault="00426E83" w:rsidP="00C63923">
      <w:pPr>
        <w:spacing w:line="276" w:lineRule="auto"/>
        <w:ind w:left="-284"/>
        <w:jc w:val="both"/>
        <w:rPr>
          <w:rFonts w:ascii="Arial" w:hAnsi="Arial" w:cs="Arial"/>
        </w:rPr>
      </w:pPr>
      <w:r w:rsidRPr="005B183F">
        <w:rPr>
          <w:rFonts w:ascii="Arial" w:hAnsi="Arial" w:cs="Arial"/>
          <w:b/>
        </w:rPr>
        <w:t>Artículo 35.-</w:t>
      </w:r>
      <w:r w:rsidRPr="00C465B7">
        <w:rPr>
          <w:rFonts w:ascii="Arial" w:hAnsi="Arial" w:cs="Arial"/>
        </w:rPr>
        <w:t xml:space="preserve"> La Superintendencia evalu</w:t>
      </w:r>
      <w:r w:rsidR="00657D67" w:rsidRPr="00C465B7">
        <w:rPr>
          <w:rFonts w:ascii="Arial" w:hAnsi="Arial" w:cs="Arial"/>
        </w:rPr>
        <w:t>ará separadamente cada propuesta técnica</w:t>
      </w:r>
      <w:r w:rsidRPr="00C465B7">
        <w:rPr>
          <w:rFonts w:ascii="Arial" w:hAnsi="Arial" w:cs="Arial"/>
        </w:rPr>
        <w:t xml:space="preserve">, contrastando los criterios y factores en relación con </w:t>
      </w:r>
      <w:r w:rsidRPr="00D33013">
        <w:rPr>
          <w:rFonts w:ascii="Arial" w:hAnsi="Arial" w:cs="Arial"/>
        </w:rPr>
        <w:t xml:space="preserve">las características y componentes que constituyan el proyecto postulado por la solicitante, y asignará un puntaje por cada criterio y factor, dentro del máximo de ponderación establecido para cada caso en el </w:t>
      </w:r>
      <w:r w:rsidR="00F94BD6" w:rsidRPr="00107347">
        <w:rPr>
          <w:rFonts w:ascii="Arial" w:hAnsi="Arial" w:cs="Arial"/>
        </w:rPr>
        <w:t>presente reglamento</w:t>
      </w:r>
      <w:r w:rsidRPr="00FA5918">
        <w:rPr>
          <w:rFonts w:ascii="Arial" w:hAnsi="Arial" w:cs="Arial"/>
        </w:rPr>
        <w:t>.</w:t>
      </w:r>
    </w:p>
    <w:p w:rsidR="00426E83" w:rsidRPr="00D33013" w:rsidRDefault="00426E83" w:rsidP="00C63923">
      <w:pPr>
        <w:spacing w:line="276" w:lineRule="auto"/>
        <w:ind w:left="-284"/>
        <w:jc w:val="both"/>
        <w:rPr>
          <w:rFonts w:ascii="Arial" w:hAnsi="Arial" w:cs="Arial"/>
        </w:rPr>
      </w:pPr>
    </w:p>
    <w:p w:rsidR="00426E83" w:rsidRPr="00636B98" w:rsidRDefault="00426E83" w:rsidP="00C63923">
      <w:pPr>
        <w:spacing w:line="276" w:lineRule="auto"/>
        <w:ind w:left="-284"/>
        <w:jc w:val="both"/>
        <w:rPr>
          <w:rFonts w:ascii="Arial" w:hAnsi="Arial" w:cs="Arial"/>
          <w:b/>
        </w:rPr>
      </w:pPr>
      <w:r w:rsidRPr="00636B98">
        <w:rPr>
          <w:rFonts w:ascii="Arial" w:hAnsi="Arial" w:cs="Arial"/>
          <w:b/>
        </w:rPr>
        <w:t>Párrafo 6°</w:t>
      </w:r>
      <w:r w:rsidR="00973AE2" w:rsidRPr="00636B98">
        <w:rPr>
          <w:rFonts w:ascii="Arial" w:hAnsi="Arial" w:cs="Arial"/>
          <w:b/>
        </w:rPr>
        <w:t xml:space="preserve">. </w:t>
      </w:r>
      <w:r w:rsidRPr="00636B98">
        <w:rPr>
          <w:rFonts w:ascii="Arial" w:hAnsi="Arial" w:cs="Arial"/>
          <w:b/>
        </w:rPr>
        <w:t xml:space="preserve"> Comité Técnico de Evaluación.</w:t>
      </w:r>
    </w:p>
    <w:p w:rsidR="00426E83" w:rsidRPr="008105E2" w:rsidRDefault="00426E83" w:rsidP="00C63923">
      <w:pPr>
        <w:spacing w:line="276" w:lineRule="auto"/>
        <w:ind w:left="-284"/>
        <w:jc w:val="both"/>
        <w:rPr>
          <w:rFonts w:ascii="Arial" w:hAnsi="Arial" w:cs="Arial"/>
        </w:rPr>
      </w:pPr>
    </w:p>
    <w:p w:rsidR="00426E83" w:rsidRDefault="00426E83" w:rsidP="00C63923">
      <w:pPr>
        <w:spacing w:line="276" w:lineRule="auto"/>
        <w:ind w:left="-284"/>
        <w:jc w:val="both"/>
        <w:rPr>
          <w:rFonts w:ascii="Arial" w:hAnsi="Arial" w:cs="Arial"/>
        </w:rPr>
      </w:pPr>
      <w:r w:rsidRPr="005B183F">
        <w:rPr>
          <w:rFonts w:ascii="Arial" w:hAnsi="Arial" w:cs="Arial"/>
          <w:b/>
        </w:rPr>
        <w:t>Artículo 36.-</w:t>
      </w:r>
      <w:r w:rsidRPr="00973AE2">
        <w:rPr>
          <w:rFonts w:ascii="Arial" w:hAnsi="Arial" w:cs="Arial"/>
        </w:rPr>
        <w:t xml:space="preserve"> Para el cumplimiento de la evaluación y ponderación de las ofertas técnicas, el Superintendente constituirá formalmente al interior de la Superintendencia, un Comité Técnico que efectuará el proceso de evaluación.</w:t>
      </w:r>
    </w:p>
    <w:p w:rsidR="00D33013" w:rsidRPr="00D33013" w:rsidRDefault="00D33013" w:rsidP="00C63923">
      <w:pPr>
        <w:spacing w:line="276" w:lineRule="auto"/>
        <w:ind w:left="-284"/>
        <w:jc w:val="both"/>
        <w:rPr>
          <w:rFonts w:ascii="Arial" w:hAnsi="Arial" w:cs="Arial"/>
        </w:rPr>
      </w:pPr>
    </w:p>
    <w:p w:rsidR="00426E83" w:rsidRDefault="00426E83" w:rsidP="00C63923">
      <w:pPr>
        <w:spacing w:line="276" w:lineRule="auto"/>
        <w:ind w:left="-284"/>
        <w:jc w:val="both"/>
        <w:rPr>
          <w:rFonts w:ascii="Arial" w:hAnsi="Arial" w:cs="Arial"/>
        </w:rPr>
      </w:pPr>
      <w:r w:rsidRPr="00107347">
        <w:rPr>
          <w:rFonts w:ascii="Arial" w:hAnsi="Arial" w:cs="Arial"/>
        </w:rPr>
        <w:t>Dicho comit</w:t>
      </w:r>
      <w:r w:rsidRPr="00FA5918">
        <w:rPr>
          <w:rFonts w:ascii="Arial" w:hAnsi="Arial" w:cs="Arial"/>
        </w:rPr>
        <w:t>é estará integrado por:</w:t>
      </w:r>
    </w:p>
    <w:p w:rsidR="00636B98" w:rsidRPr="00FA5918" w:rsidRDefault="00636B98" w:rsidP="00C63923">
      <w:pPr>
        <w:spacing w:line="276" w:lineRule="auto"/>
        <w:ind w:left="-284"/>
        <w:jc w:val="both"/>
        <w:rPr>
          <w:rFonts w:ascii="Arial" w:hAnsi="Arial" w:cs="Arial"/>
        </w:rPr>
      </w:pPr>
    </w:p>
    <w:p w:rsidR="00636B98" w:rsidRPr="008105E2" w:rsidRDefault="00426E83" w:rsidP="00C63923">
      <w:pPr>
        <w:spacing w:line="276" w:lineRule="auto"/>
        <w:ind w:left="-284"/>
        <w:jc w:val="both"/>
        <w:rPr>
          <w:rFonts w:ascii="Arial" w:hAnsi="Arial" w:cs="Arial"/>
        </w:rPr>
      </w:pPr>
      <w:r w:rsidRPr="008105E2">
        <w:rPr>
          <w:rFonts w:ascii="Arial" w:hAnsi="Arial" w:cs="Arial"/>
        </w:rPr>
        <w:t>a)</w:t>
      </w:r>
      <w:r w:rsidRPr="008105E2">
        <w:rPr>
          <w:rFonts w:ascii="Arial" w:hAnsi="Arial" w:cs="Arial"/>
        </w:rPr>
        <w:tab/>
        <w:t>El Supe</w:t>
      </w:r>
      <w:r w:rsidR="00C63923">
        <w:rPr>
          <w:rFonts w:ascii="Arial" w:hAnsi="Arial" w:cs="Arial"/>
        </w:rPr>
        <w:t>rintendente, quien lo presidirá;</w:t>
      </w:r>
    </w:p>
    <w:p w:rsidR="00636B98" w:rsidRPr="00973AE2" w:rsidRDefault="00426E83" w:rsidP="00C63923">
      <w:pPr>
        <w:spacing w:line="276" w:lineRule="auto"/>
        <w:ind w:left="-284"/>
        <w:jc w:val="both"/>
        <w:rPr>
          <w:rFonts w:ascii="Arial" w:hAnsi="Arial" w:cs="Arial"/>
        </w:rPr>
      </w:pPr>
      <w:r w:rsidRPr="00973AE2">
        <w:rPr>
          <w:rFonts w:ascii="Arial" w:hAnsi="Arial" w:cs="Arial"/>
        </w:rPr>
        <w:t>b)</w:t>
      </w:r>
      <w:r w:rsidRPr="00973AE2">
        <w:rPr>
          <w:rFonts w:ascii="Arial" w:hAnsi="Arial" w:cs="Arial"/>
        </w:rPr>
        <w:tab/>
        <w:t>2 jefes de división</w:t>
      </w:r>
      <w:r w:rsidR="00C63923">
        <w:rPr>
          <w:rFonts w:ascii="Arial" w:hAnsi="Arial" w:cs="Arial"/>
        </w:rPr>
        <w:t xml:space="preserve">; </w:t>
      </w:r>
      <w:r w:rsidR="00636B98">
        <w:rPr>
          <w:rFonts w:ascii="Arial" w:hAnsi="Arial" w:cs="Arial"/>
        </w:rPr>
        <w:t xml:space="preserve"> y</w:t>
      </w:r>
    </w:p>
    <w:p w:rsidR="00426E83" w:rsidRPr="00636B98" w:rsidRDefault="00426E83" w:rsidP="00C63923">
      <w:pPr>
        <w:spacing w:line="276" w:lineRule="auto"/>
        <w:ind w:left="-284"/>
        <w:jc w:val="both"/>
        <w:rPr>
          <w:rFonts w:ascii="Arial" w:hAnsi="Arial" w:cs="Arial"/>
        </w:rPr>
      </w:pPr>
      <w:r w:rsidRPr="00636B98">
        <w:rPr>
          <w:rFonts w:ascii="Arial" w:hAnsi="Arial" w:cs="Arial"/>
        </w:rPr>
        <w:t>c)</w:t>
      </w:r>
      <w:r w:rsidRPr="00636B98">
        <w:rPr>
          <w:rFonts w:ascii="Arial" w:hAnsi="Arial" w:cs="Arial"/>
        </w:rPr>
        <w:tab/>
        <w:t>A lo menos 3 profesionales de planta o a contrata, a quienes se le hayan encargado funciones o cuya formación profesional sea atingente a las labores de evaluación que desempeñarán como integrantes de este comité.</w:t>
      </w:r>
    </w:p>
    <w:p w:rsidR="00426E83" w:rsidRPr="00636B98" w:rsidRDefault="00426E83" w:rsidP="00C63923">
      <w:pPr>
        <w:spacing w:line="276" w:lineRule="auto"/>
        <w:ind w:left="-284"/>
        <w:jc w:val="both"/>
        <w:rPr>
          <w:rFonts w:ascii="Arial" w:hAnsi="Arial" w:cs="Arial"/>
        </w:rPr>
      </w:pPr>
    </w:p>
    <w:p w:rsidR="00426E83" w:rsidRDefault="00657D67" w:rsidP="00C63923">
      <w:pPr>
        <w:spacing w:line="276" w:lineRule="auto"/>
        <w:ind w:left="-284"/>
        <w:jc w:val="both"/>
        <w:rPr>
          <w:rFonts w:ascii="Arial" w:hAnsi="Arial" w:cs="Arial"/>
        </w:rPr>
      </w:pPr>
      <w:r w:rsidRPr="005B183F">
        <w:rPr>
          <w:rFonts w:ascii="Arial" w:hAnsi="Arial" w:cs="Arial"/>
          <w:b/>
        </w:rPr>
        <w:t>Artículo 37.-</w:t>
      </w:r>
      <w:r w:rsidR="00426E83" w:rsidRPr="00636B98">
        <w:rPr>
          <w:rFonts w:ascii="Arial" w:hAnsi="Arial" w:cs="Arial"/>
        </w:rPr>
        <w:t xml:space="preserve"> El Comité, al efectuar la evaluación y ponderación de cada </w:t>
      </w:r>
      <w:r w:rsidR="009C4764" w:rsidRPr="00636B98">
        <w:rPr>
          <w:rFonts w:ascii="Arial" w:hAnsi="Arial" w:cs="Arial"/>
        </w:rPr>
        <w:t>oferta técnica</w:t>
      </w:r>
      <w:r w:rsidR="00426E83" w:rsidRPr="00636B98">
        <w:rPr>
          <w:rFonts w:ascii="Arial" w:hAnsi="Arial" w:cs="Arial"/>
        </w:rPr>
        <w:t>, deberá tener a la vista todos los informes que la Superintendencia ha debido recabar, como asimismo todos aquellos informes o estudios adicionales que aquélla hubiere encomendado sobre los diversos componentes del proyecto postulado en relación con los factores a evaluar y ponderar.</w:t>
      </w:r>
    </w:p>
    <w:p w:rsidR="00CF447E" w:rsidRPr="00CF447E" w:rsidRDefault="00CF447E" w:rsidP="00C63923">
      <w:pPr>
        <w:spacing w:line="276" w:lineRule="auto"/>
        <w:ind w:left="-284"/>
        <w:jc w:val="both"/>
        <w:rPr>
          <w:rFonts w:ascii="Arial" w:hAnsi="Arial" w:cs="Arial"/>
        </w:rPr>
      </w:pPr>
    </w:p>
    <w:p w:rsidR="00426E83" w:rsidRPr="00851B38" w:rsidRDefault="00426E83" w:rsidP="00C63923">
      <w:pPr>
        <w:spacing w:line="276" w:lineRule="auto"/>
        <w:ind w:left="-284"/>
        <w:jc w:val="both"/>
        <w:rPr>
          <w:rFonts w:ascii="Arial" w:hAnsi="Arial" w:cs="Arial"/>
        </w:rPr>
      </w:pPr>
      <w:r w:rsidRPr="00CF447E">
        <w:rPr>
          <w:rFonts w:ascii="Arial" w:hAnsi="Arial" w:cs="Arial"/>
        </w:rPr>
        <w:t>La evaluación y ponderación que efectúe el Comité respect</w:t>
      </w:r>
      <w:r w:rsidR="009C4764" w:rsidRPr="00CF447E">
        <w:rPr>
          <w:rFonts w:ascii="Arial" w:hAnsi="Arial" w:cs="Arial"/>
        </w:rPr>
        <w:t xml:space="preserve">o de </w:t>
      </w:r>
      <w:r w:rsidR="001B4A5A" w:rsidRPr="00CF447E">
        <w:rPr>
          <w:rFonts w:ascii="Arial" w:hAnsi="Arial" w:cs="Arial"/>
        </w:rPr>
        <w:t xml:space="preserve">cada </w:t>
      </w:r>
      <w:r w:rsidR="009C4764" w:rsidRPr="00CF447E">
        <w:rPr>
          <w:rFonts w:ascii="Arial" w:hAnsi="Arial" w:cs="Arial"/>
        </w:rPr>
        <w:t>propuesta</w:t>
      </w:r>
      <w:r w:rsidRPr="00573439">
        <w:rPr>
          <w:rFonts w:ascii="Arial" w:hAnsi="Arial" w:cs="Arial"/>
        </w:rPr>
        <w:t>, se recog</w:t>
      </w:r>
      <w:r w:rsidRPr="00C465B7">
        <w:rPr>
          <w:rFonts w:ascii="Arial" w:hAnsi="Arial" w:cs="Arial"/>
        </w:rPr>
        <w:t xml:space="preserve">erá finalmente en un informe fundado, suscrito por </w:t>
      </w:r>
      <w:r w:rsidR="001B4A5A" w:rsidRPr="00C465B7">
        <w:rPr>
          <w:rFonts w:ascii="Arial" w:hAnsi="Arial" w:cs="Arial"/>
        </w:rPr>
        <w:t>todos sus miembros</w:t>
      </w:r>
      <w:r w:rsidRPr="00C465B7">
        <w:rPr>
          <w:rFonts w:ascii="Arial" w:hAnsi="Arial" w:cs="Arial"/>
        </w:rPr>
        <w:t xml:space="preserve">, el cual </w:t>
      </w:r>
      <w:r w:rsidR="00D33013">
        <w:rPr>
          <w:rFonts w:ascii="Arial" w:hAnsi="Arial" w:cs="Arial"/>
        </w:rPr>
        <w:t xml:space="preserve"> </w:t>
      </w:r>
      <w:r w:rsidR="00657D67" w:rsidRPr="00C465B7">
        <w:rPr>
          <w:rFonts w:ascii="Arial" w:hAnsi="Arial" w:cs="Arial"/>
        </w:rPr>
        <w:t>especificará los acuerdos adoptados, así como la constancia de alguna eventual oposición frente a determinado acuerdo</w:t>
      </w:r>
      <w:r w:rsidR="001B4A5A" w:rsidRPr="00C465B7">
        <w:rPr>
          <w:rFonts w:ascii="Arial" w:hAnsi="Arial" w:cs="Arial"/>
        </w:rPr>
        <w:t>,  las sesiones</w:t>
      </w:r>
      <w:r w:rsidR="00D33013">
        <w:rPr>
          <w:rFonts w:ascii="Arial" w:hAnsi="Arial" w:cs="Arial"/>
        </w:rPr>
        <w:t xml:space="preserve"> celebradas y actividades</w:t>
      </w:r>
      <w:r w:rsidR="001B4A5A" w:rsidRPr="00C465B7">
        <w:rPr>
          <w:rFonts w:ascii="Arial" w:hAnsi="Arial" w:cs="Arial"/>
        </w:rPr>
        <w:t xml:space="preserve"> que hayan tenido lugar con motivo de la </w:t>
      </w:r>
      <w:r w:rsidR="001B4A5A" w:rsidRPr="00D33013">
        <w:rPr>
          <w:rFonts w:ascii="Arial" w:hAnsi="Arial" w:cs="Arial"/>
        </w:rPr>
        <w:t>evaluación</w:t>
      </w:r>
      <w:r w:rsidR="00D33013">
        <w:rPr>
          <w:rFonts w:ascii="Arial" w:hAnsi="Arial" w:cs="Arial"/>
        </w:rPr>
        <w:t>, en su caso de lo señalado en el artículo 31 de este reglamento</w:t>
      </w:r>
      <w:r w:rsidRPr="00D33013">
        <w:rPr>
          <w:rFonts w:ascii="Arial" w:hAnsi="Arial" w:cs="Arial"/>
        </w:rPr>
        <w:t>. Dicho informe será de conocimiento público, para cuyo efecto estará disponible en las oficinas de la Superintendencia</w:t>
      </w:r>
      <w:r w:rsidR="005B12E4" w:rsidRPr="00D33013">
        <w:rPr>
          <w:rFonts w:ascii="Arial" w:hAnsi="Arial" w:cs="Arial"/>
        </w:rPr>
        <w:t xml:space="preserve"> y publicado en el sitio web institucional</w:t>
      </w:r>
      <w:r w:rsidRPr="00D33013">
        <w:rPr>
          <w:rFonts w:ascii="Arial" w:hAnsi="Arial" w:cs="Arial"/>
        </w:rPr>
        <w:t>,</w:t>
      </w:r>
      <w:r w:rsidR="00AB34C8">
        <w:rPr>
          <w:rFonts w:ascii="Arial" w:hAnsi="Arial" w:cs="Arial"/>
        </w:rPr>
        <w:t xml:space="preserve"> pero so</w:t>
      </w:r>
      <w:r w:rsidRPr="00D33013">
        <w:rPr>
          <w:rFonts w:ascii="Arial" w:hAnsi="Arial" w:cs="Arial"/>
        </w:rPr>
        <w:t>lo una vez que se haya resuelto el permiso de operación en los términos establecidos en las disposiciones siguientes</w:t>
      </w:r>
      <w:r w:rsidRPr="00851B38">
        <w:rPr>
          <w:rFonts w:ascii="Arial" w:hAnsi="Arial" w:cs="Arial"/>
        </w:rPr>
        <w:t>.</w:t>
      </w:r>
    </w:p>
    <w:p w:rsidR="001B4A5A" w:rsidRPr="00851B38" w:rsidRDefault="001B4A5A" w:rsidP="00C63923">
      <w:pPr>
        <w:spacing w:line="276" w:lineRule="auto"/>
        <w:ind w:left="-284"/>
        <w:jc w:val="both"/>
        <w:rPr>
          <w:rFonts w:ascii="Arial" w:hAnsi="Arial" w:cs="Arial"/>
        </w:rPr>
      </w:pPr>
    </w:p>
    <w:p w:rsidR="009C4764" w:rsidRPr="00636B98" w:rsidRDefault="009C4764" w:rsidP="00C63923">
      <w:pPr>
        <w:spacing w:line="276" w:lineRule="auto"/>
        <w:ind w:left="-284"/>
        <w:jc w:val="both"/>
        <w:rPr>
          <w:rFonts w:ascii="Arial" w:hAnsi="Arial" w:cs="Arial"/>
          <w:b/>
        </w:rPr>
      </w:pPr>
      <w:r w:rsidRPr="00636B98">
        <w:rPr>
          <w:rFonts w:ascii="Arial" w:hAnsi="Arial" w:cs="Arial"/>
          <w:b/>
        </w:rPr>
        <w:t xml:space="preserve">Párrafo </w:t>
      </w:r>
      <w:r w:rsidR="00DD4B7B" w:rsidRPr="00636B98">
        <w:rPr>
          <w:rFonts w:ascii="Arial" w:hAnsi="Arial" w:cs="Arial"/>
          <w:b/>
        </w:rPr>
        <w:t>7</w:t>
      </w:r>
      <w:r w:rsidRPr="00636B98">
        <w:rPr>
          <w:rFonts w:ascii="Arial" w:hAnsi="Arial" w:cs="Arial"/>
          <w:b/>
        </w:rPr>
        <w:t>º</w:t>
      </w:r>
      <w:r w:rsidR="00973AE2" w:rsidRPr="00636B98">
        <w:rPr>
          <w:rFonts w:ascii="Arial" w:hAnsi="Arial" w:cs="Arial"/>
          <w:b/>
        </w:rPr>
        <w:t xml:space="preserve">. </w:t>
      </w:r>
      <w:r w:rsidRPr="00636B98">
        <w:rPr>
          <w:rFonts w:ascii="Arial" w:hAnsi="Arial" w:cs="Arial"/>
          <w:b/>
        </w:rPr>
        <w:t xml:space="preserve"> Resolución de evaluación y audiencia de apertura de la oferta económica.</w:t>
      </w:r>
    </w:p>
    <w:p w:rsidR="009C4764" w:rsidRPr="00851B38" w:rsidRDefault="009C4764" w:rsidP="00C63923">
      <w:pPr>
        <w:spacing w:line="276" w:lineRule="auto"/>
        <w:ind w:left="-284"/>
        <w:jc w:val="both"/>
        <w:rPr>
          <w:rFonts w:ascii="Arial" w:hAnsi="Arial" w:cs="Arial"/>
        </w:rPr>
      </w:pPr>
    </w:p>
    <w:p w:rsidR="009C4764" w:rsidRPr="00851B38" w:rsidRDefault="009C4764" w:rsidP="00C63923">
      <w:pPr>
        <w:spacing w:line="276" w:lineRule="auto"/>
        <w:ind w:left="-284"/>
        <w:jc w:val="both"/>
        <w:rPr>
          <w:rFonts w:ascii="Arial" w:hAnsi="Arial" w:cs="Arial"/>
        </w:rPr>
      </w:pPr>
      <w:r w:rsidRPr="005B183F">
        <w:rPr>
          <w:rFonts w:ascii="Arial" w:hAnsi="Arial" w:cs="Arial"/>
          <w:b/>
        </w:rPr>
        <w:t>Artículo 38.-</w:t>
      </w:r>
      <w:r w:rsidRPr="00851B38">
        <w:rPr>
          <w:rFonts w:ascii="Arial" w:hAnsi="Arial" w:cs="Arial"/>
        </w:rPr>
        <w:t xml:space="preserve"> Una vez verificado lo dispuesto en el artículo precedente, y dentro del plazo de 120 días siguientes a la audiencia de presentación de ofertas, el Superintendente, acompañando el expediente que se ha constituido al efecto, formulará una proposición </w:t>
      </w:r>
      <w:r w:rsidR="00607D73" w:rsidRPr="00851B38">
        <w:rPr>
          <w:rFonts w:ascii="Arial" w:hAnsi="Arial" w:cs="Arial"/>
        </w:rPr>
        <w:t xml:space="preserve">de evaluación </w:t>
      </w:r>
      <w:r w:rsidRPr="00851B38">
        <w:rPr>
          <w:rFonts w:ascii="Arial" w:hAnsi="Arial" w:cs="Arial"/>
        </w:rPr>
        <w:t>sobre cada una de las respectivas ofertas</w:t>
      </w:r>
      <w:r w:rsidR="00607D73" w:rsidRPr="00851B38">
        <w:rPr>
          <w:rFonts w:ascii="Arial" w:hAnsi="Arial" w:cs="Arial"/>
        </w:rPr>
        <w:t xml:space="preserve"> técnicas</w:t>
      </w:r>
      <w:r w:rsidRPr="00851B38">
        <w:rPr>
          <w:rFonts w:ascii="Arial" w:hAnsi="Arial" w:cs="Arial"/>
        </w:rPr>
        <w:t>, fundada en la evaluación y ponderación de cada uno de los criterios y factores a considerar, proposición que se someterá a conocimiento y decisión del Consejo Resolutivo de la Superintendencia, el que ratificará</w:t>
      </w:r>
      <w:r w:rsidR="00607D73" w:rsidRPr="00851B38">
        <w:rPr>
          <w:rFonts w:ascii="Arial" w:hAnsi="Arial" w:cs="Arial"/>
        </w:rPr>
        <w:t xml:space="preserve"> el puntaje</w:t>
      </w:r>
      <w:r w:rsidRPr="00851B38">
        <w:rPr>
          <w:rFonts w:ascii="Arial" w:hAnsi="Arial" w:cs="Arial"/>
        </w:rPr>
        <w:t>, solicitará la revisión del mismo o pondrá término a  la evaluación, en su caso, en el plazo de cuarenta días contado desde la recepción de los expedientes. De requerirse la revisión de los puntajes, el Superintendente deberá pronunciarse en el plazo máximo de cinco días contado desde el requerimiento.</w:t>
      </w:r>
    </w:p>
    <w:p w:rsidR="009C4764" w:rsidRPr="00851B38" w:rsidRDefault="009C4764" w:rsidP="00C63923">
      <w:pPr>
        <w:spacing w:line="276" w:lineRule="auto"/>
        <w:ind w:left="-284"/>
        <w:jc w:val="both"/>
        <w:rPr>
          <w:rFonts w:ascii="Arial" w:hAnsi="Arial" w:cs="Arial"/>
        </w:rPr>
      </w:pPr>
    </w:p>
    <w:p w:rsidR="009C4764" w:rsidRDefault="009C4764" w:rsidP="00C63923">
      <w:pPr>
        <w:spacing w:line="276" w:lineRule="auto"/>
        <w:ind w:left="-284"/>
        <w:jc w:val="both"/>
        <w:rPr>
          <w:rFonts w:ascii="Arial" w:hAnsi="Arial" w:cs="Arial"/>
        </w:rPr>
      </w:pPr>
      <w:r w:rsidRPr="005B183F">
        <w:rPr>
          <w:rFonts w:ascii="Arial" w:hAnsi="Arial" w:cs="Arial"/>
          <w:b/>
        </w:rPr>
        <w:t>Artículo 39.-</w:t>
      </w:r>
      <w:r w:rsidRPr="00851B38">
        <w:rPr>
          <w:rFonts w:ascii="Arial" w:hAnsi="Arial" w:cs="Arial"/>
        </w:rPr>
        <w:t xml:space="preserve"> Con la ratificación del Consejo Resolutivo a la propuesta de evaluación</w:t>
      </w:r>
      <w:r w:rsidR="00607D73" w:rsidRPr="00851B38">
        <w:rPr>
          <w:rFonts w:ascii="Arial" w:hAnsi="Arial" w:cs="Arial"/>
        </w:rPr>
        <w:t xml:space="preserve"> de las ofertas técnicas</w:t>
      </w:r>
      <w:r w:rsidRPr="00851B38">
        <w:rPr>
          <w:rFonts w:ascii="Arial" w:hAnsi="Arial" w:cs="Arial"/>
        </w:rPr>
        <w:t xml:space="preserve">, el Superintendente dispondrá de 5 días para dictar la resolución de evaluación, la que se pronuncia sobre la misma, indicando los puntajes ponderados finales de cada uno de los postulantes, y citará a la audiencia de apertura de la oferta económica a aquellos postulantes que hubiesen obtenido el puntaje mínimo ponderado. </w:t>
      </w:r>
    </w:p>
    <w:p w:rsidR="00636B98" w:rsidRPr="00851B38" w:rsidRDefault="00636B98" w:rsidP="00C63923">
      <w:pPr>
        <w:spacing w:line="276" w:lineRule="auto"/>
        <w:ind w:left="-284"/>
        <w:jc w:val="both"/>
        <w:rPr>
          <w:rFonts w:ascii="Arial" w:hAnsi="Arial" w:cs="Arial"/>
        </w:rPr>
      </w:pPr>
    </w:p>
    <w:p w:rsidR="009C4764" w:rsidRPr="00851B38" w:rsidRDefault="009C4764" w:rsidP="00C63923">
      <w:pPr>
        <w:spacing w:line="276" w:lineRule="auto"/>
        <w:ind w:left="-284"/>
        <w:jc w:val="both"/>
        <w:rPr>
          <w:rFonts w:ascii="Arial" w:hAnsi="Arial" w:cs="Arial"/>
        </w:rPr>
      </w:pPr>
      <w:r w:rsidRPr="00851B38">
        <w:rPr>
          <w:rFonts w:ascii="Arial" w:hAnsi="Arial" w:cs="Arial"/>
        </w:rPr>
        <w:lastRenderedPageBreak/>
        <w:t>La referida resolución deberá publicarse en extracto en el Diario Oficial</w:t>
      </w:r>
      <w:r w:rsidR="00352F62" w:rsidRPr="00851B38">
        <w:rPr>
          <w:rFonts w:ascii="Arial" w:hAnsi="Arial" w:cs="Arial"/>
        </w:rPr>
        <w:t xml:space="preserve"> dentro</w:t>
      </w:r>
      <w:r w:rsidR="00352F62" w:rsidRPr="00851B38">
        <w:rPr>
          <w:rFonts w:ascii="Arial" w:hAnsi="Arial" w:cs="Arial"/>
          <w:color w:val="FF0000"/>
        </w:rPr>
        <w:t xml:space="preserve"> </w:t>
      </w:r>
      <w:r w:rsidR="00352F62" w:rsidRPr="00851B38">
        <w:rPr>
          <w:rFonts w:ascii="Arial" w:hAnsi="Arial" w:cs="Arial"/>
        </w:rPr>
        <w:t>del plazo de 5 días desde su dictación</w:t>
      </w:r>
      <w:r w:rsidRPr="00851B38">
        <w:rPr>
          <w:rFonts w:ascii="Arial" w:hAnsi="Arial" w:cs="Arial"/>
        </w:rPr>
        <w:t>, sin perjuicio de su notificación a las sociedades postulantes por los medios que establece para tal efecto la ley N° 19.880.</w:t>
      </w:r>
    </w:p>
    <w:p w:rsidR="009C4764" w:rsidRPr="00851B38" w:rsidRDefault="009C4764" w:rsidP="00C63923">
      <w:pPr>
        <w:spacing w:line="276" w:lineRule="auto"/>
        <w:ind w:left="-284"/>
        <w:jc w:val="both"/>
        <w:rPr>
          <w:rFonts w:ascii="Arial" w:hAnsi="Arial" w:cs="Arial"/>
        </w:rPr>
      </w:pPr>
    </w:p>
    <w:p w:rsidR="009C4764" w:rsidRPr="00CF447E" w:rsidRDefault="00744565" w:rsidP="00C63923">
      <w:pPr>
        <w:spacing w:line="276" w:lineRule="auto"/>
        <w:ind w:left="-284"/>
        <w:jc w:val="both"/>
        <w:rPr>
          <w:rFonts w:ascii="Arial" w:hAnsi="Arial" w:cs="Arial"/>
        </w:rPr>
      </w:pPr>
      <w:r w:rsidRPr="005B183F">
        <w:rPr>
          <w:rFonts w:ascii="Arial" w:hAnsi="Arial" w:cs="Arial"/>
          <w:b/>
        </w:rPr>
        <w:t>Artículo 40</w:t>
      </w:r>
      <w:r w:rsidR="009C4764" w:rsidRPr="005B183F">
        <w:rPr>
          <w:rFonts w:ascii="Arial" w:hAnsi="Arial" w:cs="Arial"/>
          <w:b/>
        </w:rPr>
        <w:t>.-</w:t>
      </w:r>
      <w:r w:rsidR="009C4764" w:rsidRPr="00CF447E">
        <w:rPr>
          <w:rFonts w:ascii="Arial" w:hAnsi="Arial" w:cs="Arial"/>
        </w:rPr>
        <w:t xml:space="preserve"> Dentro de los cinco días siguientes a la publicación de la resolución de evaluación</w:t>
      </w:r>
      <w:r w:rsidR="00607D73" w:rsidRPr="00CF447E">
        <w:rPr>
          <w:rFonts w:ascii="Arial" w:hAnsi="Arial" w:cs="Arial"/>
        </w:rPr>
        <w:t xml:space="preserve"> de la oferta técnica</w:t>
      </w:r>
      <w:r w:rsidR="009C4764" w:rsidRPr="00CF447E">
        <w:rPr>
          <w:rFonts w:ascii="Arial" w:hAnsi="Arial" w:cs="Arial"/>
        </w:rPr>
        <w:t>, deberá llevarse a cabo la audiencia pública de apertura de la oferta económica, en la cual un representante del Consejo Resolutivo deberá abrir los sobres que contengan la</w:t>
      </w:r>
      <w:r w:rsidRPr="00CF447E">
        <w:rPr>
          <w:rFonts w:ascii="Arial" w:hAnsi="Arial" w:cs="Arial"/>
        </w:rPr>
        <w:t xml:space="preserve">s ofertas </w:t>
      </w:r>
      <w:r w:rsidR="009C4764" w:rsidRPr="00CF447E">
        <w:rPr>
          <w:rFonts w:ascii="Arial" w:hAnsi="Arial" w:cs="Arial"/>
        </w:rPr>
        <w:t>de aquellos postulantes que hayan superado el puntaje mínimo ponderado establecido en</w:t>
      </w:r>
      <w:r w:rsidR="00D40504" w:rsidRPr="00CF447E">
        <w:rPr>
          <w:rFonts w:ascii="Arial" w:hAnsi="Arial" w:cs="Arial"/>
        </w:rPr>
        <w:t xml:space="preserve"> la ley N° 19.995 y</w:t>
      </w:r>
      <w:r w:rsidR="009C4764" w:rsidRPr="00CF447E">
        <w:rPr>
          <w:rFonts w:ascii="Arial" w:hAnsi="Arial" w:cs="Arial"/>
        </w:rPr>
        <w:t xml:space="preserve"> </w:t>
      </w:r>
      <w:r w:rsidR="00F94BD6" w:rsidRPr="00CF447E">
        <w:rPr>
          <w:rFonts w:ascii="Arial" w:hAnsi="Arial" w:cs="Arial"/>
        </w:rPr>
        <w:t>este reglamento</w:t>
      </w:r>
      <w:r w:rsidR="009C4764" w:rsidRPr="00CF447E">
        <w:rPr>
          <w:rFonts w:ascii="Arial" w:hAnsi="Arial" w:cs="Arial"/>
        </w:rPr>
        <w:t>.</w:t>
      </w:r>
    </w:p>
    <w:p w:rsidR="00744565" w:rsidRPr="00CF447E" w:rsidRDefault="00744565" w:rsidP="00C63923">
      <w:pPr>
        <w:spacing w:line="276" w:lineRule="auto"/>
        <w:ind w:left="-284"/>
        <w:jc w:val="center"/>
        <w:rPr>
          <w:rFonts w:ascii="Arial" w:hAnsi="Arial" w:cs="Arial"/>
        </w:rPr>
      </w:pPr>
    </w:p>
    <w:p w:rsidR="009C4764" w:rsidRPr="00851B38" w:rsidRDefault="00744565" w:rsidP="00C63923">
      <w:pPr>
        <w:spacing w:line="276" w:lineRule="auto"/>
        <w:ind w:left="-284"/>
        <w:jc w:val="both"/>
        <w:rPr>
          <w:rFonts w:ascii="Arial" w:hAnsi="Arial" w:cs="Arial"/>
        </w:rPr>
      </w:pPr>
      <w:r w:rsidRPr="005B183F">
        <w:rPr>
          <w:rFonts w:ascii="Arial" w:hAnsi="Arial" w:cs="Arial"/>
          <w:b/>
        </w:rPr>
        <w:t>Artículo 41</w:t>
      </w:r>
      <w:r w:rsidR="009C4764" w:rsidRPr="005B183F">
        <w:rPr>
          <w:rFonts w:ascii="Arial" w:hAnsi="Arial" w:cs="Arial"/>
          <w:b/>
        </w:rPr>
        <w:t>.-</w:t>
      </w:r>
      <w:r w:rsidR="009C4764" w:rsidRPr="00CF447E">
        <w:rPr>
          <w:rFonts w:ascii="Arial" w:hAnsi="Arial" w:cs="Arial"/>
        </w:rPr>
        <w:t xml:space="preserve"> Para obtener un permiso de operación, se debe alcanzar al menos un 60% </w:t>
      </w:r>
      <w:r w:rsidR="009C4764" w:rsidRPr="00851B38">
        <w:rPr>
          <w:rFonts w:ascii="Arial" w:hAnsi="Arial" w:cs="Arial"/>
        </w:rPr>
        <w:t>de la suma total de los puntajes ponderados establecidos en el reglamento y, a su vez, haber presentado la oferta económica más alta.</w:t>
      </w:r>
      <w:r w:rsidR="00D33013">
        <w:rPr>
          <w:rFonts w:ascii="Arial" w:hAnsi="Arial" w:cs="Arial"/>
        </w:rPr>
        <w:t xml:space="preserve"> Por lo anterior no se procederá a la apertura de las ofertas económicas  de los solicitantes que no hayan alcanzado al  menos un 60% de dichos puntajes.</w:t>
      </w:r>
    </w:p>
    <w:p w:rsidR="00744565" w:rsidRPr="00851B38" w:rsidRDefault="00744565" w:rsidP="00C63923">
      <w:pPr>
        <w:spacing w:line="276" w:lineRule="auto"/>
        <w:ind w:left="-284"/>
        <w:jc w:val="both"/>
        <w:rPr>
          <w:rFonts w:ascii="Arial" w:hAnsi="Arial" w:cs="Arial"/>
        </w:rPr>
      </w:pPr>
    </w:p>
    <w:p w:rsidR="009C4764" w:rsidRDefault="00744565" w:rsidP="00C63923">
      <w:pPr>
        <w:spacing w:line="276" w:lineRule="auto"/>
        <w:ind w:left="-284"/>
        <w:jc w:val="both"/>
        <w:rPr>
          <w:rFonts w:ascii="Arial" w:hAnsi="Arial" w:cs="Arial"/>
        </w:rPr>
      </w:pPr>
      <w:r w:rsidRPr="005B183F">
        <w:rPr>
          <w:rFonts w:ascii="Arial" w:hAnsi="Arial" w:cs="Arial"/>
          <w:b/>
        </w:rPr>
        <w:t>Artículo 42.-</w:t>
      </w:r>
      <w:r w:rsidR="009C4764" w:rsidRPr="00851B38">
        <w:rPr>
          <w:rFonts w:ascii="Arial" w:hAnsi="Arial" w:cs="Arial"/>
        </w:rPr>
        <w:t xml:space="preserve"> En caso de producirse un empate en la oferta económica, se otorgará el permiso de operación a aquél postulante que hubiera obtenido un puntaje ponderado mayor en la etapa de evaluación técnica. En caso de persistir, se otorgará a aquél que haya </w:t>
      </w:r>
      <w:r w:rsidR="00156381">
        <w:rPr>
          <w:rFonts w:ascii="Arial" w:hAnsi="Arial" w:cs="Arial"/>
        </w:rPr>
        <w:t>obtenido mayor puntaje en el factor de la letra f) del numeral 5 del artículo 33 del presente reglamento, relativo al monto de la inversión total para el desarrollo del proyecto</w:t>
      </w:r>
      <w:r w:rsidR="00A26AF6" w:rsidRPr="00851B38">
        <w:rPr>
          <w:rFonts w:ascii="Arial" w:hAnsi="Arial" w:cs="Arial"/>
        </w:rPr>
        <w:t>. Si el empate continúa, resolverá el Consejo Resolutivo</w:t>
      </w:r>
      <w:r w:rsidR="00D4703C" w:rsidRPr="00851B38">
        <w:rPr>
          <w:rFonts w:ascii="Arial" w:hAnsi="Arial" w:cs="Arial"/>
        </w:rPr>
        <w:t xml:space="preserve"> de conformidad con sus atribuciones.</w:t>
      </w:r>
      <w:r w:rsidR="009C4764" w:rsidRPr="00851B38">
        <w:rPr>
          <w:rFonts w:ascii="Arial" w:hAnsi="Arial" w:cs="Arial"/>
        </w:rPr>
        <w:t xml:space="preserve"> </w:t>
      </w:r>
    </w:p>
    <w:p w:rsidR="00CF447E" w:rsidRPr="00851B38" w:rsidRDefault="00CF447E" w:rsidP="00C63923">
      <w:pPr>
        <w:spacing w:line="276" w:lineRule="auto"/>
        <w:ind w:left="-284"/>
        <w:jc w:val="both"/>
        <w:rPr>
          <w:rFonts w:ascii="Arial" w:hAnsi="Arial" w:cs="Arial"/>
        </w:rPr>
      </w:pPr>
    </w:p>
    <w:p w:rsidR="000401AC" w:rsidRPr="00851B38" w:rsidRDefault="00CF447E" w:rsidP="00C63923">
      <w:pPr>
        <w:spacing w:line="276" w:lineRule="auto"/>
        <w:ind w:left="-284"/>
        <w:jc w:val="both"/>
        <w:rPr>
          <w:rFonts w:ascii="Arial" w:hAnsi="Arial" w:cs="Arial"/>
        </w:rPr>
      </w:pPr>
      <w:r>
        <w:rPr>
          <w:rFonts w:ascii="Arial" w:hAnsi="Arial" w:cs="Arial"/>
        </w:rPr>
        <w:t xml:space="preserve"> </w:t>
      </w:r>
      <w:r>
        <w:rPr>
          <w:rFonts w:ascii="Arial" w:hAnsi="Arial" w:cs="Arial"/>
        </w:rPr>
        <w:tab/>
      </w:r>
      <w:r w:rsidR="000401AC" w:rsidRPr="00851B38">
        <w:rPr>
          <w:rFonts w:ascii="Arial" w:hAnsi="Arial" w:cs="Arial"/>
        </w:rPr>
        <w:t xml:space="preserve">Si el empate en la mayor oferta económica se produjere entre 2 ofertas presentadas por la misma sociedad proponente, ésta deberá comunicar al Consejo Resolutivo </w:t>
      </w:r>
      <w:r w:rsidR="00E90733" w:rsidRPr="00851B38">
        <w:rPr>
          <w:rFonts w:ascii="Arial" w:hAnsi="Arial" w:cs="Arial"/>
        </w:rPr>
        <w:t>en el mismo acto</w:t>
      </w:r>
      <w:r w:rsidR="000401AC" w:rsidRPr="00851B38">
        <w:rPr>
          <w:rFonts w:ascii="Arial" w:hAnsi="Arial" w:cs="Arial"/>
        </w:rPr>
        <w:t xml:space="preserve">, su </w:t>
      </w:r>
      <w:r w:rsidR="00E90733" w:rsidRPr="00851B38">
        <w:rPr>
          <w:rFonts w:ascii="Arial" w:hAnsi="Arial" w:cs="Arial"/>
        </w:rPr>
        <w:t>preferencia respecto a cuál proyecto se otorgue</w:t>
      </w:r>
      <w:r w:rsidR="000401AC" w:rsidRPr="00851B38">
        <w:rPr>
          <w:rFonts w:ascii="Arial" w:hAnsi="Arial" w:cs="Arial"/>
        </w:rPr>
        <w:t xml:space="preserve"> el permiso de operación. En caso de no ejercer la sociedad oferente la opción indicada, el Consejo Resolutivo resolverá el empate de conformidad a las reglas establecidas en el inciso anterior.   </w:t>
      </w:r>
    </w:p>
    <w:p w:rsidR="009C4764" w:rsidRPr="00851B38" w:rsidRDefault="009C4764" w:rsidP="00C63923">
      <w:pPr>
        <w:spacing w:line="276" w:lineRule="auto"/>
        <w:ind w:left="-284"/>
        <w:jc w:val="both"/>
        <w:rPr>
          <w:rFonts w:ascii="Arial" w:hAnsi="Arial" w:cs="Arial"/>
        </w:rPr>
      </w:pPr>
    </w:p>
    <w:p w:rsidR="009C4764" w:rsidRDefault="00744565" w:rsidP="00C63923">
      <w:pPr>
        <w:spacing w:line="276" w:lineRule="auto"/>
        <w:ind w:left="-284"/>
        <w:jc w:val="both"/>
        <w:rPr>
          <w:rFonts w:ascii="Arial" w:hAnsi="Arial" w:cs="Arial"/>
        </w:rPr>
      </w:pPr>
      <w:r w:rsidRPr="005B183F">
        <w:rPr>
          <w:rFonts w:ascii="Arial" w:hAnsi="Arial" w:cs="Arial"/>
          <w:b/>
        </w:rPr>
        <w:lastRenderedPageBreak/>
        <w:t>Artículo 4</w:t>
      </w:r>
      <w:r w:rsidR="009C4764" w:rsidRPr="005B183F">
        <w:rPr>
          <w:rFonts w:ascii="Arial" w:hAnsi="Arial" w:cs="Arial"/>
          <w:b/>
        </w:rPr>
        <w:t>3.-</w:t>
      </w:r>
      <w:r w:rsidR="009C4764" w:rsidRPr="00851B38">
        <w:rPr>
          <w:rFonts w:ascii="Arial" w:hAnsi="Arial" w:cs="Arial"/>
        </w:rPr>
        <w:t xml:space="preserve"> Sin perjuicio de sus atribuciones exclusivas, el Consejo, al momento de resolver cada solicitud de permiso de operación, deberá ceñirse a los siguientes criterios y parámetros:</w:t>
      </w:r>
    </w:p>
    <w:p w:rsidR="00CF447E" w:rsidRPr="00851B38" w:rsidRDefault="00CF447E" w:rsidP="00C63923">
      <w:pPr>
        <w:spacing w:line="276" w:lineRule="auto"/>
        <w:ind w:left="-284"/>
        <w:jc w:val="both"/>
        <w:rPr>
          <w:rFonts w:ascii="Arial" w:hAnsi="Arial" w:cs="Arial"/>
        </w:rPr>
      </w:pPr>
    </w:p>
    <w:p w:rsidR="009C4764" w:rsidRDefault="009C4764" w:rsidP="00C63923">
      <w:pPr>
        <w:spacing w:line="276" w:lineRule="auto"/>
        <w:ind w:left="-284"/>
        <w:jc w:val="both"/>
        <w:rPr>
          <w:rFonts w:ascii="Arial" w:hAnsi="Arial" w:cs="Arial"/>
        </w:rPr>
      </w:pPr>
      <w:r w:rsidRPr="00851B38">
        <w:rPr>
          <w:rFonts w:ascii="Arial" w:hAnsi="Arial" w:cs="Arial"/>
        </w:rPr>
        <w:t>a) No podrá autorizarse el funcionamiento de más de 24 casinos de juego en el territorio nacional ni más de tres casinos de juego en una misma región.</w:t>
      </w:r>
    </w:p>
    <w:p w:rsidR="00CF447E" w:rsidRPr="00851B38" w:rsidRDefault="00CF447E" w:rsidP="00C63923">
      <w:pPr>
        <w:spacing w:line="276" w:lineRule="auto"/>
        <w:ind w:left="-284"/>
        <w:jc w:val="both"/>
        <w:rPr>
          <w:rFonts w:ascii="Arial" w:hAnsi="Arial" w:cs="Arial"/>
        </w:rPr>
      </w:pPr>
    </w:p>
    <w:p w:rsidR="009C4764" w:rsidRDefault="009C4764" w:rsidP="00C63923">
      <w:pPr>
        <w:spacing w:line="276" w:lineRule="auto"/>
        <w:ind w:left="-284"/>
        <w:jc w:val="both"/>
        <w:rPr>
          <w:rFonts w:ascii="Arial" w:hAnsi="Arial" w:cs="Arial"/>
        </w:rPr>
      </w:pPr>
      <w:r w:rsidRPr="00851B38">
        <w:rPr>
          <w:rFonts w:ascii="Arial" w:hAnsi="Arial" w:cs="Arial"/>
        </w:rPr>
        <w:t>No obstante lo anterior, el Consejo deberá mantener la reserva de un permiso de operación, respecto de cada una de aquellas regiones en que no exista ningún casino de juego en funcionamiento ni se haya autorizado la instalación de uno;</w:t>
      </w:r>
    </w:p>
    <w:p w:rsidR="00CF447E" w:rsidRPr="00851B38" w:rsidRDefault="00CF447E" w:rsidP="00C63923">
      <w:pPr>
        <w:spacing w:line="276" w:lineRule="auto"/>
        <w:ind w:left="-284"/>
        <w:jc w:val="both"/>
        <w:rPr>
          <w:rFonts w:ascii="Arial" w:hAnsi="Arial" w:cs="Arial"/>
        </w:rPr>
      </w:pPr>
    </w:p>
    <w:p w:rsidR="009C4764" w:rsidRDefault="009C4764" w:rsidP="00C63923">
      <w:pPr>
        <w:spacing w:line="276" w:lineRule="auto"/>
        <w:ind w:left="-284"/>
        <w:jc w:val="both"/>
        <w:rPr>
          <w:rFonts w:ascii="Arial" w:hAnsi="Arial" w:cs="Arial"/>
        </w:rPr>
      </w:pPr>
      <w:r w:rsidRPr="00851B38">
        <w:rPr>
          <w:rFonts w:ascii="Arial" w:hAnsi="Arial" w:cs="Arial"/>
        </w:rPr>
        <w:t>b) No podrá autorizarse el funcionamiento de un casino de juego a una distancia vial inferior a 70 kilómetros respecto de cualquier otro casino de juego, según se regula en el artículo 2º</w:t>
      </w:r>
      <w:r w:rsidR="00607D73" w:rsidRPr="00851B38">
        <w:rPr>
          <w:rFonts w:ascii="Arial" w:hAnsi="Arial" w:cs="Arial"/>
        </w:rPr>
        <w:t xml:space="preserve"> de </w:t>
      </w:r>
      <w:r w:rsidR="00F94BD6" w:rsidRPr="00851B38">
        <w:rPr>
          <w:rFonts w:ascii="Arial" w:hAnsi="Arial" w:cs="Arial"/>
        </w:rPr>
        <w:t>este reglamento</w:t>
      </w:r>
      <w:r w:rsidRPr="00851B38">
        <w:rPr>
          <w:rFonts w:ascii="Arial" w:hAnsi="Arial" w:cs="Arial"/>
        </w:rPr>
        <w:t>;</w:t>
      </w:r>
    </w:p>
    <w:p w:rsidR="00CF447E" w:rsidRPr="00851B38" w:rsidRDefault="00CF447E" w:rsidP="00C63923">
      <w:pPr>
        <w:spacing w:line="276" w:lineRule="auto"/>
        <w:ind w:left="-284"/>
        <w:jc w:val="both"/>
        <w:rPr>
          <w:rFonts w:ascii="Arial" w:hAnsi="Arial" w:cs="Arial"/>
        </w:rPr>
      </w:pPr>
    </w:p>
    <w:p w:rsidR="009C4764" w:rsidRDefault="009C4764" w:rsidP="00C63923">
      <w:pPr>
        <w:spacing w:line="276" w:lineRule="auto"/>
        <w:ind w:left="-284"/>
        <w:jc w:val="both"/>
        <w:rPr>
          <w:rFonts w:ascii="Arial" w:hAnsi="Arial" w:cs="Arial"/>
        </w:rPr>
      </w:pPr>
      <w:r w:rsidRPr="00851B38">
        <w:rPr>
          <w:rFonts w:ascii="Arial" w:hAnsi="Arial" w:cs="Arial"/>
        </w:rPr>
        <w:t>c) No podrá autorizarse en ningún caso la instalación de casinos de juego en el territorio que comprenda la Región Metropolitana;</w:t>
      </w:r>
    </w:p>
    <w:p w:rsidR="00CF447E" w:rsidRPr="00851B38" w:rsidRDefault="00CF447E" w:rsidP="00C63923">
      <w:pPr>
        <w:spacing w:line="276" w:lineRule="auto"/>
        <w:ind w:left="-284"/>
        <w:jc w:val="both"/>
        <w:rPr>
          <w:rFonts w:ascii="Arial" w:hAnsi="Arial" w:cs="Arial"/>
        </w:rPr>
      </w:pPr>
    </w:p>
    <w:p w:rsidR="009C4764" w:rsidRDefault="009C4764" w:rsidP="00C63923">
      <w:pPr>
        <w:spacing w:line="276" w:lineRule="auto"/>
        <w:ind w:left="-284"/>
        <w:jc w:val="both"/>
        <w:rPr>
          <w:rFonts w:ascii="Arial" w:hAnsi="Arial" w:cs="Arial"/>
        </w:rPr>
      </w:pPr>
      <w:r w:rsidRPr="00851B38">
        <w:rPr>
          <w:rFonts w:ascii="Arial" w:hAnsi="Arial" w:cs="Arial"/>
        </w:rPr>
        <w:t>d) No podrá otorgarse un permiso de operación a ninguna sociedad cuya solicitud no haya contemplado la oferta económica más alta, ni haya obtenido, a lo menos, el 60% de la suma total de los puntajes ponderados establecidos en el artículo 33</w:t>
      </w:r>
      <w:r w:rsidR="00607D73" w:rsidRPr="00851B38">
        <w:rPr>
          <w:rFonts w:ascii="Arial" w:hAnsi="Arial" w:cs="Arial"/>
        </w:rPr>
        <w:t xml:space="preserve"> del </w:t>
      </w:r>
      <w:r w:rsidR="00F94BD6" w:rsidRPr="00851B38">
        <w:rPr>
          <w:rFonts w:ascii="Arial" w:hAnsi="Arial" w:cs="Arial"/>
        </w:rPr>
        <w:t>presente reglamento</w:t>
      </w:r>
      <w:r w:rsidRPr="00851B38">
        <w:rPr>
          <w:rFonts w:ascii="Arial" w:hAnsi="Arial" w:cs="Arial"/>
        </w:rPr>
        <w:t>;</w:t>
      </w:r>
    </w:p>
    <w:p w:rsidR="00CF447E" w:rsidRPr="00851B38" w:rsidRDefault="00CF447E" w:rsidP="00C63923">
      <w:pPr>
        <w:spacing w:line="276" w:lineRule="auto"/>
        <w:ind w:left="-284"/>
        <w:jc w:val="both"/>
        <w:rPr>
          <w:rFonts w:ascii="Arial" w:hAnsi="Arial" w:cs="Arial"/>
        </w:rPr>
      </w:pPr>
    </w:p>
    <w:p w:rsidR="009C4764" w:rsidRDefault="009C4764" w:rsidP="00C63923">
      <w:pPr>
        <w:spacing w:line="276" w:lineRule="auto"/>
        <w:ind w:left="-284"/>
        <w:jc w:val="both"/>
        <w:rPr>
          <w:rFonts w:ascii="Arial" w:hAnsi="Arial" w:cs="Arial"/>
        </w:rPr>
      </w:pPr>
      <w:r w:rsidRPr="00851B38">
        <w:rPr>
          <w:rFonts w:ascii="Arial" w:hAnsi="Arial" w:cs="Arial"/>
        </w:rPr>
        <w:t>e) El permiso de operación se otorgará siempre por un plazo de quince años, tanto si se tratare de un permiso originario como de una renovación del mismo;</w:t>
      </w:r>
    </w:p>
    <w:p w:rsidR="00CF447E" w:rsidRPr="00851B38" w:rsidRDefault="00CF447E" w:rsidP="00C63923">
      <w:pPr>
        <w:spacing w:line="276" w:lineRule="auto"/>
        <w:ind w:left="-284"/>
        <w:jc w:val="both"/>
        <w:rPr>
          <w:rFonts w:ascii="Arial" w:hAnsi="Arial" w:cs="Arial"/>
        </w:rPr>
      </w:pPr>
    </w:p>
    <w:p w:rsidR="009C4764" w:rsidRDefault="009C4764" w:rsidP="00C63923">
      <w:pPr>
        <w:spacing w:line="276" w:lineRule="auto"/>
        <w:ind w:left="-284"/>
        <w:jc w:val="both"/>
        <w:rPr>
          <w:rFonts w:ascii="Arial" w:hAnsi="Arial" w:cs="Arial"/>
        </w:rPr>
      </w:pPr>
      <w:r w:rsidRPr="00851B38">
        <w:rPr>
          <w:rFonts w:ascii="Arial" w:hAnsi="Arial" w:cs="Arial"/>
        </w:rPr>
        <w:t>f) La sociedad operadora que solicite la renovación de un permiso de operación vigente, tendrá derech</w:t>
      </w:r>
      <w:r w:rsidR="00744565" w:rsidRPr="00851B38">
        <w:rPr>
          <w:rFonts w:ascii="Arial" w:hAnsi="Arial" w:cs="Arial"/>
        </w:rPr>
        <w:t>o preferente cuando habiendo igualado con otra sociedad postulante en la oferta económica, hubiere obtenido un puntaje ponderado mayor en la etapa de evaluación técnica</w:t>
      </w:r>
      <w:r w:rsidRPr="00851B38">
        <w:rPr>
          <w:rFonts w:ascii="Arial" w:hAnsi="Arial" w:cs="Arial"/>
        </w:rPr>
        <w:t>, y</w:t>
      </w:r>
    </w:p>
    <w:p w:rsidR="00CF447E" w:rsidRPr="00851B38" w:rsidRDefault="00CF447E" w:rsidP="00C63923">
      <w:pPr>
        <w:spacing w:line="276" w:lineRule="auto"/>
        <w:ind w:left="-284"/>
        <w:jc w:val="both"/>
        <w:rPr>
          <w:rFonts w:ascii="Arial" w:hAnsi="Arial" w:cs="Arial"/>
        </w:rPr>
      </w:pPr>
    </w:p>
    <w:p w:rsidR="009C4764" w:rsidRDefault="009C4764" w:rsidP="00C63923">
      <w:pPr>
        <w:spacing w:line="276" w:lineRule="auto"/>
        <w:ind w:left="-284"/>
        <w:jc w:val="both"/>
        <w:rPr>
          <w:rFonts w:ascii="Arial" w:hAnsi="Arial" w:cs="Arial"/>
        </w:rPr>
      </w:pPr>
      <w:r w:rsidRPr="00851B38">
        <w:rPr>
          <w:rFonts w:ascii="Arial" w:hAnsi="Arial" w:cs="Arial"/>
        </w:rPr>
        <w:lastRenderedPageBreak/>
        <w:t>g) En ningún caso se podrá otorgar un permiso de operación provisorio.</w:t>
      </w:r>
    </w:p>
    <w:p w:rsidR="00CF447E" w:rsidRPr="00851B38" w:rsidRDefault="00CF447E" w:rsidP="00C63923">
      <w:pPr>
        <w:spacing w:line="276" w:lineRule="auto"/>
        <w:ind w:left="-284"/>
        <w:jc w:val="both"/>
        <w:rPr>
          <w:rFonts w:ascii="Arial" w:hAnsi="Arial" w:cs="Arial"/>
        </w:rPr>
      </w:pPr>
    </w:p>
    <w:p w:rsidR="009C4764" w:rsidRPr="00CF447E" w:rsidRDefault="005B183F" w:rsidP="00C63923">
      <w:pPr>
        <w:spacing w:line="276" w:lineRule="auto"/>
        <w:ind w:left="-284"/>
        <w:jc w:val="both"/>
        <w:rPr>
          <w:rFonts w:ascii="Arial" w:hAnsi="Arial" w:cs="Arial"/>
        </w:rPr>
      </w:pPr>
      <w:r>
        <w:rPr>
          <w:rFonts w:ascii="Arial" w:hAnsi="Arial" w:cs="Arial"/>
        </w:rPr>
        <w:t xml:space="preserve"> </w:t>
      </w:r>
      <w:r>
        <w:rPr>
          <w:rFonts w:ascii="Arial" w:hAnsi="Arial" w:cs="Arial"/>
        </w:rPr>
        <w:tab/>
      </w:r>
      <w:r w:rsidR="009C4764" w:rsidRPr="00851B38">
        <w:rPr>
          <w:rFonts w:ascii="Arial" w:hAnsi="Arial" w:cs="Arial"/>
        </w:rPr>
        <w:t xml:space="preserve">Lo dispuesto en las letras a) y b) precedentes, se entiende sin perjuicio de lo establecido en el </w:t>
      </w:r>
      <w:r w:rsidR="00473968" w:rsidRPr="00CF447E">
        <w:rPr>
          <w:rFonts w:ascii="Arial" w:hAnsi="Arial" w:cs="Arial"/>
        </w:rPr>
        <w:t>artículo 5</w:t>
      </w:r>
      <w:r w:rsidR="005B12E4" w:rsidRPr="00CF447E">
        <w:rPr>
          <w:rFonts w:ascii="Arial" w:hAnsi="Arial" w:cs="Arial"/>
        </w:rPr>
        <w:t>3</w:t>
      </w:r>
      <w:r w:rsidR="00607D73" w:rsidRPr="00CF447E">
        <w:rPr>
          <w:rFonts w:ascii="Arial" w:hAnsi="Arial" w:cs="Arial"/>
        </w:rPr>
        <w:t xml:space="preserve"> de </w:t>
      </w:r>
      <w:r w:rsidR="00F94BD6" w:rsidRPr="00CF447E">
        <w:rPr>
          <w:rFonts w:ascii="Arial" w:hAnsi="Arial" w:cs="Arial"/>
        </w:rPr>
        <w:t>este reglamento</w:t>
      </w:r>
      <w:r w:rsidR="009C4764" w:rsidRPr="00CF447E">
        <w:rPr>
          <w:rFonts w:ascii="Arial" w:hAnsi="Arial" w:cs="Arial"/>
        </w:rPr>
        <w:t>.</w:t>
      </w:r>
    </w:p>
    <w:p w:rsidR="009C4764" w:rsidRPr="00CF447E" w:rsidRDefault="009C4764" w:rsidP="00C63923">
      <w:pPr>
        <w:spacing w:line="276" w:lineRule="auto"/>
        <w:ind w:left="-284"/>
        <w:jc w:val="both"/>
        <w:rPr>
          <w:rFonts w:ascii="Arial" w:hAnsi="Arial" w:cs="Arial"/>
        </w:rPr>
      </w:pPr>
    </w:p>
    <w:p w:rsidR="009C4764" w:rsidRDefault="00744565" w:rsidP="00C63923">
      <w:pPr>
        <w:spacing w:line="276" w:lineRule="auto"/>
        <w:ind w:left="-284"/>
        <w:jc w:val="both"/>
        <w:rPr>
          <w:rFonts w:ascii="Arial" w:hAnsi="Arial" w:cs="Arial"/>
        </w:rPr>
      </w:pPr>
      <w:r w:rsidRPr="005B183F">
        <w:rPr>
          <w:rFonts w:ascii="Arial" w:hAnsi="Arial" w:cs="Arial"/>
          <w:b/>
        </w:rPr>
        <w:t>Artículo 44.-</w:t>
      </w:r>
      <w:r w:rsidR="009C4764" w:rsidRPr="00CF447E">
        <w:rPr>
          <w:rFonts w:ascii="Arial" w:hAnsi="Arial" w:cs="Arial"/>
        </w:rPr>
        <w:t xml:space="preserve"> Dentro del plazo de 5 días siguientes a la fecha de la audiencia de apertura de la oferta económica, el Superintendente deberá dictar la resolución que otorgue, deniegue o renueve un permiso de operación de casino de juego, la que deberá ser fundada, conformándose al efecto a los criterios establecidos en los artículos precedentes, y estar siempre basada en los antecedentes que obren en poder de la Superintendencia.</w:t>
      </w:r>
    </w:p>
    <w:p w:rsidR="00CF447E" w:rsidRPr="00CF447E" w:rsidRDefault="00CF447E" w:rsidP="00C63923">
      <w:pPr>
        <w:spacing w:line="276" w:lineRule="auto"/>
        <w:ind w:left="-284"/>
        <w:jc w:val="both"/>
        <w:rPr>
          <w:rFonts w:ascii="Arial" w:hAnsi="Arial" w:cs="Arial"/>
        </w:rPr>
      </w:pPr>
    </w:p>
    <w:p w:rsidR="009C4764" w:rsidRPr="00CF447E" w:rsidRDefault="009C4764" w:rsidP="00C63923">
      <w:pPr>
        <w:spacing w:line="276" w:lineRule="auto"/>
        <w:ind w:left="-284"/>
        <w:jc w:val="both"/>
        <w:rPr>
          <w:rFonts w:ascii="Arial" w:hAnsi="Arial" w:cs="Arial"/>
        </w:rPr>
      </w:pPr>
      <w:r w:rsidRPr="00CF447E">
        <w:rPr>
          <w:rFonts w:ascii="Arial" w:hAnsi="Arial" w:cs="Arial"/>
        </w:rPr>
        <w:t>La resolución que otorgue o renueve un permiso de operación deberá publicarse en el Diario Oficial, por una vez y en extracto, dentro del plazo de diez días contado desde su dictación.</w:t>
      </w:r>
    </w:p>
    <w:p w:rsidR="00744565" w:rsidRPr="00CF447E" w:rsidRDefault="00744565" w:rsidP="00C63923">
      <w:pPr>
        <w:spacing w:line="276" w:lineRule="auto"/>
        <w:ind w:left="-284"/>
        <w:jc w:val="both"/>
        <w:rPr>
          <w:rFonts w:ascii="Arial" w:hAnsi="Arial" w:cs="Arial"/>
        </w:rPr>
      </w:pPr>
    </w:p>
    <w:p w:rsidR="009C4764" w:rsidRDefault="00744565" w:rsidP="00C63923">
      <w:pPr>
        <w:spacing w:line="276" w:lineRule="auto"/>
        <w:ind w:left="-284"/>
        <w:jc w:val="both"/>
        <w:rPr>
          <w:rFonts w:ascii="Arial" w:hAnsi="Arial" w:cs="Arial"/>
        </w:rPr>
      </w:pPr>
      <w:r w:rsidRPr="005B183F">
        <w:rPr>
          <w:rFonts w:ascii="Arial" w:hAnsi="Arial" w:cs="Arial"/>
          <w:b/>
        </w:rPr>
        <w:t>Artículo 45</w:t>
      </w:r>
      <w:r w:rsidR="009C4764" w:rsidRPr="005B183F">
        <w:rPr>
          <w:rFonts w:ascii="Arial" w:hAnsi="Arial" w:cs="Arial"/>
          <w:b/>
        </w:rPr>
        <w:t>.-</w:t>
      </w:r>
      <w:r w:rsidR="009C4764" w:rsidRPr="00CF447E">
        <w:rPr>
          <w:rFonts w:ascii="Arial" w:hAnsi="Arial" w:cs="Arial"/>
        </w:rPr>
        <w:t xml:space="preserve"> La resolución que otorga o renueva un permiso de operación deberá contener, a lo menos, las siguientes menciones:</w:t>
      </w:r>
    </w:p>
    <w:p w:rsidR="00CF447E" w:rsidRPr="00CF447E" w:rsidRDefault="00CF447E" w:rsidP="00C63923">
      <w:pPr>
        <w:spacing w:line="276" w:lineRule="auto"/>
        <w:ind w:left="-284"/>
        <w:jc w:val="both"/>
        <w:rPr>
          <w:rFonts w:ascii="Arial" w:hAnsi="Arial" w:cs="Arial"/>
        </w:rPr>
      </w:pPr>
    </w:p>
    <w:p w:rsidR="009C4764" w:rsidRDefault="009C4764" w:rsidP="00C63923">
      <w:pPr>
        <w:spacing w:line="276" w:lineRule="auto"/>
        <w:ind w:left="-284"/>
        <w:jc w:val="both"/>
        <w:rPr>
          <w:rFonts w:ascii="Arial" w:hAnsi="Arial" w:cs="Arial"/>
        </w:rPr>
      </w:pPr>
      <w:r w:rsidRPr="00CF447E">
        <w:rPr>
          <w:rFonts w:ascii="Arial" w:hAnsi="Arial" w:cs="Arial"/>
        </w:rPr>
        <w:t>a) Razón social, nombre de fantasía si lo hubiere y capital de la sociedad solicitante, y cuando correspondiere, la indicación del porcentaje del capital pagado y de los plazos en que deberá enterarse el porcentaje suscrito y no pagado, de conformidad con lo dispuesto en la letra c) del artículo 9º</w:t>
      </w:r>
      <w:r w:rsidR="00607D73" w:rsidRPr="00CF447E">
        <w:rPr>
          <w:rFonts w:ascii="Arial" w:hAnsi="Arial" w:cs="Arial"/>
        </w:rPr>
        <w:t xml:space="preserve"> de </w:t>
      </w:r>
      <w:r w:rsidR="00F94BD6" w:rsidRPr="00CF447E">
        <w:rPr>
          <w:rFonts w:ascii="Arial" w:hAnsi="Arial" w:cs="Arial"/>
        </w:rPr>
        <w:t>este reglamento</w:t>
      </w:r>
      <w:r w:rsidRPr="00CF447E">
        <w:rPr>
          <w:rFonts w:ascii="Arial" w:hAnsi="Arial" w:cs="Arial"/>
        </w:rPr>
        <w:t>;</w:t>
      </w:r>
    </w:p>
    <w:p w:rsidR="00CF447E" w:rsidRPr="00CF447E" w:rsidRDefault="00CF447E" w:rsidP="00C63923">
      <w:pPr>
        <w:spacing w:line="276" w:lineRule="auto"/>
        <w:ind w:left="-284"/>
        <w:jc w:val="both"/>
        <w:rPr>
          <w:rFonts w:ascii="Arial" w:hAnsi="Arial" w:cs="Arial"/>
        </w:rPr>
      </w:pPr>
    </w:p>
    <w:p w:rsidR="009C4764" w:rsidRDefault="009C4764" w:rsidP="00C63923">
      <w:pPr>
        <w:spacing w:line="276" w:lineRule="auto"/>
        <w:ind w:left="-284"/>
        <w:jc w:val="both"/>
        <w:rPr>
          <w:rFonts w:ascii="Arial" w:hAnsi="Arial" w:cs="Arial"/>
        </w:rPr>
      </w:pPr>
      <w:r w:rsidRPr="00CF447E">
        <w:rPr>
          <w:rFonts w:ascii="Arial" w:hAnsi="Arial" w:cs="Arial"/>
        </w:rPr>
        <w:t>b) Indicación de las obras e instalaciones que comprenda el proyecto autorizado y su programa de ejecución;</w:t>
      </w:r>
    </w:p>
    <w:p w:rsidR="00CF447E" w:rsidRPr="00CF447E" w:rsidRDefault="00CF447E" w:rsidP="00C63923">
      <w:pPr>
        <w:spacing w:line="276" w:lineRule="auto"/>
        <w:ind w:left="-284"/>
        <w:jc w:val="both"/>
        <w:rPr>
          <w:rFonts w:ascii="Arial" w:hAnsi="Arial" w:cs="Arial"/>
        </w:rPr>
      </w:pPr>
    </w:p>
    <w:p w:rsidR="009C4764" w:rsidRDefault="009C4764" w:rsidP="00C63923">
      <w:pPr>
        <w:spacing w:line="276" w:lineRule="auto"/>
        <w:ind w:left="-284"/>
        <w:jc w:val="both"/>
        <w:rPr>
          <w:rFonts w:ascii="Arial" w:hAnsi="Arial" w:cs="Arial"/>
        </w:rPr>
      </w:pPr>
      <w:r w:rsidRPr="00CF447E">
        <w:rPr>
          <w:rFonts w:ascii="Arial" w:hAnsi="Arial" w:cs="Arial"/>
        </w:rPr>
        <w:t>c) Nombre o individualización del casino de juego que se autoriza;</w:t>
      </w:r>
    </w:p>
    <w:p w:rsidR="00CF447E" w:rsidRPr="00CF447E" w:rsidRDefault="00CF447E" w:rsidP="00C63923">
      <w:pPr>
        <w:spacing w:line="276" w:lineRule="auto"/>
        <w:ind w:left="-284"/>
        <w:jc w:val="both"/>
        <w:rPr>
          <w:rFonts w:ascii="Arial" w:hAnsi="Arial" w:cs="Arial"/>
        </w:rPr>
      </w:pPr>
    </w:p>
    <w:p w:rsidR="009C4764" w:rsidRDefault="009C4764" w:rsidP="00C63923">
      <w:pPr>
        <w:spacing w:line="276" w:lineRule="auto"/>
        <w:ind w:left="-284"/>
        <w:jc w:val="both"/>
        <w:rPr>
          <w:rFonts w:ascii="Arial" w:hAnsi="Arial" w:cs="Arial"/>
        </w:rPr>
      </w:pPr>
      <w:r w:rsidRPr="00CF447E">
        <w:rPr>
          <w:rFonts w:ascii="Arial" w:hAnsi="Arial" w:cs="Arial"/>
        </w:rPr>
        <w:t>d) Ubicación y domicilio del establecimiento en donde necesariamente deberá funcionar el casino de juego que se autoriza;</w:t>
      </w:r>
    </w:p>
    <w:p w:rsidR="00CF447E" w:rsidRPr="00CF447E" w:rsidRDefault="00CF447E" w:rsidP="00C63923">
      <w:pPr>
        <w:spacing w:line="276" w:lineRule="auto"/>
        <w:ind w:left="-284"/>
        <w:jc w:val="both"/>
        <w:rPr>
          <w:rFonts w:ascii="Arial" w:hAnsi="Arial" w:cs="Arial"/>
        </w:rPr>
      </w:pPr>
    </w:p>
    <w:p w:rsidR="009C4764" w:rsidRDefault="009C4764" w:rsidP="00C63923">
      <w:pPr>
        <w:spacing w:line="276" w:lineRule="auto"/>
        <w:ind w:left="-284"/>
        <w:jc w:val="both"/>
        <w:rPr>
          <w:rFonts w:ascii="Arial" w:hAnsi="Arial" w:cs="Arial"/>
        </w:rPr>
      </w:pPr>
      <w:r w:rsidRPr="00CF447E">
        <w:rPr>
          <w:rFonts w:ascii="Arial" w:hAnsi="Arial" w:cs="Arial"/>
        </w:rPr>
        <w:lastRenderedPageBreak/>
        <w:t>e) Indicación del plazo legal de vigencia del permiso de operación;</w:t>
      </w:r>
    </w:p>
    <w:p w:rsidR="00CF447E" w:rsidRPr="00CF447E" w:rsidRDefault="00CF447E" w:rsidP="00C63923">
      <w:pPr>
        <w:spacing w:line="276" w:lineRule="auto"/>
        <w:ind w:left="-284"/>
        <w:jc w:val="both"/>
        <w:rPr>
          <w:rFonts w:ascii="Arial" w:hAnsi="Arial" w:cs="Arial"/>
        </w:rPr>
      </w:pPr>
    </w:p>
    <w:p w:rsidR="009C4764" w:rsidRDefault="009C4764" w:rsidP="00C63923">
      <w:pPr>
        <w:spacing w:line="276" w:lineRule="auto"/>
        <w:ind w:left="-284"/>
        <w:jc w:val="both"/>
        <w:rPr>
          <w:rFonts w:ascii="Arial" w:hAnsi="Arial" w:cs="Arial"/>
        </w:rPr>
      </w:pPr>
      <w:r w:rsidRPr="00CF447E">
        <w:rPr>
          <w:rFonts w:ascii="Arial" w:hAnsi="Arial" w:cs="Arial"/>
        </w:rPr>
        <w:t>f) Licencias de juego otorgadas y servicios anexos autorizados;</w:t>
      </w:r>
    </w:p>
    <w:p w:rsidR="00CF447E" w:rsidRPr="00CF447E" w:rsidRDefault="00CF447E" w:rsidP="00C63923">
      <w:pPr>
        <w:spacing w:line="276" w:lineRule="auto"/>
        <w:ind w:left="-284"/>
        <w:jc w:val="both"/>
        <w:rPr>
          <w:rFonts w:ascii="Arial" w:hAnsi="Arial" w:cs="Arial"/>
        </w:rPr>
      </w:pPr>
    </w:p>
    <w:p w:rsidR="009C4764" w:rsidRDefault="009C4764" w:rsidP="00C63923">
      <w:pPr>
        <w:spacing w:line="276" w:lineRule="auto"/>
        <w:ind w:left="-284"/>
        <w:jc w:val="both"/>
        <w:rPr>
          <w:rFonts w:ascii="Arial" w:hAnsi="Arial" w:cs="Arial"/>
        </w:rPr>
      </w:pPr>
      <w:r w:rsidRPr="00CF447E">
        <w:rPr>
          <w:rFonts w:ascii="Arial" w:hAnsi="Arial" w:cs="Arial"/>
        </w:rPr>
        <w:t xml:space="preserve">g) Número de mesas, máquinas </w:t>
      </w:r>
      <w:r w:rsidR="00607D73" w:rsidRPr="00CF447E">
        <w:rPr>
          <w:rFonts w:ascii="Arial" w:hAnsi="Arial" w:cs="Arial"/>
        </w:rPr>
        <w:t xml:space="preserve">de azar </w:t>
      </w:r>
      <w:r w:rsidRPr="00CF447E">
        <w:rPr>
          <w:rFonts w:ascii="Arial" w:hAnsi="Arial" w:cs="Arial"/>
        </w:rPr>
        <w:t>y posiciones de j</w:t>
      </w:r>
      <w:r w:rsidRPr="00573439">
        <w:rPr>
          <w:rFonts w:ascii="Arial" w:hAnsi="Arial" w:cs="Arial"/>
        </w:rPr>
        <w:t>uego del bingo, que comprend</w:t>
      </w:r>
      <w:r w:rsidR="00C63923">
        <w:rPr>
          <w:rFonts w:ascii="Arial" w:hAnsi="Arial" w:cs="Arial"/>
        </w:rPr>
        <w:t>a el casino de juego autorizado; y</w:t>
      </w:r>
    </w:p>
    <w:p w:rsidR="00CF447E" w:rsidRPr="00CF447E" w:rsidRDefault="00CF447E" w:rsidP="00C63923">
      <w:pPr>
        <w:spacing w:line="276" w:lineRule="auto"/>
        <w:ind w:left="-284"/>
        <w:jc w:val="both"/>
        <w:rPr>
          <w:rFonts w:ascii="Arial" w:hAnsi="Arial" w:cs="Arial"/>
        </w:rPr>
      </w:pPr>
    </w:p>
    <w:p w:rsidR="009C4764" w:rsidRPr="00CF447E" w:rsidRDefault="009C4764" w:rsidP="00C63923">
      <w:pPr>
        <w:spacing w:line="276" w:lineRule="auto"/>
        <w:ind w:left="-284"/>
        <w:jc w:val="both"/>
        <w:rPr>
          <w:rFonts w:ascii="Arial" w:hAnsi="Arial" w:cs="Arial"/>
        </w:rPr>
      </w:pPr>
      <w:r w:rsidRPr="00CF447E">
        <w:rPr>
          <w:rFonts w:ascii="Arial" w:hAnsi="Arial" w:cs="Arial"/>
        </w:rPr>
        <w:t>h) El monto de la oferta económica comprometido por la sociedad postulante.</w:t>
      </w:r>
    </w:p>
    <w:p w:rsidR="00744565" w:rsidRPr="00CF447E" w:rsidRDefault="00744565" w:rsidP="00C63923">
      <w:pPr>
        <w:spacing w:line="276" w:lineRule="auto"/>
        <w:ind w:left="-284"/>
        <w:jc w:val="both"/>
        <w:rPr>
          <w:rFonts w:ascii="Arial" w:hAnsi="Arial" w:cs="Arial"/>
        </w:rPr>
      </w:pPr>
    </w:p>
    <w:p w:rsidR="00491C6F" w:rsidRDefault="00491C6F" w:rsidP="00C63923">
      <w:pPr>
        <w:spacing w:line="276" w:lineRule="auto"/>
        <w:ind w:left="-284"/>
        <w:jc w:val="both"/>
        <w:rPr>
          <w:rFonts w:ascii="Arial" w:hAnsi="Arial" w:cs="Arial"/>
        </w:rPr>
      </w:pPr>
      <w:r w:rsidRPr="005B183F">
        <w:rPr>
          <w:rFonts w:ascii="Arial" w:hAnsi="Arial" w:cs="Arial"/>
          <w:b/>
        </w:rPr>
        <w:t>Artículo 46.-</w:t>
      </w:r>
      <w:r w:rsidRPr="00573439">
        <w:rPr>
          <w:rFonts w:ascii="Arial" w:hAnsi="Arial" w:cs="Arial"/>
        </w:rPr>
        <w:t xml:space="preserve"> Dentro del plazo de 15 días de haber sido publicada en el Diario Oficial la resolución referida en el artículo anterior, </w:t>
      </w:r>
      <w:r w:rsidR="00352F62" w:rsidRPr="00C465B7">
        <w:rPr>
          <w:rFonts w:ascii="Arial" w:hAnsi="Arial" w:cs="Arial"/>
        </w:rPr>
        <w:t>a</w:t>
      </w:r>
      <w:r w:rsidRPr="00C465B7">
        <w:rPr>
          <w:rFonts w:ascii="Arial" w:hAnsi="Arial" w:cs="Arial"/>
        </w:rPr>
        <w:t xml:space="preserve">quellas sociedades que en definitiva hubieren obtenido un permiso de operación deberán reemplazar la boleta indicada en </w:t>
      </w:r>
      <w:r w:rsidR="008311DC" w:rsidRPr="00C465B7">
        <w:rPr>
          <w:rFonts w:ascii="Arial" w:hAnsi="Arial" w:cs="Arial"/>
        </w:rPr>
        <w:t xml:space="preserve">la letra c) del artículo 12, de </w:t>
      </w:r>
      <w:r w:rsidR="00F94BD6" w:rsidRPr="00C465B7">
        <w:rPr>
          <w:rFonts w:ascii="Arial" w:hAnsi="Arial" w:cs="Arial"/>
        </w:rPr>
        <w:t>este reglamento</w:t>
      </w:r>
      <w:r w:rsidRPr="00C465B7">
        <w:rPr>
          <w:rFonts w:ascii="Arial" w:hAnsi="Arial" w:cs="Arial"/>
        </w:rPr>
        <w:t>, por otra de igual monto, y cuya vigencia deberá considerar hasta 6 meses después del período que la sociedad haya establecido en su plan de operación para la ejecución del r</w:t>
      </w:r>
      <w:r w:rsidRPr="00D33013">
        <w:rPr>
          <w:rFonts w:ascii="Arial" w:hAnsi="Arial" w:cs="Arial"/>
        </w:rPr>
        <w:t>eferido proyecto.</w:t>
      </w:r>
    </w:p>
    <w:p w:rsidR="00CF447E" w:rsidRPr="00CF447E" w:rsidRDefault="00CF447E" w:rsidP="00C63923">
      <w:pPr>
        <w:spacing w:line="276" w:lineRule="auto"/>
        <w:ind w:left="-284"/>
        <w:jc w:val="both"/>
        <w:rPr>
          <w:rFonts w:ascii="Arial" w:hAnsi="Arial" w:cs="Arial"/>
        </w:rPr>
      </w:pPr>
    </w:p>
    <w:p w:rsidR="001B2CA1" w:rsidRDefault="00491C6F" w:rsidP="009D435C">
      <w:pPr>
        <w:spacing w:line="276" w:lineRule="auto"/>
        <w:ind w:left="-284" w:firstLine="992"/>
        <w:jc w:val="both"/>
        <w:rPr>
          <w:rFonts w:ascii="Arial" w:hAnsi="Arial" w:cs="Arial"/>
        </w:rPr>
      </w:pPr>
      <w:r w:rsidRPr="00CF447E">
        <w:rPr>
          <w:rFonts w:ascii="Arial" w:hAnsi="Arial" w:cs="Arial"/>
        </w:rPr>
        <w:t xml:space="preserve">Asimismo, la misma sociedad deberá reemplazar el instrumento indicado en la letra d) del artículo 12, por otro igualmente a la vista y de carácter irrevocable, por una cantidad en UF equivalente al monto </w:t>
      </w:r>
      <w:r w:rsidR="0024514C">
        <w:rPr>
          <w:rFonts w:ascii="Arial" w:hAnsi="Arial" w:cs="Arial"/>
        </w:rPr>
        <w:t xml:space="preserve">de tres años de </w:t>
      </w:r>
      <w:r w:rsidRPr="00CF447E">
        <w:rPr>
          <w:rFonts w:ascii="Arial" w:hAnsi="Arial" w:cs="Arial"/>
        </w:rPr>
        <w:t>la oferta</w:t>
      </w:r>
      <w:r w:rsidR="008311DC" w:rsidRPr="00CF447E">
        <w:rPr>
          <w:rFonts w:ascii="Arial" w:hAnsi="Arial" w:cs="Arial"/>
        </w:rPr>
        <w:t xml:space="preserve"> económica</w:t>
      </w:r>
      <w:r w:rsidRPr="00CF447E">
        <w:rPr>
          <w:rFonts w:ascii="Arial" w:hAnsi="Arial" w:cs="Arial"/>
        </w:rPr>
        <w:t>, y cuya vigencia deberá considerar todo el período de duración del permiso de operación</w:t>
      </w:r>
      <w:r w:rsidR="009D435C">
        <w:rPr>
          <w:rFonts w:ascii="Arial" w:hAnsi="Arial" w:cs="Arial"/>
        </w:rPr>
        <w:t>.</w:t>
      </w:r>
      <w:r w:rsidR="00146A5C">
        <w:rPr>
          <w:rFonts w:ascii="Arial" w:hAnsi="Arial" w:cs="Arial"/>
        </w:rPr>
        <w:t xml:space="preserve"> </w:t>
      </w:r>
      <w:r w:rsidR="009D435C">
        <w:rPr>
          <w:rFonts w:ascii="Arial" w:hAnsi="Arial" w:cs="Arial"/>
        </w:rPr>
        <w:t>L</w:t>
      </w:r>
      <w:r w:rsidR="003D3394">
        <w:rPr>
          <w:rFonts w:ascii="Arial" w:hAnsi="Arial" w:cs="Arial"/>
        </w:rPr>
        <w:t xml:space="preserve">a Superintendencia podrá autorizar la sustitución de la garantía, en los últimos tres años de duración del permiso de operación, por una de monto menor, </w:t>
      </w:r>
      <w:r w:rsidR="001B2CA1">
        <w:rPr>
          <w:rFonts w:ascii="Arial" w:hAnsi="Arial" w:cs="Arial"/>
        </w:rPr>
        <w:t>no pudiendo ser de monto inferior a</w:t>
      </w:r>
      <w:r w:rsidR="003D3394">
        <w:rPr>
          <w:rFonts w:ascii="Arial" w:hAnsi="Arial" w:cs="Arial"/>
        </w:rPr>
        <w:t xml:space="preserve"> </w:t>
      </w:r>
      <w:r w:rsidR="001B2CA1">
        <w:rPr>
          <w:rFonts w:ascii="Arial" w:hAnsi="Arial" w:cs="Arial"/>
        </w:rPr>
        <w:t>los recursos correspondientes al</w:t>
      </w:r>
      <w:r w:rsidR="003D3394">
        <w:rPr>
          <w:rFonts w:ascii="Arial" w:hAnsi="Arial" w:cs="Arial"/>
        </w:rPr>
        <w:t xml:space="preserve"> tiempo restante para la finalización del permiso.</w:t>
      </w:r>
      <w:r w:rsidR="001B2CA1">
        <w:rPr>
          <w:rFonts w:ascii="Arial" w:hAnsi="Arial" w:cs="Arial"/>
        </w:rPr>
        <w:t xml:space="preserve"> </w:t>
      </w:r>
    </w:p>
    <w:p w:rsidR="001B2CA1" w:rsidRDefault="001B2CA1" w:rsidP="00C63923">
      <w:pPr>
        <w:spacing w:line="276" w:lineRule="auto"/>
        <w:ind w:left="-284"/>
        <w:jc w:val="both"/>
        <w:rPr>
          <w:rFonts w:ascii="Arial" w:hAnsi="Arial" w:cs="Arial"/>
        </w:rPr>
      </w:pPr>
    </w:p>
    <w:p w:rsidR="00EC09B6" w:rsidRDefault="00F34C08" w:rsidP="009D435C">
      <w:pPr>
        <w:spacing w:line="276" w:lineRule="auto"/>
        <w:ind w:left="-284" w:firstLine="992"/>
        <w:jc w:val="both"/>
        <w:rPr>
          <w:rFonts w:ascii="Arial" w:hAnsi="Arial" w:cs="Arial"/>
        </w:rPr>
      </w:pPr>
      <w:r>
        <w:rPr>
          <w:rFonts w:ascii="Arial" w:hAnsi="Arial" w:cs="Arial"/>
        </w:rPr>
        <w:t xml:space="preserve">En la eventualidad de hacerse efectiva </w:t>
      </w:r>
      <w:r w:rsidR="003D3394">
        <w:rPr>
          <w:rFonts w:ascii="Arial" w:hAnsi="Arial" w:cs="Arial"/>
        </w:rPr>
        <w:t xml:space="preserve">la </w:t>
      </w:r>
      <w:r>
        <w:rPr>
          <w:rFonts w:ascii="Arial" w:hAnsi="Arial" w:cs="Arial"/>
        </w:rPr>
        <w:t>garantía,</w:t>
      </w:r>
      <w:r w:rsidR="001B2CA1">
        <w:rPr>
          <w:rFonts w:ascii="Arial" w:hAnsi="Arial" w:cs="Arial"/>
        </w:rPr>
        <w:t xml:space="preserve"> a que se refiere el inciso anterior,</w:t>
      </w:r>
      <w:r>
        <w:rPr>
          <w:rFonts w:ascii="Arial" w:hAnsi="Arial" w:cs="Arial"/>
        </w:rPr>
        <w:t xml:space="preserve"> los recursos ingresarán al Servicio de </w:t>
      </w:r>
      <w:r w:rsidR="00FA5291">
        <w:rPr>
          <w:rFonts w:ascii="Arial" w:hAnsi="Arial" w:cs="Arial"/>
        </w:rPr>
        <w:t>Tesorerías</w:t>
      </w:r>
      <w:r>
        <w:rPr>
          <w:rFonts w:ascii="Arial" w:hAnsi="Arial" w:cs="Arial"/>
        </w:rPr>
        <w:t xml:space="preserve"> para</w:t>
      </w:r>
      <w:r w:rsidR="003D3394">
        <w:rPr>
          <w:rFonts w:ascii="Arial" w:hAnsi="Arial" w:cs="Arial"/>
        </w:rPr>
        <w:t xml:space="preserve"> ser puestos a disposición de la municipalidad respectiva.</w:t>
      </w:r>
      <w:r w:rsidR="00491C6F" w:rsidRPr="00CF447E">
        <w:rPr>
          <w:rFonts w:ascii="Arial" w:hAnsi="Arial" w:cs="Arial"/>
        </w:rPr>
        <w:t xml:space="preserve"> </w:t>
      </w:r>
      <w:r w:rsidR="0024514C">
        <w:rPr>
          <w:rFonts w:ascii="Arial" w:hAnsi="Arial" w:cs="Arial"/>
        </w:rPr>
        <w:t>L</w:t>
      </w:r>
      <w:r w:rsidR="00491C6F" w:rsidRPr="00CF447E">
        <w:rPr>
          <w:rFonts w:ascii="Arial" w:hAnsi="Arial" w:cs="Arial"/>
        </w:rPr>
        <w:t xml:space="preserve">a Superintendencia podrá autorizar la entrega de la garantía por plazos menores, no pudiendo ser inferior a </w:t>
      </w:r>
      <w:r w:rsidR="008311DC" w:rsidRPr="00573439">
        <w:rPr>
          <w:rFonts w:ascii="Arial" w:hAnsi="Arial" w:cs="Arial"/>
        </w:rPr>
        <w:t>un</w:t>
      </w:r>
      <w:r w:rsidR="00491C6F" w:rsidRPr="00C465B7">
        <w:rPr>
          <w:rFonts w:ascii="Arial" w:hAnsi="Arial" w:cs="Arial"/>
        </w:rPr>
        <w:t xml:space="preserve"> año, y debiendo en todo caso resguardar que las renovaciones sean oportunas.</w:t>
      </w:r>
    </w:p>
    <w:p w:rsidR="009D435C" w:rsidRDefault="009D435C" w:rsidP="009D435C">
      <w:pPr>
        <w:spacing w:line="276" w:lineRule="auto"/>
        <w:ind w:left="-284" w:firstLine="992"/>
        <w:jc w:val="both"/>
        <w:rPr>
          <w:rFonts w:ascii="Arial" w:hAnsi="Arial" w:cs="Arial"/>
        </w:rPr>
      </w:pPr>
    </w:p>
    <w:p w:rsidR="00590AAC" w:rsidRPr="00C465B7" w:rsidRDefault="001B2CA1" w:rsidP="009D435C">
      <w:pPr>
        <w:spacing w:line="276" w:lineRule="auto"/>
        <w:ind w:left="-284" w:firstLine="992"/>
        <w:jc w:val="both"/>
        <w:rPr>
          <w:rFonts w:ascii="Arial" w:hAnsi="Arial" w:cs="Arial"/>
        </w:rPr>
      </w:pPr>
      <w:r>
        <w:rPr>
          <w:rFonts w:ascii="Arial" w:hAnsi="Arial" w:cs="Arial"/>
        </w:rPr>
        <w:lastRenderedPageBreak/>
        <w:t>Las</w:t>
      </w:r>
      <w:r w:rsidR="00590AAC">
        <w:rPr>
          <w:rFonts w:ascii="Arial" w:hAnsi="Arial" w:cs="Arial"/>
        </w:rPr>
        <w:t xml:space="preserve"> garantías</w:t>
      </w:r>
      <w:r>
        <w:rPr>
          <w:rFonts w:ascii="Arial" w:hAnsi="Arial" w:cs="Arial"/>
        </w:rPr>
        <w:t xml:space="preserve"> señaladas en este artículo</w:t>
      </w:r>
      <w:r w:rsidR="00590AAC">
        <w:rPr>
          <w:rFonts w:ascii="Arial" w:hAnsi="Arial" w:cs="Arial"/>
        </w:rPr>
        <w:t xml:space="preserve"> se harán efectivas</w:t>
      </w:r>
      <w:r w:rsidR="00A8063D">
        <w:rPr>
          <w:rFonts w:ascii="Arial" w:hAnsi="Arial" w:cs="Arial"/>
        </w:rPr>
        <w:t>, por sus respectivos montos,</w:t>
      </w:r>
      <w:r w:rsidR="00E63E59">
        <w:rPr>
          <w:rFonts w:ascii="Arial" w:hAnsi="Arial" w:cs="Arial"/>
        </w:rPr>
        <w:t xml:space="preserve"> cualquiera que sea </w:t>
      </w:r>
      <w:r w:rsidR="00211030">
        <w:rPr>
          <w:rFonts w:ascii="Arial" w:hAnsi="Arial" w:cs="Arial"/>
        </w:rPr>
        <w:t>el motivo</w:t>
      </w:r>
      <w:r w:rsidR="00E63E59">
        <w:rPr>
          <w:rFonts w:ascii="Arial" w:hAnsi="Arial" w:cs="Arial"/>
        </w:rPr>
        <w:t xml:space="preserve"> del incumplimiento</w:t>
      </w:r>
      <w:r w:rsidR="00EC09B6">
        <w:rPr>
          <w:rFonts w:ascii="Arial" w:hAnsi="Arial" w:cs="Arial"/>
        </w:rPr>
        <w:t>,</w:t>
      </w:r>
      <w:r w:rsidR="00211030">
        <w:rPr>
          <w:rFonts w:ascii="Arial" w:hAnsi="Arial" w:cs="Arial"/>
        </w:rPr>
        <w:t xml:space="preserve"> de las obligaciones que aquellas resguardan, </w:t>
      </w:r>
      <w:r w:rsidR="00EC09B6">
        <w:rPr>
          <w:rFonts w:ascii="Arial" w:hAnsi="Arial" w:cs="Arial"/>
        </w:rPr>
        <w:t>incluyendo</w:t>
      </w:r>
      <w:r>
        <w:rPr>
          <w:rFonts w:ascii="Arial" w:hAnsi="Arial" w:cs="Arial"/>
        </w:rPr>
        <w:t xml:space="preserve"> la renuncia y</w:t>
      </w:r>
      <w:r w:rsidR="00EC09B6">
        <w:rPr>
          <w:rFonts w:ascii="Arial" w:hAnsi="Arial" w:cs="Arial"/>
        </w:rPr>
        <w:t xml:space="preserve"> </w:t>
      </w:r>
      <w:r w:rsidR="0024514C">
        <w:rPr>
          <w:rFonts w:ascii="Arial" w:hAnsi="Arial" w:cs="Arial"/>
        </w:rPr>
        <w:t>cualquiera</w:t>
      </w:r>
      <w:r w:rsidR="004A2F06">
        <w:rPr>
          <w:rFonts w:ascii="Arial" w:hAnsi="Arial" w:cs="Arial"/>
        </w:rPr>
        <w:t xml:space="preserve"> </w:t>
      </w:r>
      <w:r w:rsidR="0024514C">
        <w:rPr>
          <w:rFonts w:ascii="Arial" w:hAnsi="Arial" w:cs="Arial"/>
        </w:rPr>
        <w:t xml:space="preserve">que implique </w:t>
      </w:r>
      <w:r w:rsidR="00EC09B6">
        <w:rPr>
          <w:rFonts w:ascii="Arial" w:hAnsi="Arial" w:cs="Arial"/>
        </w:rPr>
        <w:t>el término anticipado del permiso de operación.</w:t>
      </w:r>
    </w:p>
    <w:p w:rsidR="00744565" w:rsidRPr="00C465B7" w:rsidRDefault="00744565" w:rsidP="00C63923">
      <w:pPr>
        <w:spacing w:line="276" w:lineRule="auto"/>
        <w:ind w:left="-284"/>
        <w:jc w:val="both"/>
        <w:rPr>
          <w:rFonts w:ascii="Arial" w:hAnsi="Arial" w:cs="Arial"/>
        </w:rPr>
      </w:pPr>
    </w:p>
    <w:p w:rsidR="00744565" w:rsidRPr="00636B98" w:rsidRDefault="00744565" w:rsidP="00C63923">
      <w:pPr>
        <w:spacing w:line="276" w:lineRule="auto"/>
        <w:ind w:left="-284"/>
        <w:jc w:val="center"/>
        <w:rPr>
          <w:rFonts w:ascii="Arial" w:hAnsi="Arial" w:cs="Arial"/>
          <w:b/>
        </w:rPr>
      </w:pPr>
      <w:r w:rsidRPr="00636B98">
        <w:rPr>
          <w:rFonts w:ascii="Arial" w:hAnsi="Arial" w:cs="Arial"/>
          <w:b/>
        </w:rPr>
        <w:t>TITULO III</w:t>
      </w:r>
      <w:r w:rsidR="00973AE2" w:rsidRPr="00636B98">
        <w:rPr>
          <w:rFonts w:ascii="Arial" w:hAnsi="Arial" w:cs="Arial"/>
          <w:b/>
        </w:rPr>
        <w:t xml:space="preserve">. </w:t>
      </w:r>
      <w:r w:rsidRPr="00636B98">
        <w:rPr>
          <w:rFonts w:ascii="Arial" w:hAnsi="Arial" w:cs="Arial"/>
          <w:b/>
        </w:rPr>
        <w:t xml:space="preserve"> Desarrollo del proyecto autorizado</w:t>
      </w:r>
    </w:p>
    <w:p w:rsidR="00744565" w:rsidRPr="00C465B7" w:rsidRDefault="00744565" w:rsidP="00C63923">
      <w:pPr>
        <w:spacing w:line="276" w:lineRule="auto"/>
        <w:ind w:left="-284"/>
        <w:jc w:val="both"/>
        <w:rPr>
          <w:rFonts w:ascii="Arial" w:hAnsi="Arial" w:cs="Arial"/>
        </w:rPr>
      </w:pPr>
    </w:p>
    <w:p w:rsidR="00744565" w:rsidRDefault="00744565" w:rsidP="00C63923">
      <w:pPr>
        <w:spacing w:line="276" w:lineRule="auto"/>
        <w:ind w:left="-284"/>
        <w:jc w:val="both"/>
        <w:rPr>
          <w:rFonts w:ascii="Arial" w:hAnsi="Arial" w:cs="Arial"/>
        </w:rPr>
      </w:pPr>
      <w:r w:rsidRPr="005B183F">
        <w:rPr>
          <w:rFonts w:ascii="Arial" w:hAnsi="Arial" w:cs="Arial"/>
          <w:b/>
        </w:rPr>
        <w:t>Artículo 4</w:t>
      </w:r>
      <w:r w:rsidR="008311DC" w:rsidRPr="005B183F">
        <w:rPr>
          <w:rFonts w:ascii="Arial" w:hAnsi="Arial" w:cs="Arial"/>
          <w:b/>
        </w:rPr>
        <w:t>7</w:t>
      </w:r>
      <w:r w:rsidRPr="005B183F">
        <w:rPr>
          <w:rFonts w:ascii="Arial" w:hAnsi="Arial" w:cs="Arial"/>
          <w:b/>
        </w:rPr>
        <w:t>.-</w:t>
      </w:r>
      <w:r w:rsidRPr="00D33013">
        <w:rPr>
          <w:rFonts w:ascii="Arial" w:hAnsi="Arial" w:cs="Arial"/>
        </w:rPr>
        <w:t xml:space="preserve"> La sociedad operadora deberá desarrollar el proyecto autorizado, de conformidad a las siguientes directrices:</w:t>
      </w:r>
    </w:p>
    <w:p w:rsidR="00CF447E" w:rsidRPr="00CF447E" w:rsidRDefault="00CF447E" w:rsidP="00C63923">
      <w:pPr>
        <w:spacing w:line="276" w:lineRule="auto"/>
        <w:ind w:left="-284"/>
        <w:jc w:val="both"/>
        <w:rPr>
          <w:rFonts w:ascii="Arial" w:hAnsi="Arial" w:cs="Arial"/>
        </w:rPr>
      </w:pPr>
    </w:p>
    <w:p w:rsidR="00744565" w:rsidRDefault="00744565" w:rsidP="00C63923">
      <w:pPr>
        <w:spacing w:line="276" w:lineRule="auto"/>
        <w:ind w:left="-284"/>
        <w:jc w:val="both"/>
        <w:rPr>
          <w:rFonts w:ascii="Arial" w:hAnsi="Arial" w:cs="Arial"/>
        </w:rPr>
      </w:pPr>
      <w:r w:rsidRPr="00CF447E">
        <w:rPr>
          <w:rFonts w:ascii="Arial" w:hAnsi="Arial" w:cs="Arial"/>
        </w:rPr>
        <w:t xml:space="preserve">a) </w:t>
      </w:r>
      <w:r w:rsidR="00C94D62" w:rsidRPr="00CF447E">
        <w:rPr>
          <w:rFonts w:ascii="Arial" w:hAnsi="Arial" w:cs="Arial"/>
        </w:rPr>
        <w:t>El proyecto deberá ejecutarse dentro del plazo establecido en el plan de operación, el cual no podrá exceder de dos años contados desde la publicación de la resolución que otorga el permiso de operación;</w:t>
      </w:r>
    </w:p>
    <w:p w:rsidR="00CF447E" w:rsidRPr="00CF447E" w:rsidRDefault="00CF447E" w:rsidP="00C63923">
      <w:pPr>
        <w:spacing w:line="276" w:lineRule="auto"/>
        <w:ind w:left="-284"/>
        <w:jc w:val="both"/>
        <w:rPr>
          <w:rFonts w:ascii="Arial" w:hAnsi="Arial" w:cs="Arial"/>
        </w:rPr>
      </w:pPr>
    </w:p>
    <w:p w:rsidR="00744565" w:rsidRDefault="00744565" w:rsidP="00C63923">
      <w:pPr>
        <w:spacing w:line="276" w:lineRule="auto"/>
        <w:ind w:left="-284"/>
        <w:jc w:val="both"/>
        <w:rPr>
          <w:rFonts w:ascii="Arial" w:hAnsi="Arial" w:cs="Arial"/>
        </w:rPr>
      </w:pPr>
      <w:r w:rsidRPr="00CF447E">
        <w:rPr>
          <w:rFonts w:ascii="Arial" w:hAnsi="Arial" w:cs="Arial"/>
        </w:rPr>
        <w:t>b) Antes del vencimiento del referido plazo, y previa solicitud expresa de la sociedad operadora, la Superintendencia podrá otorgar una prórroga para la ejecución de las ob</w:t>
      </w:r>
      <w:r w:rsidR="00AB34C8">
        <w:rPr>
          <w:rFonts w:ascii="Arial" w:hAnsi="Arial" w:cs="Arial"/>
        </w:rPr>
        <w:t>ras, la cual podrá concederse so</w:t>
      </w:r>
      <w:r w:rsidRPr="00CF447E">
        <w:rPr>
          <w:rFonts w:ascii="Arial" w:hAnsi="Arial" w:cs="Arial"/>
        </w:rPr>
        <w:t>lo por una vez y por razones fundadas, por un período que no exceda de 12 meses, tratándose del cumplimiento de las obras de inicio de operación del casino de juego propiamente tal, y por un periodo que no exceda de 18 meses para el cumplimiento de las demás obras o instalaciones que comprenda el proyecto integral</w:t>
      </w:r>
      <w:r w:rsidR="002F4315" w:rsidRPr="00573439">
        <w:rPr>
          <w:rFonts w:ascii="Arial" w:hAnsi="Arial" w:cs="Arial"/>
        </w:rPr>
        <w:t xml:space="preserve">. En todos los casos deberá renovarse oportunamente la garantía a que se refiere el artículo 12 letra c) de </w:t>
      </w:r>
      <w:r w:rsidR="00F94BD6" w:rsidRPr="00C465B7">
        <w:rPr>
          <w:rFonts w:ascii="Arial" w:hAnsi="Arial" w:cs="Arial"/>
        </w:rPr>
        <w:t>este reglamento</w:t>
      </w:r>
      <w:r w:rsidR="00943ACB" w:rsidRPr="00C465B7">
        <w:rPr>
          <w:rFonts w:ascii="Arial" w:hAnsi="Arial" w:cs="Arial"/>
        </w:rPr>
        <w:t xml:space="preserve"> o aquella que la reemplaza de acuerdo al artículo 46</w:t>
      </w:r>
      <w:r w:rsidRPr="00C465B7">
        <w:rPr>
          <w:rFonts w:ascii="Arial" w:hAnsi="Arial" w:cs="Arial"/>
        </w:rPr>
        <w:t>;</w:t>
      </w:r>
    </w:p>
    <w:p w:rsidR="00CF447E" w:rsidRPr="00CF447E" w:rsidRDefault="00CF447E" w:rsidP="00C63923">
      <w:pPr>
        <w:spacing w:line="276" w:lineRule="auto"/>
        <w:ind w:left="-284"/>
        <w:jc w:val="both"/>
        <w:rPr>
          <w:rFonts w:ascii="Arial" w:hAnsi="Arial" w:cs="Arial"/>
        </w:rPr>
      </w:pPr>
    </w:p>
    <w:p w:rsidR="00744565" w:rsidRDefault="00744565" w:rsidP="00C63923">
      <w:pPr>
        <w:spacing w:line="276" w:lineRule="auto"/>
        <w:ind w:left="-284"/>
        <w:jc w:val="both"/>
        <w:rPr>
          <w:rFonts w:ascii="Arial" w:hAnsi="Arial" w:cs="Arial"/>
        </w:rPr>
      </w:pPr>
      <w:r w:rsidRPr="00CF447E">
        <w:rPr>
          <w:rFonts w:ascii="Arial" w:hAnsi="Arial" w:cs="Arial"/>
        </w:rPr>
        <w:t xml:space="preserve">c) Vencidos el respectivo plazo o sus prórrogas, sin que se haya dado cumplimiento a las actividades correspondientes en los términos previstos en la letra e) del presente artículo, el permiso de operación se entenderá revocado para todo efecto, no pudiendo aquél solicitarse nuevamente por </w:t>
      </w:r>
      <w:r w:rsidR="004F6599" w:rsidRPr="00573439">
        <w:rPr>
          <w:rFonts w:ascii="Arial" w:hAnsi="Arial" w:cs="Arial"/>
        </w:rPr>
        <w:t>la misma sociedad operadora</w:t>
      </w:r>
      <w:r w:rsidRPr="00C465B7">
        <w:rPr>
          <w:rFonts w:ascii="Arial" w:hAnsi="Arial" w:cs="Arial"/>
        </w:rPr>
        <w:t xml:space="preserve"> sino una vez transcurrido tres años, contados desde el vencimiento del respectivo plazo o prórrogas, según corresponda</w:t>
      </w:r>
      <w:r w:rsidR="00C63923">
        <w:rPr>
          <w:rFonts w:ascii="Arial" w:hAnsi="Arial" w:cs="Arial"/>
        </w:rPr>
        <w:t>;</w:t>
      </w:r>
    </w:p>
    <w:p w:rsidR="00CF447E" w:rsidRPr="00851B38" w:rsidRDefault="00CF447E" w:rsidP="00C63923">
      <w:pPr>
        <w:spacing w:line="276" w:lineRule="auto"/>
        <w:ind w:left="-284"/>
        <w:jc w:val="both"/>
        <w:rPr>
          <w:rFonts w:ascii="Arial" w:hAnsi="Arial" w:cs="Arial"/>
        </w:rPr>
      </w:pPr>
    </w:p>
    <w:p w:rsidR="00744565" w:rsidRDefault="00744565" w:rsidP="00C63923">
      <w:pPr>
        <w:spacing w:line="276" w:lineRule="auto"/>
        <w:ind w:left="-284"/>
        <w:jc w:val="both"/>
        <w:rPr>
          <w:rFonts w:ascii="Arial" w:hAnsi="Arial" w:cs="Arial"/>
        </w:rPr>
      </w:pPr>
      <w:r w:rsidRPr="00851B38">
        <w:rPr>
          <w:rFonts w:ascii="Arial" w:hAnsi="Arial" w:cs="Arial"/>
        </w:rPr>
        <w:t xml:space="preserve">d) Revocado un permiso de operación en virtud de lo dispuesto en la letra precedente, la Superintendencia procederá a hacer efectiva la boleta de garantía indicada en la letra c) </w:t>
      </w:r>
      <w:r w:rsidR="00343743" w:rsidRPr="00851B38">
        <w:rPr>
          <w:rFonts w:ascii="Arial" w:hAnsi="Arial" w:cs="Arial"/>
        </w:rPr>
        <w:t xml:space="preserve">y </w:t>
      </w:r>
      <w:r w:rsidR="00343743" w:rsidRPr="00851B38">
        <w:rPr>
          <w:rFonts w:ascii="Arial" w:hAnsi="Arial" w:cs="Arial"/>
        </w:rPr>
        <w:lastRenderedPageBreak/>
        <w:t xml:space="preserve">d) </w:t>
      </w:r>
      <w:r w:rsidRPr="00851B38">
        <w:rPr>
          <w:rFonts w:ascii="Arial" w:hAnsi="Arial" w:cs="Arial"/>
        </w:rPr>
        <w:t>del artículo 12</w:t>
      </w:r>
      <w:r w:rsidR="004F6599" w:rsidRPr="00851B38">
        <w:rPr>
          <w:rFonts w:ascii="Arial" w:hAnsi="Arial" w:cs="Arial"/>
        </w:rPr>
        <w:t xml:space="preserve"> del </w:t>
      </w:r>
      <w:r w:rsidR="00F94BD6" w:rsidRPr="00851B38">
        <w:rPr>
          <w:rFonts w:ascii="Arial" w:hAnsi="Arial" w:cs="Arial"/>
        </w:rPr>
        <w:t>presente reglamento</w:t>
      </w:r>
      <w:r w:rsidR="00943ACB" w:rsidRPr="00851B38">
        <w:rPr>
          <w:rFonts w:ascii="Arial" w:hAnsi="Arial" w:cs="Arial"/>
        </w:rPr>
        <w:t xml:space="preserve"> o aquella</w:t>
      </w:r>
      <w:r w:rsidR="00343743" w:rsidRPr="00851B38">
        <w:rPr>
          <w:rFonts w:ascii="Arial" w:hAnsi="Arial" w:cs="Arial"/>
        </w:rPr>
        <w:t>s</w:t>
      </w:r>
      <w:r w:rsidR="00943ACB" w:rsidRPr="00851B38">
        <w:rPr>
          <w:rFonts w:ascii="Arial" w:hAnsi="Arial" w:cs="Arial"/>
        </w:rPr>
        <w:t xml:space="preserve"> que la</w:t>
      </w:r>
      <w:r w:rsidR="00343743" w:rsidRPr="00851B38">
        <w:rPr>
          <w:rFonts w:ascii="Arial" w:hAnsi="Arial" w:cs="Arial"/>
        </w:rPr>
        <w:t>s</w:t>
      </w:r>
      <w:r w:rsidR="00943ACB" w:rsidRPr="00851B38">
        <w:rPr>
          <w:rFonts w:ascii="Arial" w:hAnsi="Arial" w:cs="Arial"/>
        </w:rPr>
        <w:t xml:space="preserve"> reemplaza</w:t>
      </w:r>
      <w:r w:rsidR="00343743" w:rsidRPr="00851B38">
        <w:rPr>
          <w:rFonts w:ascii="Arial" w:hAnsi="Arial" w:cs="Arial"/>
        </w:rPr>
        <w:t>n</w:t>
      </w:r>
      <w:r w:rsidR="00943ACB" w:rsidRPr="00851B38">
        <w:rPr>
          <w:rFonts w:ascii="Arial" w:hAnsi="Arial" w:cs="Arial"/>
        </w:rPr>
        <w:t xml:space="preserve"> de acuerdo al artículo 46</w:t>
      </w:r>
      <w:r w:rsidRPr="00851B38">
        <w:rPr>
          <w:rFonts w:ascii="Arial" w:hAnsi="Arial" w:cs="Arial"/>
        </w:rPr>
        <w:t>;</w:t>
      </w:r>
    </w:p>
    <w:p w:rsidR="00CF447E" w:rsidRPr="00851B38" w:rsidRDefault="00CF447E" w:rsidP="00C63923">
      <w:pPr>
        <w:spacing w:line="276" w:lineRule="auto"/>
        <w:ind w:left="-284"/>
        <w:jc w:val="both"/>
        <w:rPr>
          <w:rFonts w:ascii="Arial" w:hAnsi="Arial" w:cs="Arial"/>
        </w:rPr>
      </w:pPr>
    </w:p>
    <w:p w:rsidR="00744565" w:rsidRDefault="00744565" w:rsidP="00C63923">
      <w:pPr>
        <w:spacing w:line="276" w:lineRule="auto"/>
        <w:ind w:left="-284"/>
        <w:jc w:val="both"/>
        <w:rPr>
          <w:rFonts w:ascii="Arial" w:hAnsi="Arial" w:cs="Arial"/>
        </w:rPr>
      </w:pPr>
      <w:r w:rsidRPr="00851B38">
        <w:rPr>
          <w:rFonts w:ascii="Arial" w:hAnsi="Arial" w:cs="Arial"/>
        </w:rPr>
        <w:t>e) La sociedad operadora que se encuentre en condiciones de iniciar la operación del casino de juego deberá comunicarlo formalmente a la Superintendencia, la que dispondrá de un plazo de 30 días para verificar el estricto cumplimiento de las obligaciones legales y reglamentarias necesarias para iniciar las actividades, como asimismo el pleno cumplimiento de las condiciones establecidas en el respectivo permiso de operación. Una vez verificado dicho cumplimiento a satisfacción de la Superintendencia, ésta expedirá un certificado en el que conste tal circunstancia, documento que habilitará para dar inicio a la operación del casino de juego.</w:t>
      </w:r>
    </w:p>
    <w:p w:rsidR="00CF447E" w:rsidRPr="00851B38" w:rsidRDefault="00CF447E" w:rsidP="00C63923">
      <w:pPr>
        <w:spacing w:line="276" w:lineRule="auto"/>
        <w:ind w:left="-284"/>
        <w:jc w:val="both"/>
        <w:rPr>
          <w:rFonts w:ascii="Arial" w:hAnsi="Arial" w:cs="Arial"/>
        </w:rPr>
      </w:pPr>
    </w:p>
    <w:p w:rsidR="00744565" w:rsidRDefault="00744565" w:rsidP="00C63923">
      <w:pPr>
        <w:spacing w:line="276" w:lineRule="auto"/>
        <w:ind w:left="-284"/>
        <w:jc w:val="both"/>
        <w:rPr>
          <w:rFonts w:ascii="Arial" w:hAnsi="Arial" w:cs="Arial"/>
        </w:rPr>
      </w:pPr>
      <w:r w:rsidRPr="00851B38">
        <w:rPr>
          <w:rFonts w:ascii="Arial" w:hAnsi="Arial" w:cs="Arial"/>
        </w:rPr>
        <w:t>Si la Superintendencia observare algunas materias, las señalará expresamente mediante resolución. En este caso, el operador deberá subsanar tales observaciones en el plazo que al efecto le fije la Superintendencia y solicitar una nueva revisión, con el objeto que se expida el certificado indicado y así poder dar inicio a la operación. Si en definitiva las observaciones, a criterio de la Superintendencia, no fueren subsanadas dentro de los plazos señalados en las letras a) y b) de este artículo se entenderá revocado el permiso de operación, aplicándose al efecto lo dispuesto en las letras c) y d) precedentes.</w:t>
      </w:r>
    </w:p>
    <w:p w:rsidR="00CF447E" w:rsidRPr="00851B38" w:rsidRDefault="00CF447E" w:rsidP="00C63923">
      <w:pPr>
        <w:spacing w:line="276" w:lineRule="auto"/>
        <w:ind w:left="-284"/>
        <w:jc w:val="both"/>
        <w:rPr>
          <w:rFonts w:ascii="Arial" w:hAnsi="Arial" w:cs="Arial"/>
        </w:rPr>
      </w:pPr>
    </w:p>
    <w:p w:rsidR="00744565" w:rsidRDefault="00744565" w:rsidP="00C63923">
      <w:pPr>
        <w:spacing w:line="276" w:lineRule="auto"/>
        <w:ind w:left="-284"/>
        <w:jc w:val="both"/>
        <w:rPr>
          <w:rFonts w:ascii="Arial" w:hAnsi="Arial" w:cs="Arial"/>
        </w:rPr>
      </w:pPr>
      <w:r w:rsidRPr="00851B38">
        <w:rPr>
          <w:rFonts w:ascii="Arial" w:hAnsi="Arial" w:cs="Arial"/>
        </w:rPr>
        <w:t>Bajo ninguna circunstancia podrá autorizarse o iniciarse el funcionamiento parcial de un casino de juego.</w:t>
      </w:r>
    </w:p>
    <w:p w:rsidR="00CF447E" w:rsidRPr="00851B38" w:rsidRDefault="00CF447E" w:rsidP="00C63923">
      <w:pPr>
        <w:spacing w:line="276" w:lineRule="auto"/>
        <w:ind w:left="-284"/>
        <w:jc w:val="both"/>
        <w:rPr>
          <w:rFonts w:ascii="Arial" w:hAnsi="Arial" w:cs="Arial"/>
        </w:rPr>
      </w:pPr>
    </w:p>
    <w:p w:rsidR="00744565" w:rsidRDefault="00744565" w:rsidP="00C63923">
      <w:pPr>
        <w:spacing w:line="276" w:lineRule="auto"/>
        <w:ind w:left="-284"/>
        <w:jc w:val="both"/>
        <w:rPr>
          <w:rFonts w:ascii="Arial" w:hAnsi="Arial" w:cs="Arial"/>
        </w:rPr>
      </w:pPr>
      <w:r w:rsidRPr="00851B38">
        <w:rPr>
          <w:rFonts w:ascii="Arial" w:hAnsi="Arial" w:cs="Arial"/>
        </w:rPr>
        <w:t>El mismo procedimiento establecido en la presente letra, se aplicará por la Superintendencia respecto del cumplimiento, por parte de la sociedad operadora, de las demás obras o instalaciones que comprenda el proyecto integral autorizado.</w:t>
      </w:r>
    </w:p>
    <w:p w:rsidR="00CF447E" w:rsidRPr="00851B38" w:rsidRDefault="00CF447E" w:rsidP="00C63923">
      <w:pPr>
        <w:spacing w:line="276" w:lineRule="auto"/>
        <w:ind w:left="-284"/>
        <w:jc w:val="both"/>
        <w:rPr>
          <w:rFonts w:ascii="Arial" w:hAnsi="Arial" w:cs="Arial"/>
        </w:rPr>
      </w:pPr>
    </w:p>
    <w:p w:rsidR="00744565" w:rsidRDefault="00744565" w:rsidP="00C63923">
      <w:pPr>
        <w:spacing w:line="276" w:lineRule="auto"/>
        <w:ind w:left="-284"/>
        <w:jc w:val="both"/>
        <w:rPr>
          <w:rFonts w:ascii="Arial" w:hAnsi="Arial" w:cs="Arial"/>
        </w:rPr>
      </w:pPr>
      <w:r w:rsidRPr="00851B38">
        <w:rPr>
          <w:rFonts w:ascii="Arial" w:hAnsi="Arial" w:cs="Arial"/>
        </w:rPr>
        <w:t xml:space="preserve">Los términos y condiciones del permiso de operación autorizado y sus antecedentes fundantes, constituyen elementos ineludibles y relevantes para que la Superintendencia verifique el cumplimiento señalado, en particular respecto de la integridad y calidad de las </w:t>
      </w:r>
      <w:r w:rsidRPr="00851B38">
        <w:rPr>
          <w:rFonts w:ascii="Arial" w:hAnsi="Arial" w:cs="Arial"/>
        </w:rPr>
        <w:lastRenderedPageBreak/>
        <w:t>obras e instalaciones comprometidas, como asimismo respecto de la inversión total que haya comp</w:t>
      </w:r>
      <w:r w:rsidR="00C63923">
        <w:rPr>
          <w:rFonts w:ascii="Arial" w:hAnsi="Arial" w:cs="Arial"/>
        </w:rPr>
        <w:t>rometido el proyecto autorizado;</w:t>
      </w:r>
      <w:r w:rsidRPr="00851B38">
        <w:rPr>
          <w:rFonts w:ascii="Arial" w:hAnsi="Arial" w:cs="Arial"/>
        </w:rPr>
        <w:t xml:space="preserve"> y</w:t>
      </w:r>
    </w:p>
    <w:p w:rsidR="00CF447E" w:rsidRPr="00851B38" w:rsidRDefault="00CF447E" w:rsidP="00C63923">
      <w:pPr>
        <w:spacing w:line="276" w:lineRule="auto"/>
        <w:ind w:left="-284"/>
        <w:jc w:val="both"/>
        <w:rPr>
          <w:rFonts w:ascii="Arial" w:hAnsi="Arial" w:cs="Arial"/>
        </w:rPr>
      </w:pPr>
    </w:p>
    <w:p w:rsidR="00744565" w:rsidRPr="00851B38" w:rsidRDefault="00744565" w:rsidP="00C63923">
      <w:pPr>
        <w:spacing w:line="276" w:lineRule="auto"/>
        <w:ind w:left="-284"/>
        <w:jc w:val="both"/>
        <w:rPr>
          <w:rFonts w:ascii="Arial" w:hAnsi="Arial" w:cs="Arial"/>
        </w:rPr>
      </w:pPr>
      <w:r w:rsidRPr="00851B38">
        <w:rPr>
          <w:rFonts w:ascii="Arial" w:hAnsi="Arial" w:cs="Arial"/>
        </w:rPr>
        <w:t>f) El certificado que habilita para dar inicio a la operación del casino de juego, deberá ser publicado por la Superintendencia en el Diario Oficial, dentro del término de diez días contado desde su otorgamiento. En éste se indicará expresamente la fecha de vencimiento del plazo de 15 años para el ejercicio del respectivo permiso de operación, el cual se computará desde la fecha del referido certificado.</w:t>
      </w:r>
    </w:p>
    <w:p w:rsidR="00583FE6" w:rsidRPr="00851B38" w:rsidRDefault="00583FE6" w:rsidP="00C63923">
      <w:pPr>
        <w:spacing w:line="276" w:lineRule="auto"/>
        <w:ind w:left="-284"/>
        <w:jc w:val="both"/>
        <w:rPr>
          <w:rFonts w:ascii="Arial" w:hAnsi="Arial" w:cs="Arial"/>
        </w:rPr>
      </w:pPr>
    </w:p>
    <w:p w:rsidR="00744565" w:rsidRPr="00CF447E" w:rsidRDefault="00636B98" w:rsidP="00C63923">
      <w:pPr>
        <w:spacing w:line="276" w:lineRule="auto"/>
        <w:ind w:left="-284"/>
        <w:jc w:val="both"/>
        <w:rPr>
          <w:rFonts w:ascii="Arial" w:hAnsi="Arial" w:cs="Arial"/>
        </w:rPr>
      </w:pPr>
      <w:r w:rsidRPr="005B183F">
        <w:rPr>
          <w:rFonts w:ascii="Arial" w:hAnsi="Arial" w:cs="Arial"/>
          <w:b/>
        </w:rPr>
        <w:t>Artículo 48.-</w:t>
      </w:r>
      <w:r w:rsidRPr="00851B38">
        <w:rPr>
          <w:rFonts w:ascii="Arial" w:hAnsi="Arial" w:cs="Arial"/>
        </w:rPr>
        <w:t xml:space="preserve"> Sin perjuicio de lo establecido en el artículo precedente, el Consejo Resolutivo, a proposición de la Superintendencia, podrá excepcionalmente aprobar modificaciones al proyecto autorizado, en el tiempo que media entre el otorgamiento del permiso de operación y la respectiva certificación, en la medida que dichas modificaciones propuestas no signifiquen reducir, disminuir, restringir o atenuar las condiciones, cualitativas y/o cuantitativas que se establecieron en el permiso de operación, teniendo en consideración los fundamentos del otorgamiento del permiso de operación correspondiente y</w:t>
      </w:r>
      <w:r>
        <w:rPr>
          <w:rFonts w:ascii="Arial" w:hAnsi="Arial" w:cs="Arial"/>
        </w:rPr>
        <w:t xml:space="preserve"> lo dispuesto en el artículo 23</w:t>
      </w:r>
      <w:r w:rsidRPr="00851B38">
        <w:rPr>
          <w:rFonts w:ascii="Arial" w:hAnsi="Arial" w:cs="Arial"/>
        </w:rPr>
        <w:t xml:space="preserve"> N°</w:t>
      </w:r>
      <w:r w:rsidRPr="00851B38">
        <w:rPr>
          <w:rFonts w:ascii="Arial" w:hAnsi="Arial" w:cs="Arial"/>
          <w:vertAlign w:val="superscript"/>
        </w:rPr>
        <w:t>s</w:t>
      </w:r>
      <w:r w:rsidRPr="00851B38">
        <w:rPr>
          <w:rFonts w:ascii="Arial" w:hAnsi="Arial" w:cs="Arial"/>
        </w:rPr>
        <w:t xml:space="preserve"> 1 y 2 de la l</w:t>
      </w:r>
      <w:r w:rsidRPr="00CF447E">
        <w:rPr>
          <w:rFonts w:ascii="Arial" w:hAnsi="Arial" w:cs="Arial"/>
        </w:rPr>
        <w:t xml:space="preserve">ey N° 19.995. </w:t>
      </w:r>
      <w:r w:rsidR="00146A5C" w:rsidRPr="00CF447E">
        <w:rPr>
          <w:rFonts w:ascii="Arial" w:hAnsi="Arial" w:cs="Arial"/>
        </w:rPr>
        <w:t>En caso de aumento</w:t>
      </w:r>
      <w:r w:rsidR="00146A5C">
        <w:rPr>
          <w:rFonts w:ascii="Arial" w:hAnsi="Arial" w:cs="Arial"/>
        </w:rPr>
        <w:t xml:space="preserve"> en el monto de la inversión total del proyecto, </w:t>
      </w:r>
      <w:r w:rsidR="00146A5C" w:rsidRPr="00CF447E">
        <w:rPr>
          <w:rFonts w:ascii="Arial" w:hAnsi="Arial" w:cs="Arial"/>
        </w:rPr>
        <w:t xml:space="preserve"> deberá ser igualmente caucionado</w:t>
      </w:r>
      <w:r w:rsidR="00146A5C">
        <w:rPr>
          <w:rFonts w:ascii="Arial" w:hAnsi="Arial" w:cs="Arial"/>
        </w:rPr>
        <w:t xml:space="preserve"> de modo de dar estricto cumplimiento a lo dispuesto en el literal c), del artículo 12 de este reglamento.</w:t>
      </w:r>
    </w:p>
    <w:p w:rsidR="00583FE6" w:rsidRPr="00CF447E" w:rsidRDefault="00583FE6" w:rsidP="00C63923">
      <w:pPr>
        <w:spacing w:line="276" w:lineRule="auto"/>
        <w:ind w:left="-284"/>
        <w:jc w:val="both"/>
        <w:rPr>
          <w:rFonts w:ascii="Arial" w:hAnsi="Arial" w:cs="Arial"/>
        </w:rPr>
      </w:pPr>
      <w:r w:rsidRPr="00CF447E">
        <w:rPr>
          <w:rFonts w:ascii="Arial" w:hAnsi="Arial" w:cs="Arial"/>
        </w:rPr>
        <w:t xml:space="preserve">   </w:t>
      </w:r>
    </w:p>
    <w:p w:rsidR="00744565" w:rsidRPr="00CF447E" w:rsidRDefault="009E3AC4" w:rsidP="00C63923">
      <w:pPr>
        <w:spacing w:line="276" w:lineRule="auto"/>
        <w:ind w:left="-284"/>
        <w:jc w:val="both"/>
        <w:rPr>
          <w:rFonts w:ascii="Arial" w:hAnsi="Arial" w:cs="Arial"/>
        </w:rPr>
      </w:pPr>
      <w:r w:rsidRPr="005B183F">
        <w:rPr>
          <w:rFonts w:ascii="Arial" w:hAnsi="Arial" w:cs="Arial"/>
          <w:b/>
        </w:rPr>
        <w:t>Artículo 4</w:t>
      </w:r>
      <w:r w:rsidR="007A3394" w:rsidRPr="005B183F">
        <w:rPr>
          <w:rFonts w:ascii="Arial" w:hAnsi="Arial" w:cs="Arial"/>
          <w:b/>
        </w:rPr>
        <w:t>9</w:t>
      </w:r>
      <w:r w:rsidR="00744565" w:rsidRPr="005B183F">
        <w:rPr>
          <w:rFonts w:ascii="Arial" w:hAnsi="Arial" w:cs="Arial"/>
          <w:b/>
        </w:rPr>
        <w:t>.-</w:t>
      </w:r>
      <w:r w:rsidR="00744565" w:rsidRPr="00CF447E">
        <w:rPr>
          <w:rFonts w:ascii="Arial" w:hAnsi="Arial" w:cs="Arial"/>
        </w:rPr>
        <w:t xml:space="preserve"> Las circunstancias acreditadas por la sociedad operadora, a efectos del otorgamiento del certificado que habilite para dar inicio a la operación del casino de juego, deberán mantenerse durante toda la vigencia del permiso de operación, lo que será fiscalizado por la Superintendencia de acuerdo a sus facultades. En caso de perderse alguna de dichas condiciones la Superintendencia podrá revocar el permiso de operación, de conformidad a lo dispuesto en el artículo 31 de la ley N° 19.995.</w:t>
      </w:r>
    </w:p>
    <w:p w:rsidR="009E3AC4" w:rsidRPr="00CF447E" w:rsidRDefault="009E3AC4" w:rsidP="00C63923">
      <w:pPr>
        <w:spacing w:line="276" w:lineRule="auto"/>
        <w:ind w:left="-284"/>
        <w:jc w:val="both"/>
        <w:rPr>
          <w:rFonts w:ascii="Arial" w:hAnsi="Arial" w:cs="Arial"/>
        </w:rPr>
      </w:pPr>
    </w:p>
    <w:p w:rsidR="00744565" w:rsidRDefault="009E3AC4" w:rsidP="00C63923">
      <w:pPr>
        <w:spacing w:line="276" w:lineRule="auto"/>
        <w:ind w:left="-284"/>
        <w:jc w:val="both"/>
        <w:rPr>
          <w:rFonts w:ascii="Arial" w:hAnsi="Arial" w:cs="Arial"/>
        </w:rPr>
      </w:pPr>
      <w:r w:rsidRPr="005B183F">
        <w:rPr>
          <w:rFonts w:ascii="Arial" w:hAnsi="Arial" w:cs="Arial"/>
          <w:b/>
        </w:rPr>
        <w:t xml:space="preserve">Artículo </w:t>
      </w:r>
      <w:r w:rsidR="007A3394" w:rsidRPr="005B183F">
        <w:rPr>
          <w:rFonts w:ascii="Arial" w:hAnsi="Arial" w:cs="Arial"/>
          <w:b/>
        </w:rPr>
        <w:t>50</w:t>
      </w:r>
      <w:r w:rsidRPr="005B183F">
        <w:rPr>
          <w:rFonts w:ascii="Arial" w:hAnsi="Arial" w:cs="Arial"/>
          <w:b/>
        </w:rPr>
        <w:t>.-</w:t>
      </w:r>
      <w:r w:rsidRPr="00CF447E">
        <w:rPr>
          <w:rFonts w:ascii="Arial" w:hAnsi="Arial" w:cs="Arial"/>
        </w:rPr>
        <w:t xml:space="preserve"> </w:t>
      </w:r>
      <w:r w:rsidR="00744565" w:rsidRPr="00CF447E">
        <w:rPr>
          <w:rFonts w:ascii="Arial" w:hAnsi="Arial" w:cs="Arial"/>
        </w:rPr>
        <w:t>Cada permiso de operación tiene un carácter singular y, en tal sentido, habilitará exclusivamente la explotación del casino de juego expresamente comprendido en él, las licencias de juego otorgadas y los servicios anexos autorizados.</w:t>
      </w:r>
    </w:p>
    <w:p w:rsidR="00CF447E" w:rsidRPr="00CF447E" w:rsidRDefault="00CF447E" w:rsidP="00C63923">
      <w:pPr>
        <w:spacing w:line="276" w:lineRule="auto"/>
        <w:ind w:left="-284"/>
        <w:jc w:val="both"/>
        <w:rPr>
          <w:rFonts w:ascii="Arial" w:hAnsi="Arial" w:cs="Arial"/>
        </w:rPr>
      </w:pPr>
    </w:p>
    <w:p w:rsidR="00744565" w:rsidRPr="00CF447E" w:rsidRDefault="00744565" w:rsidP="00C63923">
      <w:pPr>
        <w:spacing w:line="276" w:lineRule="auto"/>
        <w:ind w:left="-284"/>
        <w:jc w:val="both"/>
        <w:rPr>
          <w:rFonts w:ascii="Arial" w:hAnsi="Arial" w:cs="Arial"/>
        </w:rPr>
      </w:pPr>
      <w:r w:rsidRPr="00CF447E">
        <w:rPr>
          <w:rFonts w:ascii="Arial" w:hAnsi="Arial" w:cs="Arial"/>
        </w:rPr>
        <w:lastRenderedPageBreak/>
        <w:t>Al efecto, no podrá invocarse, bajo ninguna circunstancia, un determinado permiso de operación para la habilitación y funcionamiento de otros establecimientos por la misma sociedad operadora, como tampoco para establecer sucursales del casino de juego amparado en el respectivo permiso.</w:t>
      </w:r>
    </w:p>
    <w:p w:rsidR="009E3AC4" w:rsidRPr="00CF447E" w:rsidRDefault="009E3AC4" w:rsidP="00C63923">
      <w:pPr>
        <w:spacing w:line="276" w:lineRule="auto"/>
        <w:ind w:left="-284"/>
        <w:jc w:val="both"/>
        <w:rPr>
          <w:rFonts w:ascii="Arial" w:hAnsi="Arial" w:cs="Arial"/>
        </w:rPr>
      </w:pPr>
    </w:p>
    <w:p w:rsidR="00744565" w:rsidRDefault="009E3AC4" w:rsidP="00C63923">
      <w:pPr>
        <w:spacing w:line="276" w:lineRule="auto"/>
        <w:ind w:left="-284"/>
        <w:jc w:val="both"/>
        <w:rPr>
          <w:rFonts w:ascii="Arial" w:hAnsi="Arial" w:cs="Arial"/>
        </w:rPr>
      </w:pPr>
      <w:r w:rsidRPr="005B183F">
        <w:rPr>
          <w:rFonts w:ascii="Arial" w:hAnsi="Arial" w:cs="Arial"/>
          <w:b/>
        </w:rPr>
        <w:t>Artículo 5</w:t>
      </w:r>
      <w:r w:rsidR="007A3394" w:rsidRPr="005B183F">
        <w:rPr>
          <w:rFonts w:ascii="Arial" w:hAnsi="Arial" w:cs="Arial"/>
          <w:b/>
        </w:rPr>
        <w:t>1</w:t>
      </w:r>
      <w:r w:rsidR="00744565" w:rsidRPr="005B183F">
        <w:rPr>
          <w:rFonts w:ascii="Arial" w:hAnsi="Arial" w:cs="Arial"/>
          <w:b/>
        </w:rPr>
        <w:t>.-</w:t>
      </w:r>
      <w:r w:rsidR="00744565" w:rsidRPr="00CF447E">
        <w:rPr>
          <w:rFonts w:ascii="Arial" w:hAnsi="Arial" w:cs="Arial"/>
        </w:rPr>
        <w:t xml:space="preserve"> No obstante lo dispuesto en el artículo anterior, la sociedad operadora podrá solicitar a la Superintendencia la ampliación del número de licencias de juego otorgadas o servicios anexos autorizados en el respectivo permiso de operación</w:t>
      </w:r>
      <w:r w:rsidR="000F5078" w:rsidRPr="00CF447E">
        <w:rPr>
          <w:rFonts w:ascii="Arial" w:hAnsi="Arial" w:cs="Arial"/>
        </w:rPr>
        <w:t>, para lo cual deberá sujetarse a las instrucciones que al efecto imparta la Superintendencia</w:t>
      </w:r>
      <w:r w:rsidR="00744565" w:rsidRPr="00CF447E">
        <w:rPr>
          <w:rFonts w:ascii="Arial" w:hAnsi="Arial" w:cs="Arial"/>
        </w:rPr>
        <w:t>.</w:t>
      </w:r>
    </w:p>
    <w:p w:rsidR="00CF447E" w:rsidRPr="00CF447E" w:rsidRDefault="00CF447E" w:rsidP="00C63923">
      <w:pPr>
        <w:spacing w:line="276" w:lineRule="auto"/>
        <w:ind w:left="-284"/>
        <w:jc w:val="both"/>
        <w:rPr>
          <w:rFonts w:ascii="Arial" w:hAnsi="Arial" w:cs="Arial"/>
        </w:rPr>
      </w:pPr>
    </w:p>
    <w:p w:rsidR="00744565" w:rsidRDefault="00744565" w:rsidP="00C63923">
      <w:pPr>
        <w:spacing w:line="276" w:lineRule="auto"/>
        <w:ind w:left="-284"/>
        <w:jc w:val="both"/>
        <w:rPr>
          <w:rFonts w:ascii="Arial" w:hAnsi="Arial" w:cs="Arial"/>
        </w:rPr>
      </w:pPr>
      <w:r w:rsidRPr="00CF447E">
        <w:rPr>
          <w:rFonts w:ascii="Arial" w:hAnsi="Arial" w:cs="Arial"/>
        </w:rPr>
        <w:t>Para los efectos de lo dispuesto precedentemente, la Superintendencia, una vez presentada la referida solicitud de ampliación por la sociedad operadora, requerirá todos los antecedentes que aquélla estime pertinentes y necesarios para evaluar dicha solicitud, los cuales deberán presentarse en el plazo que al efecto fije el Superintendente.</w:t>
      </w:r>
    </w:p>
    <w:p w:rsidR="00CF447E" w:rsidRPr="00CF447E" w:rsidRDefault="00CF447E" w:rsidP="00C63923">
      <w:pPr>
        <w:spacing w:line="276" w:lineRule="auto"/>
        <w:ind w:left="-284"/>
        <w:jc w:val="both"/>
        <w:rPr>
          <w:rFonts w:ascii="Arial" w:hAnsi="Arial" w:cs="Arial"/>
        </w:rPr>
      </w:pPr>
    </w:p>
    <w:p w:rsidR="00744565" w:rsidRDefault="00AB34C8" w:rsidP="00C63923">
      <w:pPr>
        <w:spacing w:line="276" w:lineRule="auto"/>
        <w:ind w:left="-284"/>
        <w:jc w:val="both"/>
        <w:rPr>
          <w:rFonts w:ascii="Arial" w:hAnsi="Arial" w:cs="Arial"/>
        </w:rPr>
      </w:pPr>
      <w:r>
        <w:rPr>
          <w:rFonts w:ascii="Arial" w:hAnsi="Arial" w:cs="Arial"/>
        </w:rPr>
        <w:t>Asimismo, y so</w:t>
      </w:r>
      <w:r w:rsidR="00744565" w:rsidRPr="00CF447E">
        <w:rPr>
          <w:rFonts w:ascii="Arial" w:hAnsi="Arial" w:cs="Arial"/>
        </w:rPr>
        <w:t>lo una vez transcurridos cinco años desde el inicio de la operación del casino de juego, la sociedad operadora podrá solicitar la reducción de una o más de las licencias de juego o servicios anexos autorizados en el permiso de operación. En todo caso, la Superintendencia no dará curso a aquellas solicitudes de reducción que impliquen una infracción al mínimo de categorías de juegos o servicios anexos que legal y reglamentariamente deben prestarse por toda sociedad operadora.</w:t>
      </w:r>
    </w:p>
    <w:p w:rsidR="00CF447E" w:rsidRPr="00CF447E" w:rsidRDefault="00CF447E" w:rsidP="00C63923">
      <w:pPr>
        <w:spacing w:line="276" w:lineRule="auto"/>
        <w:ind w:left="-284"/>
        <w:jc w:val="both"/>
        <w:rPr>
          <w:rFonts w:ascii="Arial" w:hAnsi="Arial" w:cs="Arial"/>
        </w:rPr>
      </w:pPr>
    </w:p>
    <w:p w:rsidR="00744565" w:rsidRDefault="00744565" w:rsidP="00C63923">
      <w:pPr>
        <w:spacing w:line="276" w:lineRule="auto"/>
        <w:ind w:left="-284"/>
        <w:jc w:val="both"/>
        <w:rPr>
          <w:rFonts w:ascii="Arial" w:hAnsi="Arial" w:cs="Arial"/>
        </w:rPr>
      </w:pPr>
      <w:r w:rsidRPr="00CF447E">
        <w:rPr>
          <w:rFonts w:ascii="Arial" w:hAnsi="Arial" w:cs="Arial"/>
        </w:rPr>
        <w:t>Las solicitudes de ampliación o reducción reguladas en el presente artículo, serán evaluadas por la Superintendencia, en virtud de los antecedentes aportados por la solicitante o recabados</w:t>
      </w:r>
      <w:r w:rsidR="009E3AC4" w:rsidRPr="00CF447E">
        <w:rPr>
          <w:rFonts w:ascii="Arial" w:hAnsi="Arial" w:cs="Arial"/>
        </w:rPr>
        <w:t xml:space="preserve"> por el propio S</w:t>
      </w:r>
      <w:r w:rsidRPr="00CF447E">
        <w:rPr>
          <w:rFonts w:ascii="Arial" w:hAnsi="Arial" w:cs="Arial"/>
        </w:rPr>
        <w:t>ervicio. Correspo</w:t>
      </w:r>
      <w:r w:rsidRPr="00573439">
        <w:rPr>
          <w:rFonts w:ascii="Arial" w:hAnsi="Arial" w:cs="Arial"/>
        </w:rPr>
        <w:t>nderá al Consejo Resolutivo resolver, dentro del p</w:t>
      </w:r>
      <w:r w:rsidRPr="00C465B7">
        <w:rPr>
          <w:rFonts w:ascii="Arial" w:hAnsi="Arial" w:cs="Arial"/>
        </w:rPr>
        <w:t xml:space="preserve">lazo de 30 días, las diversas solicitudes de ampliación o reducción, sobre la base de la proposición que al efecto deberá realizar el Superintendente. Para los efectos señalados, la Superintendencia acumulará cada </w:t>
      </w:r>
      <w:r w:rsidR="000F5078" w:rsidRPr="00C465B7">
        <w:rPr>
          <w:rFonts w:ascii="Arial" w:hAnsi="Arial" w:cs="Arial"/>
        </w:rPr>
        <w:t>cuatro</w:t>
      </w:r>
      <w:r w:rsidRPr="00C465B7">
        <w:rPr>
          <w:rFonts w:ascii="Arial" w:hAnsi="Arial" w:cs="Arial"/>
        </w:rPr>
        <w:t xml:space="preserve"> meses las distintas solicitudes antes de someterlas todas ellas a la resolución del Consejo.</w:t>
      </w:r>
    </w:p>
    <w:p w:rsidR="00CF447E" w:rsidRPr="00CF447E" w:rsidRDefault="00CF447E" w:rsidP="00C63923">
      <w:pPr>
        <w:spacing w:line="276" w:lineRule="auto"/>
        <w:ind w:left="-284"/>
        <w:jc w:val="both"/>
        <w:rPr>
          <w:rFonts w:ascii="Arial" w:hAnsi="Arial" w:cs="Arial"/>
        </w:rPr>
      </w:pPr>
    </w:p>
    <w:p w:rsidR="00744565" w:rsidRDefault="00744565" w:rsidP="00C63923">
      <w:pPr>
        <w:spacing w:line="276" w:lineRule="auto"/>
        <w:ind w:left="-284"/>
        <w:jc w:val="both"/>
        <w:rPr>
          <w:rFonts w:ascii="Arial" w:hAnsi="Arial" w:cs="Arial"/>
        </w:rPr>
      </w:pPr>
      <w:r w:rsidRPr="00CF447E">
        <w:rPr>
          <w:rFonts w:ascii="Arial" w:hAnsi="Arial" w:cs="Arial"/>
        </w:rPr>
        <w:lastRenderedPageBreak/>
        <w:t>La decisión del Consejo se formalizará mediante resolución y será informada por la Superintendencia al rep</w:t>
      </w:r>
      <w:r w:rsidR="00AB34C8">
        <w:rPr>
          <w:rFonts w:ascii="Arial" w:hAnsi="Arial" w:cs="Arial"/>
        </w:rPr>
        <w:t>resentante de la solicitante. So</w:t>
      </w:r>
      <w:r w:rsidRPr="00CF447E">
        <w:rPr>
          <w:rFonts w:ascii="Arial" w:hAnsi="Arial" w:cs="Arial"/>
        </w:rPr>
        <w:t>lo las resoluciones que den curso a las solicitudes, sean éstas de ampliación o de reducción, deberán ser publicadas en el Diario Oficial dentro de los diez días siguientes a su dictación.</w:t>
      </w:r>
    </w:p>
    <w:p w:rsidR="00CF447E" w:rsidRPr="00CF447E" w:rsidRDefault="00CF447E" w:rsidP="00C63923">
      <w:pPr>
        <w:spacing w:line="276" w:lineRule="auto"/>
        <w:ind w:left="-284"/>
        <w:jc w:val="both"/>
        <w:rPr>
          <w:rFonts w:ascii="Arial" w:hAnsi="Arial" w:cs="Arial"/>
        </w:rPr>
      </w:pPr>
    </w:p>
    <w:p w:rsidR="00744565" w:rsidRDefault="00744565" w:rsidP="00C63923">
      <w:pPr>
        <w:spacing w:line="276" w:lineRule="auto"/>
        <w:ind w:left="-284"/>
        <w:jc w:val="both"/>
        <w:rPr>
          <w:rFonts w:ascii="Arial" w:hAnsi="Arial" w:cs="Arial"/>
        </w:rPr>
      </w:pPr>
      <w:r w:rsidRPr="00CF447E">
        <w:rPr>
          <w:rFonts w:ascii="Arial" w:hAnsi="Arial" w:cs="Arial"/>
        </w:rPr>
        <w:t>Por su parte, los aumentos o disminuciones en el número de mesas, máquinas o posiciones de juego del bingo, que efectúe el operador respecto de cualquiera de los juegos amparados por una licencia, deberán ser comunicados a la Superintendencia previamente a su implementación; ello, en todo caso, sin perjuicio de lo establecido en el inciso final del artículo 5º de la Ley.</w:t>
      </w:r>
    </w:p>
    <w:p w:rsidR="00CF447E" w:rsidRPr="00CF447E" w:rsidRDefault="00CF447E" w:rsidP="00C63923">
      <w:pPr>
        <w:spacing w:line="276" w:lineRule="auto"/>
        <w:ind w:left="-284"/>
        <w:jc w:val="both"/>
        <w:rPr>
          <w:rFonts w:ascii="Arial" w:hAnsi="Arial" w:cs="Arial"/>
        </w:rPr>
      </w:pPr>
    </w:p>
    <w:p w:rsidR="00744565" w:rsidRPr="00CF447E" w:rsidRDefault="00744565" w:rsidP="00C63923">
      <w:pPr>
        <w:spacing w:line="276" w:lineRule="auto"/>
        <w:ind w:left="-284"/>
        <w:jc w:val="both"/>
        <w:rPr>
          <w:rFonts w:ascii="Arial" w:hAnsi="Arial" w:cs="Arial"/>
        </w:rPr>
      </w:pPr>
      <w:r w:rsidRPr="00CF447E">
        <w:rPr>
          <w:rFonts w:ascii="Arial" w:hAnsi="Arial" w:cs="Arial"/>
        </w:rPr>
        <w:t>Lo dispuesto en el inciso precedente, se entiende sin perjuicio de las variaciones en la apertura y cierre de mesas, máquinas o posiciones de juego del bingo que el operador puede efectuar durante la operación cotidiana del casino, en consideración a la afluencia de jugadores, hora, días de la semana o estacionalidad.</w:t>
      </w:r>
    </w:p>
    <w:p w:rsidR="009E3AC4" w:rsidRPr="00573439" w:rsidRDefault="009E3AC4" w:rsidP="00C63923">
      <w:pPr>
        <w:spacing w:line="276" w:lineRule="auto"/>
        <w:ind w:left="-284"/>
        <w:jc w:val="both"/>
        <w:rPr>
          <w:rFonts w:ascii="Arial" w:hAnsi="Arial" w:cs="Arial"/>
        </w:rPr>
      </w:pPr>
    </w:p>
    <w:p w:rsidR="00744565" w:rsidRPr="00D33013" w:rsidRDefault="009E3AC4" w:rsidP="00C63923">
      <w:pPr>
        <w:spacing w:line="276" w:lineRule="auto"/>
        <w:ind w:left="-284"/>
        <w:jc w:val="both"/>
        <w:rPr>
          <w:rFonts w:ascii="Arial" w:hAnsi="Arial" w:cs="Arial"/>
        </w:rPr>
      </w:pPr>
      <w:r w:rsidRPr="005B183F">
        <w:rPr>
          <w:rFonts w:ascii="Arial" w:hAnsi="Arial" w:cs="Arial"/>
          <w:b/>
        </w:rPr>
        <w:t>Artículo 5</w:t>
      </w:r>
      <w:r w:rsidR="000F5078" w:rsidRPr="005B183F">
        <w:rPr>
          <w:rFonts w:ascii="Arial" w:hAnsi="Arial" w:cs="Arial"/>
          <w:b/>
        </w:rPr>
        <w:t>2</w:t>
      </w:r>
      <w:r w:rsidR="00744565" w:rsidRPr="005B183F">
        <w:rPr>
          <w:rFonts w:ascii="Arial" w:hAnsi="Arial" w:cs="Arial"/>
          <w:b/>
        </w:rPr>
        <w:t>.-</w:t>
      </w:r>
      <w:r w:rsidR="00744565" w:rsidRPr="00C465B7">
        <w:rPr>
          <w:rFonts w:ascii="Arial" w:hAnsi="Arial" w:cs="Arial"/>
        </w:rPr>
        <w:t xml:space="preserve"> Para el seguimiento y fiscalización del estricto cumplimiento de las condiciones que a cada sociedad impone el permiso de operación, y en especial para los efectos de lo dispuesto en </w:t>
      </w:r>
      <w:r w:rsidRPr="00C465B7">
        <w:rPr>
          <w:rFonts w:ascii="Arial" w:hAnsi="Arial" w:cs="Arial"/>
        </w:rPr>
        <w:t>el artículo 34</w:t>
      </w:r>
      <w:r w:rsidR="002A1297" w:rsidRPr="00C465B7">
        <w:rPr>
          <w:rFonts w:ascii="Arial" w:hAnsi="Arial" w:cs="Arial"/>
        </w:rPr>
        <w:t>, numeral tercero,</w:t>
      </w:r>
      <w:r w:rsidR="00744565" w:rsidRPr="00C465B7">
        <w:rPr>
          <w:rFonts w:ascii="Arial" w:hAnsi="Arial" w:cs="Arial"/>
        </w:rPr>
        <w:t xml:space="preserve"> del </w:t>
      </w:r>
      <w:r w:rsidR="00F94BD6" w:rsidRPr="00C465B7">
        <w:rPr>
          <w:rFonts w:ascii="Arial" w:hAnsi="Arial" w:cs="Arial"/>
        </w:rPr>
        <w:t>presente reglamento</w:t>
      </w:r>
      <w:r w:rsidR="00744565" w:rsidRPr="00D33013">
        <w:rPr>
          <w:rFonts w:ascii="Arial" w:hAnsi="Arial" w:cs="Arial"/>
        </w:rPr>
        <w:t>, la Superintendencia, en ejercicio de sus atribuciones, deberá desarrollar y mantener un sistema para la evaluación anual del desempeño operacional de cada casino de juego autorizado en el país.</w:t>
      </w:r>
    </w:p>
    <w:p w:rsidR="006F267A" w:rsidRPr="00107347" w:rsidRDefault="006F267A" w:rsidP="00C63923">
      <w:pPr>
        <w:spacing w:line="276" w:lineRule="auto"/>
        <w:ind w:left="-284"/>
        <w:jc w:val="both"/>
        <w:rPr>
          <w:rFonts w:ascii="Arial" w:hAnsi="Arial" w:cs="Arial"/>
        </w:rPr>
      </w:pPr>
    </w:p>
    <w:p w:rsidR="006F267A" w:rsidRPr="00636B98" w:rsidRDefault="006F267A" w:rsidP="00C63923">
      <w:pPr>
        <w:spacing w:line="276" w:lineRule="auto"/>
        <w:ind w:left="-284"/>
        <w:jc w:val="center"/>
        <w:rPr>
          <w:rFonts w:ascii="Arial" w:hAnsi="Arial" w:cs="Arial"/>
          <w:b/>
        </w:rPr>
      </w:pPr>
      <w:r w:rsidRPr="00636B98">
        <w:rPr>
          <w:rFonts w:ascii="Arial" w:hAnsi="Arial" w:cs="Arial"/>
          <w:b/>
        </w:rPr>
        <w:t>TITULO IV</w:t>
      </w:r>
      <w:r w:rsidR="00973AE2" w:rsidRPr="00636B98">
        <w:rPr>
          <w:rFonts w:ascii="Arial" w:hAnsi="Arial" w:cs="Arial"/>
          <w:b/>
        </w:rPr>
        <w:t xml:space="preserve">. </w:t>
      </w:r>
      <w:r w:rsidRPr="00636B98">
        <w:rPr>
          <w:rFonts w:ascii="Arial" w:hAnsi="Arial" w:cs="Arial"/>
          <w:b/>
        </w:rPr>
        <w:t xml:space="preserve"> Regímenes especiales</w:t>
      </w:r>
    </w:p>
    <w:p w:rsidR="006F267A" w:rsidRPr="00973AE2" w:rsidRDefault="006F267A" w:rsidP="00C63923">
      <w:pPr>
        <w:spacing w:line="276" w:lineRule="auto"/>
        <w:ind w:left="-284"/>
        <w:jc w:val="both"/>
        <w:rPr>
          <w:rFonts w:ascii="Arial" w:hAnsi="Arial" w:cs="Arial"/>
        </w:rPr>
      </w:pPr>
    </w:p>
    <w:p w:rsidR="006F267A" w:rsidRDefault="006F267A" w:rsidP="00C63923">
      <w:pPr>
        <w:spacing w:line="276" w:lineRule="auto"/>
        <w:ind w:left="-284"/>
        <w:jc w:val="both"/>
        <w:rPr>
          <w:rFonts w:ascii="Arial" w:hAnsi="Arial" w:cs="Arial"/>
        </w:rPr>
      </w:pPr>
      <w:r w:rsidRPr="005B183F">
        <w:rPr>
          <w:rFonts w:ascii="Arial" w:hAnsi="Arial" w:cs="Arial"/>
          <w:b/>
        </w:rPr>
        <w:t>Artículo 5</w:t>
      </w:r>
      <w:r w:rsidR="000F5078" w:rsidRPr="005B183F">
        <w:rPr>
          <w:rFonts w:ascii="Arial" w:hAnsi="Arial" w:cs="Arial"/>
          <w:b/>
        </w:rPr>
        <w:t>3</w:t>
      </w:r>
      <w:r w:rsidRPr="005B183F">
        <w:rPr>
          <w:rFonts w:ascii="Arial" w:hAnsi="Arial" w:cs="Arial"/>
          <w:b/>
        </w:rPr>
        <w:t>.-</w:t>
      </w:r>
      <w:r w:rsidRPr="00636B98">
        <w:rPr>
          <w:rFonts w:ascii="Arial" w:hAnsi="Arial" w:cs="Arial"/>
        </w:rPr>
        <w:t xml:space="preserve"> De conformidad a lo dis</w:t>
      </w:r>
      <w:r w:rsidR="000C7F05" w:rsidRPr="00636B98">
        <w:rPr>
          <w:rFonts w:ascii="Arial" w:hAnsi="Arial" w:cs="Arial"/>
        </w:rPr>
        <w:t>puesto en el artículo 64 de la l</w:t>
      </w:r>
      <w:r w:rsidRPr="00636B98">
        <w:rPr>
          <w:rFonts w:ascii="Arial" w:hAnsi="Arial" w:cs="Arial"/>
        </w:rPr>
        <w:t>ey Nº19.995, la autorización de permisos de operación de casinos de juego en la comuna de Arica, correspondiente a la Región de Arica y Parinacota, se circunscribirá a las siguientes disposiciones:</w:t>
      </w:r>
    </w:p>
    <w:p w:rsidR="00CF447E" w:rsidRPr="00CF447E" w:rsidRDefault="00CF447E" w:rsidP="00C63923">
      <w:pPr>
        <w:spacing w:line="276" w:lineRule="auto"/>
        <w:ind w:left="-284"/>
        <w:jc w:val="both"/>
        <w:rPr>
          <w:rFonts w:ascii="Arial" w:hAnsi="Arial" w:cs="Arial"/>
        </w:rPr>
      </w:pPr>
    </w:p>
    <w:p w:rsidR="006F267A" w:rsidRDefault="006F267A" w:rsidP="00C63923">
      <w:pPr>
        <w:spacing w:line="276" w:lineRule="auto"/>
        <w:ind w:left="-284"/>
        <w:jc w:val="both"/>
        <w:rPr>
          <w:rFonts w:ascii="Arial" w:hAnsi="Arial" w:cs="Arial"/>
        </w:rPr>
      </w:pPr>
      <w:r w:rsidRPr="00CF447E">
        <w:rPr>
          <w:rFonts w:ascii="Arial" w:hAnsi="Arial" w:cs="Arial"/>
        </w:rPr>
        <w:t>1) El territorio correspondiente a la comuna de Arica no será considerado para efectos de computar el límite de casinos de juego a autorizarse y funcionar en el país;</w:t>
      </w:r>
    </w:p>
    <w:p w:rsidR="00CF447E" w:rsidRPr="00CF447E" w:rsidRDefault="00CF447E" w:rsidP="00C63923">
      <w:pPr>
        <w:spacing w:line="276" w:lineRule="auto"/>
        <w:ind w:left="-284"/>
        <w:jc w:val="both"/>
        <w:rPr>
          <w:rFonts w:ascii="Arial" w:hAnsi="Arial" w:cs="Arial"/>
        </w:rPr>
      </w:pPr>
    </w:p>
    <w:p w:rsidR="006F267A" w:rsidRDefault="006F267A" w:rsidP="00C63923">
      <w:pPr>
        <w:spacing w:line="276" w:lineRule="auto"/>
        <w:ind w:left="-284"/>
        <w:jc w:val="both"/>
        <w:rPr>
          <w:rFonts w:ascii="Arial" w:hAnsi="Arial" w:cs="Arial"/>
        </w:rPr>
      </w:pPr>
      <w:r w:rsidRPr="00CF447E">
        <w:rPr>
          <w:rFonts w:ascii="Arial" w:hAnsi="Arial" w:cs="Arial"/>
        </w:rPr>
        <w:t>2) La referida comuna tampoco será considerada dentro del territorio de la Región de Arica y Parinacota, para efectos de limitar a tres el número máximo de casinos de juego a autorizarse y funcionar en una misma región;</w:t>
      </w:r>
    </w:p>
    <w:p w:rsidR="00CF447E" w:rsidRPr="00CF447E" w:rsidRDefault="00CF447E" w:rsidP="00C63923">
      <w:pPr>
        <w:spacing w:line="276" w:lineRule="auto"/>
        <w:ind w:left="-284"/>
        <w:jc w:val="both"/>
        <w:rPr>
          <w:rFonts w:ascii="Arial" w:hAnsi="Arial" w:cs="Arial"/>
        </w:rPr>
      </w:pPr>
    </w:p>
    <w:p w:rsidR="006F267A" w:rsidRDefault="006F267A" w:rsidP="00C63923">
      <w:pPr>
        <w:spacing w:line="276" w:lineRule="auto"/>
        <w:ind w:left="-284"/>
        <w:jc w:val="both"/>
        <w:rPr>
          <w:rFonts w:ascii="Arial" w:hAnsi="Arial" w:cs="Arial"/>
        </w:rPr>
      </w:pPr>
      <w:r w:rsidRPr="00CF447E">
        <w:rPr>
          <w:rFonts w:ascii="Arial" w:hAnsi="Arial" w:cs="Arial"/>
        </w:rPr>
        <w:t xml:space="preserve">3) Asimismo, dentro del </w:t>
      </w:r>
      <w:r w:rsidRPr="00573439">
        <w:rPr>
          <w:rFonts w:ascii="Arial" w:hAnsi="Arial" w:cs="Arial"/>
        </w:rPr>
        <w:t>referido territorio comunal, no se aplicará el límite vial</w:t>
      </w:r>
      <w:r w:rsidRPr="00C465B7">
        <w:rPr>
          <w:rFonts w:ascii="Arial" w:hAnsi="Arial" w:cs="Arial"/>
        </w:rPr>
        <w:t xml:space="preserve"> mínimo de 70 kilómetros que debe existir entre diversos casinos de juego;</w:t>
      </w:r>
    </w:p>
    <w:p w:rsidR="00CF447E" w:rsidRPr="00CF447E" w:rsidRDefault="00CF447E" w:rsidP="00C63923">
      <w:pPr>
        <w:spacing w:line="276" w:lineRule="auto"/>
        <w:ind w:left="-284"/>
        <w:jc w:val="both"/>
        <w:rPr>
          <w:rFonts w:ascii="Arial" w:hAnsi="Arial" w:cs="Arial"/>
        </w:rPr>
      </w:pPr>
    </w:p>
    <w:p w:rsidR="006F267A" w:rsidRDefault="006F267A" w:rsidP="00C63923">
      <w:pPr>
        <w:spacing w:line="276" w:lineRule="auto"/>
        <w:ind w:left="-284"/>
        <w:jc w:val="both"/>
        <w:rPr>
          <w:rFonts w:ascii="Arial" w:hAnsi="Arial" w:cs="Arial"/>
        </w:rPr>
      </w:pPr>
      <w:r w:rsidRPr="00CF447E">
        <w:rPr>
          <w:rFonts w:ascii="Arial" w:hAnsi="Arial" w:cs="Arial"/>
        </w:rPr>
        <w:t xml:space="preserve">4) Las sociedades solicitantes se regirán plenamente por las disposiciones del artículo 9º del </w:t>
      </w:r>
      <w:r w:rsidR="00F94BD6" w:rsidRPr="00573439">
        <w:rPr>
          <w:rFonts w:ascii="Arial" w:hAnsi="Arial" w:cs="Arial"/>
        </w:rPr>
        <w:t>presente reglamento</w:t>
      </w:r>
      <w:r w:rsidRPr="00C465B7">
        <w:rPr>
          <w:rFonts w:ascii="Arial" w:hAnsi="Arial" w:cs="Arial"/>
        </w:rPr>
        <w:t>, salvo en lo relativo al capital social mínimo, cuyo monto no podrá ser inferior al equivalente a veinte mil unidades de fomento, el cual deberá estar suscrito y pagado al momento de la constitución de la respectiva sociedad;</w:t>
      </w:r>
    </w:p>
    <w:p w:rsidR="00CF447E" w:rsidRPr="00CF447E" w:rsidRDefault="00CF447E" w:rsidP="00C63923">
      <w:pPr>
        <w:spacing w:line="276" w:lineRule="auto"/>
        <w:ind w:left="-284"/>
        <w:jc w:val="both"/>
        <w:rPr>
          <w:rFonts w:ascii="Arial" w:hAnsi="Arial" w:cs="Arial"/>
        </w:rPr>
      </w:pPr>
    </w:p>
    <w:p w:rsidR="006F267A" w:rsidRDefault="006F267A" w:rsidP="00C63923">
      <w:pPr>
        <w:spacing w:line="276" w:lineRule="auto"/>
        <w:ind w:left="-284"/>
        <w:jc w:val="both"/>
        <w:rPr>
          <w:rFonts w:ascii="Arial" w:hAnsi="Arial" w:cs="Arial"/>
        </w:rPr>
      </w:pPr>
      <w:r w:rsidRPr="00CF447E">
        <w:rPr>
          <w:rFonts w:ascii="Arial" w:hAnsi="Arial" w:cs="Arial"/>
        </w:rPr>
        <w:t>5) La solicitud de permiso de operació</w:t>
      </w:r>
      <w:r w:rsidRPr="00573439">
        <w:rPr>
          <w:rFonts w:ascii="Arial" w:hAnsi="Arial" w:cs="Arial"/>
        </w:rPr>
        <w:t xml:space="preserve">n deberá acompañarse de los siguientes antecedentes: a) </w:t>
      </w:r>
      <w:r w:rsidRPr="00C465B7">
        <w:rPr>
          <w:rFonts w:ascii="Arial" w:hAnsi="Arial" w:cs="Arial"/>
        </w:rPr>
        <w:t>la ubicación, planos y títulos de la propiedad del establecimiento y el certificado de recepción final de las construcciones otorgado por la Dirección de Obras Municipales competente; b) la escritura social y demás antecedentes relativos a la constitución de la sociedad operadora, los acuerdos de las juntas de accionistas y del directorio, así como los poderes de los gerentes y apoderados; c) los antecedentes personales y comerciales de los socios, gerentes y apoderados; d) los juegos de azar y los servicios anexos que se pretende explotar, y e) el plan de operación;</w:t>
      </w:r>
    </w:p>
    <w:p w:rsidR="00CF447E" w:rsidRPr="00CF447E" w:rsidRDefault="00CF447E" w:rsidP="00C63923">
      <w:pPr>
        <w:spacing w:line="276" w:lineRule="auto"/>
        <w:ind w:left="-284"/>
        <w:jc w:val="both"/>
        <w:rPr>
          <w:rFonts w:ascii="Arial" w:hAnsi="Arial" w:cs="Arial"/>
        </w:rPr>
      </w:pPr>
    </w:p>
    <w:p w:rsidR="006F267A" w:rsidRDefault="006F267A" w:rsidP="00C63923">
      <w:pPr>
        <w:spacing w:line="276" w:lineRule="auto"/>
        <w:ind w:left="-284"/>
        <w:jc w:val="both"/>
        <w:rPr>
          <w:rFonts w:ascii="Arial" w:hAnsi="Arial" w:cs="Arial"/>
        </w:rPr>
      </w:pPr>
      <w:r w:rsidRPr="00CF447E">
        <w:rPr>
          <w:rFonts w:ascii="Arial" w:hAnsi="Arial" w:cs="Arial"/>
        </w:rPr>
        <w:t xml:space="preserve">6) Constituirá condición mínima y necesaria para el otorgamiento de un permiso de operación en la referida comuna, que el casino de juego </w:t>
      </w:r>
      <w:r w:rsidRPr="00573439">
        <w:rPr>
          <w:rFonts w:ascii="Arial" w:hAnsi="Arial" w:cs="Arial"/>
        </w:rPr>
        <w:t>sea anexo a una inversión en estructura turística que s</w:t>
      </w:r>
      <w:r w:rsidRPr="00C465B7">
        <w:rPr>
          <w:rFonts w:ascii="Arial" w:hAnsi="Arial" w:cs="Arial"/>
        </w:rPr>
        <w:t>e realizará en terrenos propios del solicitante y que comprenda la construcción de un hotel de a lo menos ochenta dependencias habitacionales, restaurantes, bares, sala de convenciones o eventos similares, caja de cambio d</w:t>
      </w:r>
      <w:r w:rsidR="00C63923">
        <w:rPr>
          <w:rFonts w:ascii="Arial" w:hAnsi="Arial" w:cs="Arial"/>
        </w:rPr>
        <w:t xml:space="preserve">e moneda extranjera y piscinas; </w:t>
      </w:r>
      <w:r w:rsidRPr="00C465B7">
        <w:rPr>
          <w:rFonts w:ascii="Arial" w:hAnsi="Arial" w:cs="Arial"/>
        </w:rPr>
        <w:t>y</w:t>
      </w:r>
    </w:p>
    <w:p w:rsidR="00CF447E" w:rsidRPr="00CF447E" w:rsidRDefault="00CF447E" w:rsidP="00C63923">
      <w:pPr>
        <w:spacing w:line="276" w:lineRule="auto"/>
        <w:ind w:left="-284"/>
        <w:jc w:val="both"/>
        <w:rPr>
          <w:rFonts w:ascii="Arial" w:hAnsi="Arial" w:cs="Arial"/>
        </w:rPr>
      </w:pPr>
    </w:p>
    <w:p w:rsidR="006F267A" w:rsidRDefault="006F267A" w:rsidP="00C63923">
      <w:pPr>
        <w:spacing w:line="276" w:lineRule="auto"/>
        <w:ind w:left="-284"/>
        <w:jc w:val="both"/>
        <w:rPr>
          <w:rFonts w:ascii="Arial" w:hAnsi="Arial" w:cs="Arial"/>
        </w:rPr>
      </w:pPr>
      <w:r w:rsidRPr="00CF447E">
        <w:rPr>
          <w:rFonts w:ascii="Arial" w:hAnsi="Arial" w:cs="Arial"/>
        </w:rPr>
        <w:t xml:space="preserve">7) El permiso de operación se otorgará por la Superintendencia, de conformidad al procedimiento establecido en el </w:t>
      </w:r>
      <w:r w:rsidR="00F94BD6" w:rsidRPr="00573439">
        <w:rPr>
          <w:rFonts w:ascii="Arial" w:hAnsi="Arial" w:cs="Arial"/>
        </w:rPr>
        <w:t>presente reglamento</w:t>
      </w:r>
      <w:r w:rsidRPr="00C465B7">
        <w:rPr>
          <w:rFonts w:ascii="Arial" w:hAnsi="Arial" w:cs="Arial"/>
        </w:rPr>
        <w:t>, y por el plazo legal de 15 años.</w:t>
      </w:r>
    </w:p>
    <w:p w:rsidR="00CF447E" w:rsidRPr="00CF447E" w:rsidRDefault="00CF447E" w:rsidP="00C63923">
      <w:pPr>
        <w:spacing w:line="276" w:lineRule="auto"/>
        <w:ind w:left="-284"/>
        <w:jc w:val="both"/>
        <w:rPr>
          <w:rFonts w:ascii="Arial" w:hAnsi="Arial" w:cs="Arial"/>
        </w:rPr>
      </w:pPr>
    </w:p>
    <w:p w:rsidR="006F267A" w:rsidRPr="00C465B7" w:rsidRDefault="006F267A" w:rsidP="00C63923">
      <w:pPr>
        <w:spacing w:line="276" w:lineRule="auto"/>
        <w:ind w:left="-284"/>
        <w:jc w:val="both"/>
        <w:rPr>
          <w:rFonts w:ascii="Arial" w:hAnsi="Arial" w:cs="Arial"/>
        </w:rPr>
      </w:pPr>
      <w:r w:rsidRPr="00CF447E">
        <w:rPr>
          <w:rFonts w:ascii="Arial" w:hAnsi="Arial" w:cs="Arial"/>
        </w:rPr>
        <w:t xml:space="preserve">En todo lo que no fuere contrario a las particularidades contempladas precedentemente, se aplicarán en plenitud todas las disposiciones establecidas en el </w:t>
      </w:r>
      <w:r w:rsidR="00F94BD6" w:rsidRPr="00CF447E">
        <w:rPr>
          <w:rFonts w:ascii="Arial" w:hAnsi="Arial" w:cs="Arial"/>
        </w:rPr>
        <w:t>presente reglamento</w:t>
      </w:r>
      <w:r w:rsidRPr="00CF447E">
        <w:rPr>
          <w:rFonts w:ascii="Arial" w:hAnsi="Arial" w:cs="Arial"/>
        </w:rPr>
        <w:t xml:space="preserve">, en materias de período de presentación de </w:t>
      </w:r>
      <w:r w:rsidR="000F5078" w:rsidRPr="00CF447E">
        <w:rPr>
          <w:rFonts w:ascii="Arial" w:hAnsi="Arial" w:cs="Arial"/>
        </w:rPr>
        <w:t>ofertas técnicas y económicas</w:t>
      </w:r>
      <w:r w:rsidRPr="00573439">
        <w:rPr>
          <w:rFonts w:ascii="Arial" w:hAnsi="Arial" w:cs="Arial"/>
        </w:rPr>
        <w:t xml:space="preserve">, evaluación de las </w:t>
      </w:r>
      <w:r w:rsidR="000F5078" w:rsidRPr="00C465B7">
        <w:rPr>
          <w:rFonts w:ascii="Arial" w:hAnsi="Arial" w:cs="Arial"/>
        </w:rPr>
        <w:t>mismas</w:t>
      </w:r>
      <w:r w:rsidRPr="00C465B7">
        <w:rPr>
          <w:rFonts w:ascii="Arial" w:hAnsi="Arial" w:cs="Arial"/>
        </w:rPr>
        <w:t>, procedimiento de autorización de permisos de operación, desarrollo del permiso de operación y causales de extinción y revocación de tales permisos, entre otras. Sin perjuicio del régimen especial de otorgamiento de permisos de operación contemplado en el presente artículo, a los casinos de juego autorizados en la comuna de Arica se les aplicará, en todo lo demás, el régimen general.</w:t>
      </w:r>
    </w:p>
    <w:p w:rsidR="006F267A" w:rsidRPr="00C465B7" w:rsidRDefault="006F267A" w:rsidP="00C63923">
      <w:pPr>
        <w:spacing w:line="276" w:lineRule="auto"/>
        <w:ind w:left="-284"/>
        <w:jc w:val="both"/>
        <w:rPr>
          <w:rFonts w:ascii="Arial" w:hAnsi="Arial" w:cs="Arial"/>
        </w:rPr>
      </w:pPr>
    </w:p>
    <w:p w:rsidR="006F267A" w:rsidRDefault="00006F59" w:rsidP="00C63923">
      <w:pPr>
        <w:spacing w:line="276" w:lineRule="auto"/>
        <w:ind w:left="-284"/>
        <w:jc w:val="both"/>
        <w:rPr>
          <w:rFonts w:ascii="Arial" w:hAnsi="Arial" w:cs="Arial"/>
        </w:rPr>
      </w:pPr>
      <w:r w:rsidRPr="005B183F">
        <w:rPr>
          <w:rFonts w:ascii="Arial" w:hAnsi="Arial" w:cs="Arial"/>
          <w:b/>
        </w:rPr>
        <w:t>Artículo 54</w:t>
      </w:r>
      <w:r w:rsidR="006F267A" w:rsidRPr="005B183F">
        <w:rPr>
          <w:rFonts w:ascii="Arial" w:hAnsi="Arial" w:cs="Arial"/>
          <w:b/>
        </w:rPr>
        <w:t>.-</w:t>
      </w:r>
      <w:r w:rsidR="006F267A" w:rsidRPr="00D33013">
        <w:rPr>
          <w:rFonts w:ascii="Arial" w:hAnsi="Arial" w:cs="Arial"/>
        </w:rPr>
        <w:t xml:space="preserve"> La Superintendencia podrá autorizar de manera excepcional la explotación de los juegos de azar previstos en la Ley Nº19.995 en naves me</w:t>
      </w:r>
      <w:r w:rsidR="00AB34C8">
        <w:rPr>
          <w:rFonts w:ascii="Arial" w:hAnsi="Arial" w:cs="Arial"/>
        </w:rPr>
        <w:t>rcantes mayores nacionales, y so</w:t>
      </w:r>
      <w:r w:rsidR="006F267A" w:rsidRPr="00D33013">
        <w:rPr>
          <w:rFonts w:ascii="Arial" w:hAnsi="Arial" w:cs="Arial"/>
        </w:rPr>
        <w:t>lo de confo</w:t>
      </w:r>
      <w:r w:rsidR="006F267A" w:rsidRPr="00107347">
        <w:rPr>
          <w:rFonts w:ascii="Arial" w:hAnsi="Arial" w:cs="Arial"/>
        </w:rPr>
        <w:t>rmidad a las siguientes condiciones y requisitos:</w:t>
      </w:r>
    </w:p>
    <w:p w:rsidR="00CF447E" w:rsidRPr="00CF447E" w:rsidRDefault="00CF447E" w:rsidP="00C63923">
      <w:pPr>
        <w:spacing w:line="276" w:lineRule="auto"/>
        <w:ind w:left="-284"/>
        <w:jc w:val="both"/>
        <w:rPr>
          <w:rFonts w:ascii="Arial" w:hAnsi="Arial" w:cs="Arial"/>
        </w:rPr>
      </w:pPr>
    </w:p>
    <w:p w:rsidR="006F267A" w:rsidRDefault="006F267A" w:rsidP="00C63923">
      <w:pPr>
        <w:spacing w:line="276" w:lineRule="auto"/>
        <w:ind w:left="-284"/>
        <w:jc w:val="both"/>
        <w:rPr>
          <w:rFonts w:ascii="Arial" w:hAnsi="Arial" w:cs="Arial"/>
        </w:rPr>
      </w:pPr>
      <w:r w:rsidRPr="00CF447E">
        <w:rPr>
          <w:rFonts w:ascii="Arial" w:hAnsi="Arial" w:cs="Arial"/>
        </w:rPr>
        <w:t>1) Tales naves deberán tener una capacidad superior a 120 pasajeros con pernoctación; efectuar navegación marítima en aguas sometidas a la jurisdicción n</w:t>
      </w:r>
      <w:r w:rsidRPr="00573439">
        <w:rPr>
          <w:rFonts w:ascii="Arial" w:hAnsi="Arial" w:cs="Arial"/>
        </w:rPr>
        <w:t>acional, y tener por función principal el transporte</w:t>
      </w:r>
      <w:r w:rsidRPr="00C465B7">
        <w:rPr>
          <w:rFonts w:ascii="Arial" w:hAnsi="Arial" w:cs="Arial"/>
        </w:rPr>
        <w:t xml:space="preserve"> nacional o internacional de pasajeros con fines turísticos, todo lo cual deberá acreditarse debidamente y a satisfacción de la Superintendencia;</w:t>
      </w:r>
    </w:p>
    <w:p w:rsidR="00CF447E" w:rsidRPr="00CF447E" w:rsidRDefault="00CF447E" w:rsidP="00C63923">
      <w:pPr>
        <w:spacing w:line="276" w:lineRule="auto"/>
        <w:ind w:left="-284"/>
        <w:jc w:val="both"/>
        <w:rPr>
          <w:rFonts w:ascii="Arial" w:hAnsi="Arial" w:cs="Arial"/>
        </w:rPr>
      </w:pPr>
    </w:p>
    <w:p w:rsidR="006F267A" w:rsidRDefault="006F267A" w:rsidP="00C63923">
      <w:pPr>
        <w:spacing w:line="276" w:lineRule="auto"/>
        <w:ind w:left="-284"/>
        <w:jc w:val="both"/>
        <w:rPr>
          <w:rFonts w:ascii="Arial" w:hAnsi="Arial" w:cs="Arial"/>
        </w:rPr>
      </w:pPr>
      <w:r w:rsidRPr="00CF447E">
        <w:rPr>
          <w:rFonts w:ascii="Arial" w:hAnsi="Arial" w:cs="Arial"/>
        </w:rPr>
        <w:t>2</w:t>
      </w:r>
      <w:r w:rsidR="00AB34C8">
        <w:rPr>
          <w:rFonts w:ascii="Arial" w:hAnsi="Arial" w:cs="Arial"/>
        </w:rPr>
        <w:t>) Los juegos que se autoricen so</w:t>
      </w:r>
      <w:r w:rsidRPr="00CF447E">
        <w:rPr>
          <w:rFonts w:ascii="Arial" w:hAnsi="Arial" w:cs="Arial"/>
        </w:rPr>
        <w:t>lo podrán desarrollarse dentro del circuito turístico declarado ante la Superintendencia por la s</w:t>
      </w:r>
      <w:r w:rsidR="00AB34C8">
        <w:rPr>
          <w:rFonts w:ascii="Arial" w:hAnsi="Arial" w:cs="Arial"/>
        </w:rPr>
        <w:t>ociedad solicitante y s</w:t>
      </w:r>
      <w:r w:rsidR="00246FD3">
        <w:rPr>
          <w:rFonts w:ascii="Arial" w:hAnsi="Arial" w:cs="Arial"/>
        </w:rPr>
        <w:t>ó</w:t>
      </w:r>
      <w:r w:rsidRPr="00CF447E">
        <w:rPr>
          <w:rFonts w:ascii="Arial" w:hAnsi="Arial" w:cs="Arial"/>
        </w:rPr>
        <w:t xml:space="preserve">lo desde que la nave se haya hecho a la mar y hasta su arribo a puerto. Con todo, el circuito turístico en el cual se autorice la explotación de juegos de azar </w:t>
      </w:r>
      <w:r w:rsidRPr="00573439">
        <w:rPr>
          <w:rFonts w:ascii="Arial" w:hAnsi="Arial" w:cs="Arial"/>
        </w:rPr>
        <w:t xml:space="preserve">no podrá tener una duración inferior a tres días y </w:t>
      </w:r>
      <w:r w:rsidRPr="00C465B7">
        <w:rPr>
          <w:rFonts w:ascii="Arial" w:hAnsi="Arial" w:cs="Arial"/>
        </w:rPr>
        <w:t>su cobertura deberá comprender a lo menos un recorrido de 500 millas náuticas;</w:t>
      </w:r>
    </w:p>
    <w:p w:rsidR="00CF447E" w:rsidRPr="00CF447E" w:rsidRDefault="00CF447E" w:rsidP="00C63923">
      <w:pPr>
        <w:spacing w:line="276" w:lineRule="auto"/>
        <w:ind w:left="-284"/>
        <w:jc w:val="both"/>
        <w:rPr>
          <w:rFonts w:ascii="Arial" w:hAnsi="Arial" w:cs="Arial"/>
        </w:rPr>
      </w:pPr>
    </w:p>
    <w:p w:rsidR="006F267A" w:rsidRDefault="006F267A" w:rsidP="00C63923">
      <w:pPr>
        <w:spacing w:line="276" w:lineRule="auto"/>
        <w:ind w:left="-284"/>
        <w:jc w:val="both"/>
        <w:rPr>
          <w:rFonts w:ascii="Arial" w:hAnsi="Arial" w:cs="Arial"/>
        </w:rPr>
      </w:pPr>
      <w:r w:rsidRPr="00573439">
        <w:rPr>
          <w:rFonts w:ascii="Arial" w:hAnsi="Arial" w:cs="Arial"/>
        </w:rPr>
        <w:t>3) El titular del permiso de operación para la explotación de los juegos autorizados deberá ser una sociedad distinta del propietario, armador, operador, arrendatario o tenedor</w:t>
      </w:r>
      <w:r w:rsidRPr="00C465B7">
        <w:rPr>
          <w:rFonts w:ascii="Arial" w:hAnsi="Arial" w:cs="Arial"/>
        </w:rPr>
        <w:t xml:space="preserve"> a cualquier título de la nave, y cumplir en lo que fuere pertinente con lo dispuesto en el artículo 9º del </w:t>
      </w:r>
      <w:r w:rsidR="00F94BD6" w:rsidRPr="00C465B7">
        <w:rPr>
          <w:rFonts w:ascii="Arial" w:hAnsi="Arial" w:cs="Arial"/>
        </w:rPr>
        <w:t>presente reglamento</w:t>
      </w:r>
      <w:r w:rsidRPr="00C465B7">
        <w:rPr>
          <w:rFonts w:ascii="Arial" w:hAnsi="Arial" w:cs="Arial"/>
        </w:rPr>
        <w:t>.</w:t>
      </w:r>
    </w:p>
    <w:p w:rsidR="00CF447E" w:rsidRPr="00CF447E" w:rsidRDefault="00CF447E" w:rsidP="00C63923">
      <w:pPr>
        <w:spacing w:line="276" w:lineRule="auto"/>
        <w:ind w:left="-284"/>
        <w:jc w:val="both"/>
        <w:rPr>
          <w:rFonts w:ascii="Arial" w:hAnsi="Arial" w:cs="Arial"/>
        </w:rPr>
      </w:pPr>
    </w:p>
    <w:p w:rsidR="006F267A" w:rsidRDefault="000C7F05" w:rsidP="00C63923">
      <w:pPr>
        <w:spacing w:line="276" w:lineRule="auto"/>
        <w:ind w:left="-284"/>
        <w:jc w:val="both"/>
        <w:rPr>
          <w:rFonts w:ascii="Arial" w:hAnsi="Arial" w:cs="Arial"/>
        </w:rPr>
      </w:pPr>
      <w:r w:rsidRPr="00573439">
        <w:rPr>
          <w:rFonts w:ascii="Arial" w:hAnsi="Arial" w:cs="Arial"/>
        </w:rPr>
        <w:lastRenderedPageBreak/>
        <w:t xml:space="preserve">Para todos los efectos de la Ley y </w:t>
      </w:r>
      <w:r w:rsidR="00F94BD6" w:rsidRPr="00C465B7">
        <w:rPr>
          <w:rFonts w:ascii="Arial" w:hAnsi="Arial" w:cs="Arial"/>
        </w:rPr>
        <w:t>este reglamento</w:t>
      </w:r>
      <w:r w:rsidR="006F267A" w:rsidRPr="00C465B7">
        <w:rPr>
          <w:rFonts w:ascii="Arial" w:hAnsi="Arial" w:cs="Arial"/>
        </w:rPr>
        <w:t>, la sociedad operadora deberá fijar su domicilio en una de las comunas cuyo puerto esté comprendido en el circuito turístico de la nave;</w:t>
      </w:r>
    </w:p>
    <w:p w:rsidR="00CF447E" w:rsidRPr="00CF447E" w:rsidRDefault="00CF447E" w:rsidP="00C63923">
      <w:pPr>
        <w:spacing w:line="276" w:lineRule="auto"/>
        <w:ind w:left="-284"/>
        <w:jc w:val="both"/>
        <w:rPr>
          <w:rFonts w:ascii="Arial" w:hAnsi="Arial" w:cs="Arial"/>
        </w:rPr>
      </w:pPr>
    </w:p>
    <w:p w:rsidR="006F267A" w:rsidRDefault="006F267A" w:rsidP="00C63923">
      <w:pPr>
        <w:spacing w:line="276" w:lineRule="auto"/>
        <w:ind w:left="-284"/>
        <w:jc w:val="both"/>
        <w:rPr>
          <w:rFonts w:ascii="Arial" w:hAnsi="Arial" w:cs="Arial"/>
        </w:rPr>
      </w:pPr>
      <w:r w:rsidRPr="00573439">
        <w:rPr>
          <w:rFonts w:ascii="Arial" w:hAnsi="Arial" w:cs="Arial"/>
        </w:rPr>
        <w:t>4) Conforme a la capac</w:t>
      </w:r>
      <w:r w:rsidR="00AB34C8">
        <w:rPr>
          <w:rFonts w:ascii="Arial" w:hAnsi="Arial" w:cs="Arial"/>
        </w:rPr>
        <w:t>idad de pasajeros de la nave, so</w:t>
      </w:r>
      <w:r w:rsidRPr="00573439">
        <w:rPr>
          <w:rFonts w:ascii="Arial" w:hAnsi="Arial" w:cs="Arial"/>
        </w:rPr>
        <w:t>lo podrán autorizarse las siguientes categorías de juegos, en la cantidad y proporción que a continuación se establece:</w:t>
      </w:r>
    </w:p>
    <w:p w:rsidR="00CF447E" w:rsidRPr="00CF447E" w:rsidRDefault="00CF447E" w:rsidP="00C63923">
      <w:pPr>
        <w:spacing w:line="276" w:lineRule="auto"/>
        <w:ind w:left="-284"/>
        <w:jc w:val="both"/>
        <w:rPr>
          <w:rFonts w:ascii="Arial" w:hAnsi="Arial" w:cs="Arial"/>
        </w:rPr>
      </w:pPr>
    </w:p>
    <w:p w:rsidR="006F267A" w:rsidRPr="00C465B7" w:rsidRDefault="006F267A" w:rsidP="00C63923">
      <w:pPr>
        <w:spacing w:line="276" w:lineRule="auto"/>
        <w:ind w:left="-284"/>
        <w:jc w:val="both"/>
        <w:rPr>
          <w:rFonts w:ascii="Arial" w:hAnsi="Arial" w:cs="Arial"/>
        </w:rPr>
      </w:pPr>
      <w:r w:rsidRPr="00573439">
        <w:rPr>
          <w:rFonts w:ascii="Arial" w:hAnsi="Arial" w:cs="Arial"/>
        </w:rPr>
        <w:t>- Una máquina de a</w:t>
      </w:r>
      <w:r w:rsidRPr="00C465B7">
        <w:rPr>
          <w:rFonts w:ascii="Arial" w:hAnsi="Arial" w:cs="Arial"/>
        </w:rPr>
        <w:t>zar por cada 10 pasajeros.</w:t>
      </w:r>
    </w:p>
    <w:p w:rsidR="006F267A" w:rsidRPr="00C465B7" w:rsidRDefault="006F267A" w:rsidP="00C63923">
      <w:pPr>
        <w:spacing w:line="276" w:lineRule="auto"/>
        <w:ind w:left="-284"/>
        <w:jc w:val="both"/>
        <w:rPr>
          <w:rFonts w:ascii="Arial" w:hAnsi="Arial" w:cs="Arial"/>
        </w:rPr>
      </w:pPr>
      <w:r w:rsidRPr="00C465B7">
        <w:rPr>
          <w:rFonts w:ascii="Arial" w:hAnsi="Arial" w:cs="Arial"/>
        </w:rPr>
        <w:t>- Una mesa de juego de cartas por cada 50 pasajeros.</w:t>
      </w:r>
    </w:p>
    <w:p w:rsidR="006F267A" w:rsidRPr="00C465B7" w:rsidRDefault="006F267A" w:rsidP="00C63923">
      <w:pPr>
        <w:spacing w:line="276" w:lineRule="auto"/>
        <w:ind w:left="-284"/>
        <w:jc w:val="both"/>
        <w:rPr>
          <w:rFonts w:ascii="Arial" w:hAnsi="Arial" w:cs="Arial"/>
        </w:rPr>
      </w:pPr>
      <w:r w:rsidRPr="00C465B7">
        <w:rPr>
          <w:rFonts w:ascii="Arial" w:hAnsi="Arial" w:cs="Arial"/>
        </w:rPr>
        <w:t>- Una mesa de juego de ruleta por cada 100 pasajeros.</w:t>
      </w:r>
    </w:p>
    <w:p w:rsidR="006F267A" w:rsidRPr="00C465B7" w:rsidRDefault="006F267A" w:rsidP="00C63923">
      <w:pPr>
        <w:spacing w:line="276" w:lineRule="auto"/>
        <w:ind w:left="-284"/>
        <w:jc w:val="both"/>
        <w:rPr>
          <w:rFonts w:ascii="Arial" w:hAnsi="Arial" w:cs="Arial"/>
        </w:rPr>
      </w:pPr>
      <w:r w:rsidRPr="00C465B7">
        <w:rPr>
          <w:rFonts w:ascii="Arial" w:hAnsi="Arial" w:cs="Arial"/>
        </w:rPr>
        <w:t>- Una mesa de juego de dados por cada 120 pasajeros.</w:t>
      </w:r>
    </w:p>
    <w:p w:rsidR="006F267A" w:rsidRDefault="00C63923" w:rsidP="00C63923">
      <w:pPr>
        <w:spacing w:line="276" w:lineRule="auto"/>
        <w:ind w:left="-284"/>
        <w:jc w:val="both"/>
        <w:rPr>
          <w:rFonts w:ascii="Arial" w:hAnsi="Arial" w:cs="Arial"/>
        </w:rPr>
      </w:pPr>
      <w:r>
        <w:rPr>
          <w:rFonts w:ascii="Arial" w:hAnsi="Arial" w:cs="Arial"/>
        </w:rPr>
        <w:t>- Un juego de bingo por nave; y</w:t>
      </w:r>
    </w:p>
    <w:p w:rsidR="00CF447E" w:rsidRPr="00CF447E" w:rsidRDefault="00CF447E" w:rsidP="00C63923">
      <w:pPr>
        <w:spacing w:line="276" w:lineRule="auto"/>
        <w:ind w:left="-284"/>
        <w:jc w:val="both"/>
        <w:rPr>
          <w:rFonts w:ascii="Arial" w:hAnsi="Arial" w:cs="Arial"/>
        </w:rPr>
      </w:pPr>
    </w:p>
    <w:p w:rsidR="006F267A" w:rsidRDefault="006F267A" w:rsidP="00C63923">
      <w:pPr>
        <w:spacing w:line="276" w:lineRule="auto"/>
        <w:ind w:left="-284"/>
        <w:jc w:val="both"/>
        <w:rPr>
          <w:rFonts w:ascii="Arial" w:hAnsi="Arial" w:cs="Arial"/>
        </w:rPr>
      </w:pPr>
      <w:r w:rsidRPr="00573439">
        <w:rPr>
          <w:rFonts w:ascii="Arial" w:hAnsi="Arial" w:cs="Arial"/>
        </w:rPr>
        <w:t>5) Sin perjuicio de las causales legal</w:t>
      </w:r>
      <w:r w:rsidRPr="00C465B7">
        <w:rPr>
          <w:rFonts w:ascii="Arial" w:hAnsi="Arial" w:cs="Arial"/>
        </w:rPr>
        <w:t>es de extinción de un permiso de operación, en los casos regulados en este artículo éste se extinguirá también por cancelación de la inscripción en el Registro de Matrícula de la nave, de conformidad con el artículo 21 del decreto ley Nº</w:t>
      </w:r>
      <w:r w:rsidR="000C7F05" w:rsidRPr="00C465B7">
        <w:rPr>
          <w:rFonts w:ascii="Arial" w:hAnsi="Arial" w:cs="Arial"/>
        </w:rPr>
        <w:t xml:space="preserve"> </w:t>
      </w:r>
      <w:r w:rsidRPr="00C465B7">
        <w:rPr>
          <w:rFonts w:ascii="Arial" w:hAnsi="Arial" w:cs="Arial"/>
        </w:rPr>
        <w:t>2.222, de 1978, Ley de Navegación.</w:t>
      </w:r>
    </w:p>
    <w:p w:rsidR="00CF447E" w:rsidRPr="00CF447E" w:rsidRDefault="00CF447E" w:rsidP="00C63923">
      <w:pPr>
        <w:spacing w:line="276" w:lineRule="auto"/>
        <w:ind w:left="-284"/>
        <w:jc w:val="both"/>
        <w:rPr>
          <w:rFonts w:ascii="Arial" w:hAnsi="Arial" w:cs="Arial"/>
        </w:rPr>
      </w:pPr>
    </w:p>
    <w:p w:rsidR="006F267A" w:rsidRDefault="006F267A" w:rsidP="00C63923">
      <w:pPr>
        <w:spacing w:line="276" w:lineRule="auto"/>
        <w:ind w:left="-284"/>
        <w:jc w:val="both"/>
        <w:rPr>
          <w:rFonts w:ascii="Arial" w:hAnsi="Arial" w:cs="Arial"/>
        </w:rPr>
      </w:pPr>
      <w:r w:rsidRPr="00CF447E">
        <w:rPr>
          <w:rFonts w:ascii="Arial" w:hAnsi="Arial" w:cs="Arial"/>
        </w:rPr>
        <w:t xml:space="preserve">No obstante el régimen especial para el otorgamiento de permisos de operación contemplado en el presente artículo, regirán </w:t>
      </w:r>
      <w:r w:rsidR="000401AC" w:rsidRPr="00573439">
        <w:rPr>
          <w:rFonts w:ascii="Arial" w:hAnsi="Arial" w:cs="Arial"/>
        </w:rPr>
        <w:t>además las disposiciones de la l</w:t>
      </w:r>
      <w:r w:rsidRPr="00C465B7">
        <w:rPr>
          <w:rFonts w:ascii="Arial" w:hAnsi="Arial" w:cs="Arial"/>
        </w:rPr>
        <w:t>ey Nº</w:t>
      </w:r>
      <w:r w:rsidR="000401AC" w:rsidRPr="00C465B7">
        <w:rPr>
          <w:rFonts w:ascii="Arial" w:hAnsi="Arial" w:cs="Arial"/>
        </w:rPr>
        <w:t xml:space="preserve"> </w:t>
      </w:r>
      <w:r w:rsidRPr="00C465B7">
        <w:rPr>
          <w:rFonts w:ascii="Arial" w:hAnsi="Arial" w:cs="Arial"/>
        </w:rPr>
        <w:t>19.995 y sus reglamentos.</w:t>
      </w:r>
    </w:p>
    <w:p w:rsidR="00C63923" w:rsidRPr="00C465B7" w:rsidRDefault="00C63923" w:rsidP="00C63923">
      <w:pPr>
        <w:spacing w:line="276" w:lineRule="auto"/>
        <w:ind w:left="-284"/>
        <w:jc w:val="both"/>
        <w:rPr>
          <w:rFonts w:ascii="Arial" w:hAnsi="Arial" w:cs="Arial"/>
        </w:rPr>
      </w:pPr>
    </w:p>
    <w:p w:rsidR="00473968" w:rsidRPr="00C465B7" w:rsidRDefault="00473968" w:rsidP="00C63923">
      <w:pPr>
        <w:spacing w:line="276" w:lineRule="auto"/>
        <w:ind w:left="-284"/>
        <w:jc w:val="both"/>
        <w:rPr>
          <w:rFonts w:ascii="Arial" w:hAnsi="Arial" w:cs="Arial"/>
        </w:rPr>
      </w:pPr>
    </w:p>
    <w:p w:rsidR="00473968" w:rsidRPr="00851B38" w:rsidRDefault="00AB34C8" w:rsidP="00C63923">
      <w:pPr>
        <w:tabs>
          <w:tab w:val="left" w:pos="2694"/>
        </w:tabs>
        <w:spacing w:line="276" w:lineRule="auto"/>
        <w:ind w:left="-284"/>
        <w:jc w:val="both"/>
        <w:rPr>
          <w:rFonts w:ascii="Arial" w:hAnsi="Arial" w:cs="Arial"/>
        </w:rPr>
      </w:pPr>
      <w:r>
        <w:rPr>
          <w:rFonts w:ascii="Arial" w:hAnsi="Arial" w:cs="Arial"/>
          <w:b/>
          <w:color w:val="000000"/>
        </w:rPr>
        <w:t xml:space="preserve"> </w:t>
      </w:r>
      <w:r>
        <w:rPr>
          <w:rFonts w:ascii="Arial" w:hAnsi="Arial" w:cs="Arial"/>
          <w:b/>
          <w:color w:val="000000"/>
        </w:rPr>
        <w:tab/>
      </w:r>
      <w:r w:rsidR="00851B38" w:rsidRPr="00851B38">
        <w:rPr>
          <w:rFonts w:ascii="Arial" w:hAnsi="Arial" w:cs="Arial"/>
          <w:b/>
          <w:color w:val="000000"/>
        </w:rPr>
        <w:t xml:space="preserve">ARTÍCULO SEGUNDO: </w:t>
      </w:r>
      <w:r w:rsidR="00851B38" w:rsidRPr="00851B38">
        <w:rPr>
          <w:rFonts w:ascii="Arial" w:hAnsi="Arial" w:cs="Arial"/>
          <w:color w:val="000000"/>
        </w:rPr>
        <w:t>Derógase el Decreto Supremo N° 211, del Ministerio de Hacienda, de 2005, que aprobó reglamento para la tramitación y otorgamiento de permisos de operación de casinos de juego.</w:t>
      </w:r>
    </w:p>
    <w:p w:rsidR="00DD4B7B" w:rsidRDefault="00DD4B7B" w:rsidP="00C63923">
      <w:pPr>
        <w:spacing w:line="276" w:lineRule="auto"/>
        <w:ind w:left="-284"/>
        <w:jc w:val="both"/>
        <w:rPr>
          <w:rFonts w:ascii="Arial" w:hAnsi="Arial" w:cs="Arial"/>
        </w:rPr>
      </w:pPr>
    </w:p>
    <w:p w:rsidR="00C63923" w:rsidRPr="00851B38" w:rsidRDefault="00C63923" w:rsidP="00C63923">
      <w:pPr>
        <w:spacing w:line="276" w:lineRule="auto"/>
        <w:ind w:left="-284"/>
        <w:jc w:val="both"/>
        <w:rPr>
          <w:rFonts w:ascii="Arial" w:hAnsi="Arial" w:cs="Arial"/>
        </w:rPr>
      </w:pPr>
    </w:p>
    <w:p w:rsidR="00473968" w:rsidRPr="00636B98" w:rsidRDefault="00473968" w:rsidP="00C63923">
      <w:pPr>
        <w:spacing w:line="276" w:lineRule="auto"/>
        <w:ind w:left="-284"/>
        <w:jc w:val="center"/>
        <w:rPr>
          <w:rFonts w:ascii="Arial" w:hAnsi="Arial" w:cs="Arial"/>
          <w:b/>
        </w:rPr>
      </w:pPr>
      <w:r w:rsidRPr="00636B98">
        <w:rPr>
          <w:rFonts w:ascii="Arial" w:hAnsi="Arial" w:cs="Arial"/>
          <w:b/>
        </w:rPr>
        <w:t>DISPOSICIONES TRANSITORIAS</w:t>
      </w:r>
    </w:p>
    <w:p w:rsidR="00473968" w:rsidRDefault="00473968" w:rsidP="00C63923">
      <w:pPr>
        <w:spacing w:line="276" w:lineRule="auto"/>
        <w:ind w:left="-284"/>
        <w:jc w:val="both"/>
        <w:rPr>
          <w:rFonts w:ascii="Arial" w:hAnsi="Arial" w:cs="Arial"/>
        </w:rPr>
      </w:pPr>
    </w:p>
    <w:p w:rsidR="00C63923" w:rsidRPr="00851B38" w:rsidRDefault="00C63923" w:rsidP="00C63923">
      <w:pPr>
        <w:spacing w:line="276" w:lineRule="auto"/>
        <w:ind w:left="-284"/>
        <w:jc w:val="both"/>
        <w:rPr>
          <w:rFonts w:ascii="Arial" w:hAnsi="Arial" w:cs="Arial"/>
        </w:rPr>
      </w:pPr>
    </w:p>
    <w:p w:rsidR="00473968" w:rsidRDefault="00473968" w:rsidP="00C63923">
      <w:pPr>
        <w:spacing w:line="276" w:lineRule="auto"/>
        <w:ind w:left="-284"/>
        <w:jc w:val="both"/>
        <w:rPr>
          <w:rFonts w:ascii="Arial" w:hAnsi="Arial" w:cs="Arial"/>
        </w:rPr>
      </w:pPr>
      <w:r w:rsidRPr="005B183F">
        <w:rPr>
          <w:rFonts w:ascii="Arial" w:hAnsi="Arial" w:cs="Arial"/>
          <w:b/>
        </w:rPr>
        <w:lastRenderedPageBreak/>
        <w:t>Artículo primero transitorio.-</w:t>
      </w:r>
      <w:r w:rsidRPr="00851B38">
        <w:rPr>
          <w:rFonts w:ascii="Arial" w:hAnsi="Arial" w:cs="Arial"/>
        </w:rPr>
        <w:t xml:space="preserve"> Para efectos del primer proceso de otorgamiento de  permisos de operación de casinos de juego en las comunas de Arica, Iquique, Coquimbo, Viña del Mar, Pucón, Puerto Varas y Puerto Natales, la resolución de apertura deberá dictarse dentro del plazo dispuesto en el artículo </w:t>
      </w:r>
      <w:r w:rsidR="0061113B" w:rsidRPr="00851B38">
        <w:rPr>
          <w:rFonts w:ascii="Arial" w:hAnsi="Arial" w:cs="Arial"/>
        </w:rPr>
        <w:t>tercero</w:t>
      </w:r>
      <w:r w:rsidRPr="00851B38">
        <w:rPr>
          <w:rFonts w:ascii="Arial" w:hAnsi="Arial" w:cs="Arial"/>
        </w:rPr>
        <w:t xml:space="preserve"> transitorio, letra i, de la ley </w:t>
      </w:r>
      <w:r w:rsidR="0061113B" w:rsidRPr="00851B38">
        <w:rPr>
          <w:rFonts w:ascii="Arial" w:hAnsi="Arial" w:cs="Arial"/>
        </w:rPr>
        <w:t xml:space="preserve">N° </w:t>
      </w:r>
      <w:r w:rsidRPr="00851B38">
        <w:rPr>
          <w:rFonts w:ascii="Arial" w:hAnsi="Arial" w:cs="Arial"/>
        </w:rPr>
        <w:t xml:space="preserve">19.995. </w:t>
      </w:r>
    </w:p>
    <w:p w:rsidR="00CF447E" w:rsidRPr="00851B38" w:rsidRDefault="00CF447E" w:rsidP="00C63923">
      <w:pPr>
        <w:spacing w:line="276" w:lineRule="auto"/>
        <w:ind w:left="-284"/>
        <w:jc w:val="both"/>
        <w:rPr>
          <w:rFonts w:ascii="Arial" w:hAnsi="Arial" w:cs="Arial"/>
        </w:rPr>
      </w:pPr>
    </w:p>
    <w:p w:rsidR="00473968" w:rsidRDefault="005B183F" w:rsidP="00C63923">
      <w:pPr>
        <w:spacing w:line="276" w:lineRule="auto"/>
        <w:ind w:left="-284"/>
        <w:jc w:val="both"/>
        <w:rPr>
          <w:rFonts w:ascii="Arial" w:hAnsi="Arial" w:cs="Arial"/>
        </w:rPr>
      </w:pPr>
      <w:r>
        <w:rPr>
          <w:rFonts w:ascii="Arial" w:hAnsi="Arial" w:cs="Arial"/>
        </w:rPr>
        <w:t xml:space="preserve"> </w:t>
      </w:r>
      <w:r>
        <w:rPr>
          <w:rFonts w:ascii="Arial" w:hAnsi="Arial" w:cs="Arial"/>
        </w:rPr>
        <w:tab/>
      </w:r>
      <w:r w:rsidR="00473968" w:rsidRPr="00851B38">
        <w:rPr>
          <w:rFonts w:ascii="Arial" w:hAnsi="Arial" w:cs="Arial"/>
        </w:rPr>
        <w:t xml:space="preserve">En este mismo proceso, habiéndose otorgado el respectivo permiso de operación antes del </w:t>
      </w:r>
      <w:r w:rsidR="00473968" w:rsidRPr="00146A5C">
        <w:rPr>
          <w:rFonts w:ascii="Arial" w:hAnsi="Arial" w:cs="Arial"/>
        </w:rPr>
        <w:t xml:space="preserve">31 de diciembre de 2017, </w:t>
      </w:r>
      <w:r w:rsidR="007A7B29" w:rsidRPr="00146A5C">
        <w:rPr>
          <w:rFonts w:ascii="Arial" w:hAnsi="Arial" w:cs="Arial"/>
        </w:rPr>
        <w:t xml:space="preserve">en los términos que define el artículo 44 de este reglamento, </w:t>
      </w:r>
      <w:r w:rsidR="00473968" w:rsidRPr="00146A5C">
        <w:rPr>
          <w:rFonts w:ascii="Arial" w:hAnsi="Arial" w:cs="Arial"/>
        </w:rPr>
        <w:t>el pago de la oferta económica</w:t>
      </w:r>
      <w:r w:rsidR="00D912EC" w:rsidRPr="00146A5C">
        <w:rPr>
          <w:rFonts w:ascii="Arial" w:hAnsi="Arial" w:cs="Arial"/>
        </w:rPr>
        <w:t xml:space="preserve"> anual</w:t>
      </w:r>
      <w:r w:rsidR="00473968" w:rsidRPr="00146A5C">
        <w:rPr>
          <w:rFonts w:ascii="Arial" w:hAnsi="Arial" w:cs="Arial"/>
        </w:rPr>
        <w:t xml:space="preserve"> comprometida por el operador deberá efectuarse a partir del mes de enero de 2018</w:t>
      </w:r>
      <w:r w:rsidR="00D912EC" w:rsidRPr="00146A5C">
        <w:rPr>
          <w:rFonts w:ascii="Arial" w:hAnsi="Arial" w:cs="Arial"/>
        </w:rPr>
        <w:t xml:space="preserve"> y</w:t>
      </w:r>
      <w:r w:rsidR="00D63AC1" w:rsidRPr="00146A5C">
        <w:rPr>
          <w:rFonts w:ascii="Arial" w:hAnsi="Arial" w:cs="Arial"/>
        </w:rPr>
        <w:t xml:space="preserve"> hasta el final de permiso de operación</w:t>
      </w:r>
      <w:r w:rsidR="00473968" w:rsidRPr="00146A5C">
        <w:rPr>
          <w:rFonts w:ascii="Arial" w:hAnsi="Arial" w:cs="Arial"/>
        </w:rPr>
        <w:t>.</w:t>
      </w:r>
      <w:r w:rsidR="00473968" w:rsidRPr="00851B38">
        <w:rPr>
          <w:rFonts w:ascii="Arial" w:hAnsi="Arial" w:cs="Arial"/>
        </w:rPr>
        <w:t xml:space="preserve"> </w:t>
      </w:r>
    </w:p>
    <w:p w:rsidR="00CF447E" w:rsidRPr="00851B38" w:rsidRDefault="00CF447E" w:rsidP="00C63923">
      <w:pPr>
        <w:spacing w:line="276" w:lineRule="auto"/>
        <w:ind w:left="-284"/>
        <w:jc w:val="both"/>
        <w:rPr>
          <w:rFonts w:ascii="Arial" w:hAnsi="Arial" w:cs="Arial"/>
        </w:rPr>
      </w:pPr>
    </w:p>
    <w:p w:rsidR="00473968" w:rsidRDefault="00473968" w:rsidP="00C63923">
      <w:pPr>
        <w:spacing w:line="276" w:lineRule="auto"/>
        <w:ind w:left="-284"/>
        <w:jc w:val="both"/>
        <w:rPr>
          <w:rFonts w:ascii="Arial" w:hAnsi="Arial" w:cs="Arial"/>
        </w:rPr>
      </w:pPr>
      <w:r w:rsidRPr="00851B38">
        <w:rPr>
          <w:rFonts w:ascii="Arial" w:hAnsi="Arial" w:cs="Arial"/>
        </w:rPr>
        <w:t>En caso que el permiso ya aludido se otorgue en una fecha posterior, el referido pago deberá efectuarse dentro del mes siguiente a aquel en que se haya otorgado el respectivo permiso de operación, por una suma que sea proporcional al período que reste para concluir ese año calendario.</w:t>
      </w:r>
    </w:p>
    <w:p w:rsidR="00CF447E" w:rsidRPr="00851B38" w:rsidRDefault="00CF447E" w:rsidP="00C63923">
      <w:pPr>
        <w:spacing w:line="276" w:lineRule="auto"/>
        <w:ind w:left="-284"/>
        <w:jc w:val="both"/>
        <w:rPr>
          <w:rFonts w:ascii="Arial" w:hAnsi="Arial" w:cs="Arial"/>
        </w:rPr>
      </w:pPr>
    </w:p>
    <w:p w:rsidR="00473968" w:rsidRPr="00851B38" w:rsidRDefault="00473968" w:rsidP="00C63923">
      <w:pPr>
        <w:spacing w:line="276" w:lineRule="auto"/>
        <w:ind w:left="-284"/>
        <w:jc w:val="both"/>
        <w:rPr>
          <w:rFonts w:ascii="Arial" w:hAnsi="Arial" w:cs="Arial"/>
        </w:rPr>
      </w:pPr>
      <w:r w:rsidRPr="00851B38">
        <w:rPr>
          <w:rFonts w:ascii="Arial" w:hAnsi="Arial" w:cs="Arial"/>
        </w:rPr>
        <w:t xml:space="preserve">En ningún caso será procedente la exigencia de un pago retroactivo a la fecha de otorgamiento del permiso. </w:t>
      </w:r>
    </w:p>
    <w:p w:rsidR="009C3E59" w:rsidRPr="00851B38" w:rsidRDefault="009C3E59" w:rsidP="00C63923">
      <w:pPr>
        <w:spacing w:line="276" w:lineRule="auto"/>
        <w:ind w:left="-284"/>
        <w:jc w:val="both"/>
        <w:rPr>
          <w:rFonts w:ascii="Arial" w:hAnsi="Arial" w:cs="Arial"/>
        </w:rPr>
      </w:pPr>
    </w:p>
    <w:p w:rsidR="00473968" w:rsidRDefault="00473968" w:rsidP="00C63923">
      <w:pPr>
        <w:spacing w:line="276" w:lineRule="auto"/>
        <w:ind w:left="-284"/>
        <w:jc w:val="both"/>
        <w:rPr>
          <w:rFonts w:ascii="Arial" w:hAnsi="Arial" w:cs="Arial"/>
        </w:rPr>
      </w:pPr>
      <w:r w:rsidRPr="005B183F">
        <w:rPr>
          <w:rFonts w:ascii="Arial" w:hAnsi="Arial" w:cs="Arial"/>
          <w:b/>
        </w:rPr>
        <w:t>Artículo segundo transitorio.-</w:t>
      </w:r>
      <w:r w:rsidRPr="00851B38">
        <w:rPr>
          <w:rFonts w:ascii="Arial" w:hAnsi="Arial" w:cs="Arial"/>
        </w:rPr>
        <w:t xml:space="preserve"> En los procesos de otorgamiento de permisos de operación en las comunas referidas en el artículo precedente, las bases técnicas </w:t>
      </w:r>
      <w:r w:rsidR="009C3E59" w:rsidRPr="00851B38">
        <w:rPr>
          <w:rFonts w:ascii="Arial" w:hAnsi="Arial" w:cs="Arial"/>
        </w:rPr>
        <w:t>a que se refiere el artículo 12</w:t>
      </w:r>
      <w:r w:rsidRPr="00851B38">
        <w:rPr>
          <w:rFonts w:ascii="Arial" w:hAnsi="Arial" w:cs="Arial"/>
        </w:rPr>
        <w:t xml:space="preserve"> de </w:t>
      </w:r>
      <w:r w:rsidR="00F94BD6" w:rsidRPr="00851B38">
        <w:rPr>
          <w:rFonts w:ascii="Arial" w:hAnsi="Arial" w:cs="Arial"/>
        </w:rPr>
        <w:t>este reglamento</w:t>
      </w:r>
      <w:r w:rsidRPr="00851B38">
        <w:rPr>
          <w:rFonts w:ascii="Arial" w:hAnsi="Arial" w:cs="Arial"/>
        </w:rPr>
        <w:t xml:space="preserve">, deberán contener además las condiciones especiales a que hace referencia el artículo </w:t>
      </w:r>
      <w:r w:rsidR="002A1297" w:rsidRPr="00851B38">
        <w:rPr>
          <w:rFonts w:ascii="Arial" w:hAnsi="Arial" w:cs="Arial"/>
        </w:rPr>
        <w:t>tercero</w:t>
      </w:r>
      <w:r w:rsidRPr="00851B38">
        <w:rPr>
          <w:rFonts w:ascii="Arial" w:hAnsi="Arial" w:cs="Arial"/>
        </w:rPr>
        <w:t xml:space="preserve"> transitorio de la ley </w:t>
      </w:r>
      <w:r w:rsidR="000C7F05" w:rsidRPr="00851B38">
        <w:rPr>
          <w:rFonts w:ascii="Arial" w:hAnsi="Arial" w:cs="Arial"/>
        </w:rPr>
        <w:t xml:space="preserve">N° </w:t>
      </w:r>
      <w:r w:rsidRPr="00851B38">
        <w:rPr>
          <w:rFonts w:ascii="Arial" w:hAnsi="Arial" w:cs="Arial"/>
        </w:rPr>
        <w:t>19.995</w:t>
      </w:r>
      <w:r w:rsidR="009C3E59" w:rsidRPr="00851B38">
        <w:rPr>
          <w:rFonts w:ascii="Arial" w:hAnsi="Arial" w:cs="Arial"/>
        </w:rPr>
        <w:t>, las que deberán ser claras, previamente conocidas, específicas y objetivamente evaluables, y no podrán implicar de modo alguno un trato arbitrariamente discriminatorio que favorezca o perjudique a potenciales postulantes a los permisos ya señalados.</w:t>
      </w:r>
      <w:r w:rsidRPr="00851B38">
        <w:rPr>
          <w:rFonts w:ascii="Arial" w:hAnsi="Arial" w:cs="Arial"/>
        </w:rPr>
        <w:t xml:space="preserve"> La evaluación de dichas condiciones será efectuada en términos de revisar que las ofertas cumplan o no con lo requerido en las bases, sin alterar la ponderación de los criterios, factores y subfactores </w:t>
      </w:r>
      <w:r w:rsidR="00DD4B7B" w:rsidRPr="00851B38">
        <w:rPr>
          <w:rFonts w:ascii="Arial" w:hAnsi="Arial" w:cs="Arial"/>
        </w:rPr>
        <w:t xml:space="preserve">establecidos en </w:t>
      </w:r>
      <w:r w:rsidR="00F94BD6" w:rsidRPr="00851B38">
        <w:rPr>
          <w:rFonts w:ascii="Arial" w:hAnsi="Arial" w:cs="Arial"/>
        </w:rPr>
        <w:t>este reglamento</w:t>
      </w:r>
      <w:r w:rsidR="00DD4B7B" w:rsidRPr="00851B38">
        <w:rPr>
          <w:rFonts w:ascii="Arial" w:hAnsi="Arial" w:cs="Arial"/>
        </w:rPr>
        <w:t>.</w:t>
      </w:r>
      <w:r w:rsidRPr="00851B38">
        <w:rPr>
          <w:rFonts w:ascii="Arial" w:hAnsi="Arial" w:cs="Arial"/>
        </w:rPr>
        <w:t xml:space="preserve"> </w:t>
      </w:r>
    </w:p>
    <w:p w:rsidR="00107347" w:rsidRDefault="00107347" w:rsidP="00C63923">
      <w:pPr>
        <w:spacing w:line="276" w:lineRule="auto"/>
        <w:ind w:left="-284"/>
        <w:jc w:val="both"/>
        <w:rPr>
          <w:rFonts w:ascii="Arial" w:hAnsi="Arial" w:cs="Arial"/>
        </w:rPr>
      </w:pPr>
    </w:p>
    <w:p w:rsidR="00C63923" w:rsidRDefault="00C63923" w:rsidP="00C63923">
      <w:pPr>
        <w:spacing w:line="276" w:lineRule="auto"/>
        <w:ind w:left="-284"/>
        <w:jc w:val="both"/>
        <w:rPr>
          <w:rFonts w:ascii="Arial" w:hAnsi="Arial" w:cs="Arial"/>
        </w:rPr>
      </w:pPr>
    </w:p>
    <w:p w:rsidR="00C63923" w:rsidRDefault="00C63923" w:rsidP="00C63923">
      <w:pPr>
        <w:spacing w:line="276" w:lineRule="auto"/>
        <w:ind w:left="-284"/>
        <w:jc w:val="both"/>
        <w:rPr>
          <w:rFonts w:ascii="Arial" w:hAnsi="Arial" w:cs="Arial"/>
        </w:rPr>
      </w:pPr>
    </w:p>
    <w:p w:rsidR="00C63923" w:rsidRDefault="00C63923" w:rsidP="00C63923">
      <w:pPr>
        <w:spacing w:line="276" w:lineRule="auto"/>
        <w:ind w:left="-284"/>
        <w:jc w:val="both"/>
        <w:rPr>
          <w:rFonts w:ascii="Arial" w:hAnsi="Arial" w:cs="Arial"/>
        </w:rPr>
      </w:pPr>
    </w:p>
    <w:p w:rsidR="00C63923" w:rsidRDefault="00C63923" w:rsidP="00C63923">
      <w:pPr>
        <w:spacing w:line="276" w:lineRule="auto"/>
        <w:ind w:left="-284"/>
        <w:jc w:val="both"/>
        <w:rPr>
          <w:rFonts w:ascii="Arial" w:hAnsi="Arial" w:cs="Arial"/>
        </w:rPr>
      </w:pPr>
    </w:p>
    <w:p w:rsidR="00C63923" w:rsidRDefault="00C63923" w:rsidP="00C63923">
      <w:pPr>
        <w:spacing w:line="276" w:lineRule="auto"/>
        <w:ind w:left="-284"/>
        <w:jc w:val="both"/>
        <w:rPr>
          <w:rFonts w:ascii="Arial" w:hAnsi="Arial" w:cs="Arial"/>
        </w:rPr>
      </w:pPr>
    </w:p>
    <w:p w:rsidR="00C63923" w:rsidRDefault="00C63923" w:rsidP="00C63923">
      <w:pPr>
        <w:spacing w:line="276" w:lineRule="auto"/>
        <w:ind w:left="-284"/>
        <w:jc w:val="both"/>
        <w:rPr>
          <w:rFonts w:ascii="Arial" w:hAnsi="Arial" w:cs="Arial"/>
        </w:rPr>
      </w:pPr>
    </w:p>
    <w:p w:rsidR="00330CB9" w:rsidRPr="00CF447E" w:rsidRDefault="00107347" w:rsidP="00C63923">
      <w:pPr>
        <w:pStyle w:val="Textoindependiente"/>
        <w:tabs>
          <w:tab w:val="left" w:pos="4253"/>
        </w:tabs>
        <w:spacing w:line="276" w:lineRule="auto"/>
        <w:ind w:left="-284" w:right="283"/>
        <w:jc w:val="center"/>
        <w:rPr>
          <w:rFonts w:ascii="Arial" w:hAnsi="Arial" w:cs="Arial"/>
          <w:bCs w:val="0"/>
          <w:color w:val="000000"/>
        </w:rPr>
      </w:pPr>
      <w:r>
        <w:rPr>
          <w:rFonts w:ascii="Arial" w:hAnsi="Arial" w:cs="Arial"/>
          <w:bCs w:val="0"/>
          <w:caps/>
          <w:color w:val="000000"/>
        </w:rPr>
        <w:t>ANÓTESE, Tómese razón y publÍ</w:t>
      </w:r>
      <w:r w:rsidR="00330CB9" w:rsidRPr="00CF447E">
        <w:rPr>
          <w:rFonts w:ascii="Arial" w:hAnsi="Arial" w:cs="Arial"/>
          <w:bCs w:val="0"/>
          <w:caps/>
          <w:color w:val="000000"/>
        </w:rPr>
        <w:t>quese</w:t>
      </w:r>
      <w:r w:rsidR="00330CB9" w:rsidRPr="00CF447E">
        <w:rPr>
          <w:rFonts w:ascii="Arial" w:hAnsi="Arial" w:cs="Arial"/>
          <w:bCs w:val="0"/>
          <w:color w:val="000000"/>
        </w:rPr>
        <w:t>.</w:t>
      </w:r>
    </w:p>
    <w:p w:rsidR="00330CB9" w:rsidRPr="00CF447E" w:rsidRDefault="00330CB9" w:rsidP="00C63923">
      <w:pPr>
        <w:pStyle w:val="Textoindependiente"/>
        <w:spacing w:line="276" w:lineRule="auto"/>
        <w:ind w:left="-284" w:right="283"/>
        <w:rPr>
          <w:rFonts w:ascii="Arial" w:hAnsi="Arial" w:cs="Arial"/>
          <w:bCs w:val="0"/>
          <w:color w:val="000000"/>
        </w:rPr>
      </w:pPr>
    </w:p>
    <w:p w:rsidR="00330CB9" w:rsidRPr="00CF447E" w:rsidRDefault="00330CB9" w:rsidP="00C63923">
      <w:pPr>
        <w:pStyle w:val="Textoindependiente"/>
        <w:spacing w:line="276" w:lineRule="auto"/>
        <w:ind w:left="-284" w:right="283"/>
        <w:rPr>
          <w:rFonts w:ascii="Arial" w:hAnsi="Arial" w:cs="Arial"/>
          <w:color w:val="000000"/>
        </w:rPr>
      </w:pPr>
    </w:p>
    <w:p w:rsidR="00330CB9" w:rsidRDefault="00330CB9" w:rsidP="00C63923">
      <w:pPr>
        <w:pStyle w:val="Textoindependiente"/>
        <w:spacing w:line="276" w:lineRule="auto"/>
        <w:ind w:left="-284" w:right="283"/>
        <w:rPr>
          <w:rFonts w:ascii="Arial" w:hAnsi="Arial" w:cs="Arial"/>
          <w:color w:val="000000"/>
        </w:rPr>
      </w:pPr>
    </w:p>
    <w:p w:rsidR="00C63923" w:rsidRDefault="00C63923" w:rsidP="00C63923">
      <w:pPr>
        <w:pStyle w:val="Textoindependiente"/>
        <w:spacing w:line="276" w:lineRule="auto"/>
        <w:ind w:left="-284" w:right="283"/>
        <w:rPr>
          <w:rFonts w:ascii="Arial" w:hAnsi="Arial" w:cs="Arial"/>
          <w:color w:val="000000"/>
        </w:rPr>
      </w:pPr>
    </w:p>
    <w:p w:rsidR="00C63923" w:rsidRPr="00CF447E" w:rsidRDefault="00C63923" w:rsidP="00C63923">
      <w:pPr>
        <w:pStyle w:val="Textoindependiente"/>
        <w:spacing w:line="276" w:lineRule="auto"/>
        <w:ind w:left="-284" w:right="283"/>
        <w:rPr>
          <w:rFonts w:ascii="Arial" w:hAnsi="Arial" w:cs="Arial"/>
          <w:color w:val="000000"/>
        </w:rPr>
      </w:pPr>
    </w:p>
    <w:p w:rsidR="00330CB9" w:rsidRPr="00CF447E" w:rsidRDefault="00330CB9" w:rsidP="00C63923">
      <w:pPr>
        <w:pStyle w:val="Textoindependiente"/>
        <w:spacing w:line="276" w:lineRule="auto"/>
        <w:ind w:left="-284" w:right="283"/>
        <w:rPr>
          <w:rFonts w:ascii="Arial" w:hAnsi="Arial" w:cs="Arial"/>
          <w:color w:val="000000"/>
        </w:rPr>
      </w:pPr>
    </w:p>
    <w:p w:rsidR="00330CB9" w:rsidRPr="00CF447E" w:rsidRDefault="00330CB9" w:rsidP="00C63923">
      <w:pPr>
        <w:pStyle w:val="Textoindependiente"/>
        <w:tabs>
          <w:tab w:val="left" w:pos="5580"/>
        </w:tabs>
        <w:spacing w:line="276" w:lineRule="auto"/>
        <w:ind w:left="-284" w:right="283"/>
        <w:jc w:val="center"/>
        <w:rPr>
          <w:rFonts w:ascii="Arial" w:hAnsi="Arial" w:cs="Arial"/>
          <w:bCs w:val="0"/>
          <w:color w:val="000000"/>
        </w:rPr>
      </w:pPr>
      <w:r w:rsidRPr="00CF447E">
        <w:rPr>
          <w:rFonts w:ascii="Arial" w:hAnsi="Arial" w:cs="Arial"/>
          <w:bCs w:val="0"/>
          <w:color w:val="000000"/>
        </w:rPr>
        <w:t xml:space="preserve">                               MICHELLE BACHELET JERIA</w:t>
      </w:r>
    </w:p>
    <w:p w:rsidR="00330CB9" w:rsidRPr="00CF447E" w:rsidRDefault="00330CB9" w:rsidP="00C63923">
      <w:pPr>
        <w:pStyle w:val="Textoindependiente"/>
        <w:tabs>
          <w:tab w:val="left" w:pos="5580"/>
        </w:tabs>
        <w:spacing w:line="276" w:lineRule="auto"/>
        <w:ind w:left="-284" w:right="283"/>
        <w:jc w:val="center"/>
        <w:rPr>
          <w:rFonts w:ascii="Arial" w:hAnsi="Arial" w:cs="Arial"/>
          <w:color w:val="000000"/>
        </w:rPr>
      </w:pPr>
      <w:r w:rsidRPr="00CF447E">
        <w:rPr>
          <w:rFonts w:ascii="Arial" w:hAnsi="Arial" w:cs="Arial"/>
          <w:color w:val="000000"/>
        </w:rPr>
        <w:t xml:space="preserve">                                  Presidenta de la República</w:t>
      </w:r>
    </w:p>
    <w:p w:rsidR="00330CB9" w:rsidRPr="00CF447E" w:rsidRDefault="00330CB9" w:rsidP="00C63923">
      <w:pPr>
        <w:pStyle w:val="Textoindependiente"/>
        <w:spacing w:line="276" w:lineRule="auto"/>
        <w:ind w:left="-284" w:right="283"/>
        <w:rPr>
          <w:rFonts w:ascii="Arial" w:hAnsi="Arial" w:cs="Arial"/>
          <w:color w:val="000000"/>
        </w:rPr>
      </w:pPr>
    </w:p>
    <w:p w:rsidR="00330CB9" w:rsidRPr="00CF447E" w:rsidRDefault="00330CB9" w:rsidP="00C63923">
      <w:pPr>
        <w:pStyle w:val="Textoindependiente"/>
        <w:spacing w:line="276" w:lineRule="auto"/>
        <w:ind w:left="-284" w:right="283"/>
        <w:rPr>
          <w:rFonts w:ascii="Arial" w:hAnsi="Arial" w:cs="Arial"/>
          <w:color w:val="000000"/>
        </w:rPr>
      </w:pPr>
    </w:p>
    <w:p w:rsidR="00330CB9" w:rsidRPr="00CF447E" w:rsidRDefault="00330CB9" w:rsidP="00C63923">
      <w:pPr>
        <w:pStyle w:val="Textoindependiente"/>
        <w:spacing w:line="276" w:lineRule="auto"/>
        <w:ind w:left="-284" w:right="283"/>
        <w:rPr>
          <w:rFonts w:ascii="Arial" w:hAnsi="Arial" w:cs="Arial"/>
          <w:color w:val="000000"/>
        </w:rPr>
      </w:pPr>
    </w:p>
    <w:p w:rsidR="00330CB9" w:rsidRPr="00CF447E" w:rsidRDefault="00330CB9" w:rsidP="00C63923">
      <w:pPr>
        <w:pStyle w:val="Textoindependiente"/>
        <w:spacing w:line="276" w:lineRule="auto"/>
        <w:ind w:left="-284" w:right="283"/>
        <w:rPr>
          <w:rFonts w:ascii="Arial" w:hAnsi="Arial" w:cs="Arial"/>
          <w:color w:val="000000"/>
        </w:rPr>
      </w:pPr>
    </w:p>
    <w:p w:rsidR="00330CB9" w:rsidRPr="00CF447E" w:rsidRDefault="00330CB9" w:rsidP="00C63923">
      <w:pPr>
        <w:pStyle w:val="Textoindependiente"/>
        <w:spacing w:line="276" w:lineRule="auto"/>
        <w:ind w:left="-284" w:right="283"/>
        <w:rPr>
          <w:rFonts w:ascii="Arial" w:hAnsi="Arial" w:cs="Arial"/>
          <w:color w:val="000000"/>
        </w:rPr>
      </w:pPr>
    </w:p>
    <w:p w:rsidR="00330CB9" w:rsidRPr="00CF447E" w:rsidRDefault="009C3E59" w:rsidP="00C63923">
      <w:pPr>
        <w:pStyle w:val="Textoindependiente"/>
        <w:spacing w:line="276" w:lineRule="auto"/>
        <w:ind w:left="-284" w:right="283"/>
        <w:rPr>
          <w:rFonts w:ascii="Arial" w:hAnsi="Arial" w:cs="Arial"/>
          <w:bCs w:val="0"/>
          <w:color w:val="000000"/>
        </w:rPr>
      </w:pPr>
      <w:r w:rsidRPr="00CF447E">
        <w:rPr>
          <w:rFonts w:ascii="Arial" w:hAnsi="Arial" w:cs="Arial"/>
          <w:bCs w:val="0"/>
          <w:color w:val="000000"/>
        </w:rPr>
        <w:t>RODRIGO VALDÉS PULIDO</w:t>
      </w:r>
    </w:p>
    <w:p w:rsidR="00330CB9" w:rsidRPr="00CF447E" w:rsidRDefault="00330CB9" w:rsidP="00C63923">
      <w:pPr>
        <w:pStyle w:val="Textoindependiente"/>
        <w:spacing w:line="276" w:lineRule="auto"/>
        <w:ind w:left="-284" w:right="283"/>
        <w:rPr>
          <w:rFonts w:ascii="Arial" w:hAnsi="Arial" w:cs="Arial"/>
          <w:color w:val="000000"/>
        </w:rPr>
      </w:pPr>
      <w:r w:rsidRPr="00CF447E">
        <w:rPr>
          <w:rFonts w:ascii="Arial" w:hAnsi="Arial" w:cs="Arial"/>
          <w:color w:val="000000"/>
        </w:rPr>
        <w:t xml:space="preserve">       Ministro de Hacienda</w:t>
      </w:r>
    </w:p>
    <w:p w:rsidR="00D633A4" w:rsidRPr="00CF447E" w:rsidRDefault="00D633A4" w:rsidP="00851B38">
      <w:pPr>
        <w:spacing w:line="276" w:lineRule="auto"/>
        <w:ind w:left="1418" w:right="283"/>
        <w:rPr>
          <w:rFonts w:ascii="Arial" w:hAnsi="Arial" w:cs="Arial"/>
          <w:lang w:val="es-MX"/>
        </w:rPr>
      </w:pPr>
    </w:p>
    <w:sectPr w:rsidR="00D633A4" w:rsidRPr="00CF447E" w:rsidSect="00677C63">
      <w:type w:val="continuous"/>
      <w:pgSz w:w="12242" w:h="20162" w:code="5"/>
      <w:pgMar w:top="1418" w:right="902" w:bottom="3119" w:left="2268" w:header="709" w:footer="709" w:gutter="0"/>
      <w:paperSrc w:first="46" w:other="46"/>
      <w:pgNumType w:start="2"/>
      <w:cols w:space="16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87A" w:rsidRDefault="00A8787A">
      <w:r>
        <w:separator/>
      </w:r>
    </w:p>
  </w:endnote>
  <w:endnote w:type="continuationSeparator" w:id="0">
    <w:p w:rsidR="00A8787A" w:rsidRDefault="00A8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B4" w:rsidRDefault="00BC2FB4" w:rsidP="00FD192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C2FB4" w:rsidRDefault="00BC2FB4" w:rsidP="00FD192D">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B4" w:rsidRDefault="00BC2FB4" w:rsidP="00FD192D">
    <w:pPr>
      <w:pStyle w:val="Piedepgina"/>
      <w:framePr w:wrap="around" w:vAnchor="text" w:hAnchor="margin" w:y="1"/>
      <w:ind w:right="360"/>
      <w:rPr>
        <w:rStyle w:val="Nmerodepgina"/>
      </w:rPr>
    </w:pPr>
  </w:p>
  <w:p w:rsidR="00BC2FB4" w:rsidRDefault="00BC2FB4" w:rsidP="00FD192D">
    <w:pPr>
      <w:pStyle w:val="Piedepgin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87A" w:rsidRDefault="00A8787A">
      <w:r>
        <w:separator/>
      </w:r>
    </w:p>
  </w:footnote>
  <w:footnote w:type="continuationSeparator" w:id="0">
    <w:p w:rsidR="00A8787A" w:rsidRDefault="00A87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B4" w:rsidRDefault="00BC2FB4" w:rsidP="00FD192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2FB4" w:rsidRDefault="00BC2FB4" w:rsidP="00FD192D">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B4" w:rsidRDefault="00BC2FB4" w:rsidP="00FD192D">
    <w:pPr>
      <w:pStyle w:val="Encabezado"/>
      <w:framePr w:wrap="around" w:vAnchor="text" w:hAnchor="margin" w:xAlign="right" w:y="1"/>
      <w:ind w:left="120" w:hanging="120"/>
      <w:rPr>
        <w:rStyle w:val="Nmerodepgina"/>
      </w:rPr>
    </w:pPr>
  </w:p>
  <w:p w:rsidR="00BC2FB4" w:rsidRDefault="00BC2FB4" w:rsidP="00FD192D">
    <w:pPr>
      <w:pStyle w:val="Encabezado"/>
      <w:framePr w:wrap="around" w:vAnchor="text" w:hAnchor="page" w:x="6819" w:y="-3"/>
      <w:ind w:right="360"/>
      <w:rPr>
        <w:rStyle w:val="Nmerodepgina"/>
      </w:rPr>
    </w:pPr>
  </w:p>
  <w:p w:rsidR="00BC2FB4" w:rsidRDefault="00BC2FB4" w:rsidP="00FD192D">
    <w:pPr>
      <w:pStyle w:val="Encabezado"/>
      <w:jc w:val="center"/>
      <w:rPr>
        <w:rStyle w:val="Nmerodepgina"/>
      </w:rPr>
    </w:pPr>
    <w:r>
      <w:rPr>
        <w:rStyle w:val="Nmerodepgina"/>
      </w:rPr>
      <w:t xml:space="preserve">          </w:t>
    </w:r>
    <w:r>
      <w:rPr>
        <w:rStyle w:val="Nmerodepgina"/>
      </w:rPr>
      <w:fldChar w:fldCharType="begin"/>
    </w:r>
    <w:r>
      <w:rPr>
        <w:rStyle w:val="Nmerodepgina"/>
      </w:rPr>
      <w:instrText xml:space="preserve">PAGE  </w:instrText>
    </w:r>
    <w:r>
      <w:rPr>
        <w:rStyle w:val="Nmerodepgina"/>
      </w:rPr>
      <w:fldChar w:fldCharType="separate"/>
    </w:r>
    <w:r w:rsidR="00120957">
      <w:rPr>
        <w:rStyle w:val="Nmerodepgina"/>
        <w:noProof/>
      </w:rPr>
      <w:t>2</w:t>
    </w:r>
    <w:r>
      <w:rPr>
        <w:rStyle w:val="Nmerodepgina"/>
      </w:rPr>
      <w:fldChar w:fldCharType="end"/>
    </w:r>
  </w:p>
  <w:p w:rsidR="00BC2FB4" w:rsidRDefault="00BC2FB4" w:rsidP="00FD192D">
    <w:pPr>
      <w:pStyle w:val="Encabezado"/>
      <w:tabs>
        <w:tab w:val="clear" w:pos="8504"/>
        <w:tab w:val="right" w:pos="10080"/>
      </w:tabs>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FB4" w:rsidRPr="00B43E23" w:rsidRDefault="00BC2FB4" w:rsidP="00B43E23">
    <w:pPr>
      <w:ind w:left="-480"/>
      <w:rPr>
        <w:b/>
        <w:noProof/>
        <w:color w:val="1F497D"/>
        <w:u w:val="single"/>
      </w:rPr>
    </w:pPr>
    <w:r>
      <w:rPr>
        <w:noProof/>
        <w:color w:val="1F497D"/>
        <w:lang w:val="es-CL" w:eastAsia="es-CL"/>
      </w:rPr>
      <w:drawing>
        <wp:inline distT="0" distB="0" distL="0" distR="0" wp14:anchorId="7C1FBC66" wp14:editId="688B82E6">
          <wp:extent cx="571500" cy="571500"/>
          <wp:effectExtent l="0" t="0" r="0" b="0"/>
          <wp:docPr id="1" name="Imagen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Pr>
        <w:noProof/>
        <w:color w:val="1F497D"/>
      </w:rPr>
      <w:tab/>
      <w:t xml:space="preserve">        </w:t>
    </w:r>
    <w:r w:rsidRPr="00B43E23">
      <w:rPr>
        <w:b/>
        <w:noProof/>
        <w:color w:val="1F497D"/>
        <w:u w:val="single"/>
      </w:rPr>
      <w:t xml:space="preserve"> </w:t>
    </w:r>
    <w:r>
      <w:rPr>
        <w:b/>
        <w:noProof/>
        <w:color w:val="1F497D"/>
        <w:u w:val="single"/>
      </w:rPr>
      <w:t xml:space="preserve"> </w:t>
    </w:r>
  </w:p>
  <w:p w:rsidR="00BC2FB4" w:rsidRPr="00B43E23" w:rsidRDefault="00BC2FB4" w:rsidP="00FD192D">
    <w:pPr>
      <w:ind w:left="-840"/>
      <w:rPr>
        <w:rFonts w:ascii="Arial" w:hAnsi="Arial" w:cs="Arial"/>
        <w:sz w:val="16"/>
        <w:szCs w:val="16"/>
        <w:u w:val="single"/>
      </w:rPr>
    </w:pPr>
    <w:r w:rsidRPr="00B43E23">
      <w:rPr>
        <w:rFonts w:ascii="Arial" w:hAnsi="Arial" w:cs="Arial"/>
        <w:sz w:val="16"/>
        <w:szCs w:val="16"/>
        <w:u w:val="single"/>
      </w:rPr>
      <w:t>Ministerio de Hacienda</w:t>
    </w:r>
  </w:p>
  <w:p w:rsidR="00BC2FB4" w:rsidRDefault="00BC2F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F0291"/>
    <w:multiLevelType w:val="hybridMultilevel"/>
    <w:tmpl w:val="F86A8650"/>
    <w:lvl w:ilvl="0" w:tplc="6F56CC80">
      <w:start w:val="1"/>
      <w:numFmt w:val="lowerLetter"/>
      <w:lvlText w:val="%1)"/>
      <w:lvlJc w:val="left"/>
      <w:pPr>
        <w:ind w:left="1778" w:hanging="360"/>
      </w:pPr>
      <w:rPr>
        <w:rFonts w:hint="default"/>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1">
    <w:nsid w:val="211F65CB"/>
    <w:multiLevelType w:val="hybridMultilevel"/>
    <w:tmpl w:val="F966527C"/>
    <w:lvl w:ilvl="0" w:tplc="551A2C40">
      <w:start w:val="1"/>
      <w:numFmt w:val="lowerLetter"/>
      <w:lvlText w:val="%1)"/>
      <w:lvlJc w:val="left"/>
      <w:pPr>
        <w:ind w:left="1200" w:hanging="360"/>
      </w:pPr>
      <w:rPr>
        <w:rFonts w:hint="default"/>
      </w:rPr>
    </w:lvl>
    <w:lvl w:ilvl="1" w:tplc="340A0019" w:tentative="1">
      <w:start w:val="1"/>
      <w:numFmt w:val="lowerLetter"/>
      <w:lvlText w:val="%2."/>
      <w:lvlJc w:val="left"/>
      <w:pPr>
        <w:ind w:left="1920" w:hanging="360"/>
      </w:pPr>
    </w:lvl>
    <w:lvl w:ilvl="2" w:tplc="340A001B" w:tentative="1">
      <w:start w:val="1"/>
      <w:numFmt w:val="lowerRoman"/>
      <w:lvlText w:val="%3."/>
      <w:lvlJc w:val="right"/>
      <w:pPr>
        <w:ind w:left="2640" w:hanging="180"/>
      </w:pPr>
    </w:lvl>
    <w:lvl w:ilvl="3" w:tplc="340A000F" w:tentative="1">
      <w:start w:val="1"/>
      <w:numFmt w:val="decimal"/>
      <w:lvlText w:val="%4."/>
      <w:lvlJc w:val="left"/>
      <w:pPr>
        <w:ind w:left="3360" w:hanging="360"/>
      </w:pPr>
    </w:lvl>
    <w:lvl w:ilvl="4" w:tplc="340A0019" w:tentative="1">
      <w:start w:val="1"/>
      <w:numFmt w:val="lowerLetter"/>
      <w:lvlText w:val="%5."/>
      <w:lvlJc w:val="left"/>
      <w:pPr>
        <w:ind w:left="4080" w:hanging="360"/>
      </w:pPr>
    </w:lvl>
    <w:lvl w:ilvl="5" w:tplc="340A001B" w:tentative="1">
      <w:start w:val="1"/>
      <w:numFmt w:val="lowerRoman"/>
      <w:lvlText w:val="%6."/>
      <w:lvlJc w:val="right"/>
      <w:pPr>
        <w:ind w:left="4800" w:hanging="180"/>
      </w:pPr>
    </w:lvl>
    <w:lvl w:ilvl="6" w:tplc="340A000F" w:tentative="1">
      <w:start w:val="1"/>
      <w:numFmt w:val="decimal"/>
      <w:lvlText w:val="%7."/>
      <w:lvlJc w:val="left"/>
      <w:pPr>
        <w:ind w:left="5520" w:hanging="360"/>
      </w:pPr>
    </w:lvl>
    <w:lvl w:ilvl="7" w:tplc="340A0019" w:tentative="1">
      <w:start w:val="1"/>
      <w:numFmt w:val="lowerLetter"/>
      <w:lvlText w:val="%8."/>
      <w:lvlJc w:val="left"/>
      <w:pPr>
        <w:ind w:left="6240" w:hanging="360"/>
      </w:pPr>
    </w:lvl>
    <w:lvl w:ilvl="8" w:tplc="340A001B" w:tentative="1">
      <w:start w:val="1"/>
      <w:numFmt w:val="lowerRoman"/>
      <w:lvlText w:val="%9."/>
      <w:lvlJc w:val="right"/>
      <w:pPr>
        <w:ind w:left="6960" w:hanging="180"/>
      </w:pPr>
    </w:lvl>
  </w:abstractNum>
  <w:abstractNum w:abstractNumId="2">
    <w:nsid w:val="2D9C6EE5"/>
    <w:multiLevelType w:val="hybridMultilevel"/>
    <w:tmpl w:val="967A5D76"/>
    <w:lvl w:ilvl="0" w:tplc="2F7C1E1C">
      <w:start w:val="5"/>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9A10CDE"/>
    <w:multiLevelType w:val="hybridMultilevel"/>
    <w:tmpl w:val="D3A4E958"/>
    <w:lvl w:ilvl="0" w:tplc="8B1E92B6">
      <w:start w:val="2"/>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70BE02D1"/>
    <w:multiLevelType w:val="hybridMultilevel"/>
    <w:tmpl w:val="FB64B422"/>
    <w:lvl w:ilvl="0" w:tplc="DFB836C8">
      <w:start w:val="1"/>
      <w:numFmt w:val="lowerLetter"/>
      <w:lvlText w:val="%1)"/>
      <w:lvlJc w:val="left"/>
      <w:pPr>
        <w:ind w:left="1211" w:hanging="36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5">
    <w:nsid w:val="71384C93"/>
    <w:multiLevelType w:val="hybridMultilevel"/>
    <w:tmpl w:val="3C0CEBEC"/>
    <w:lvl w:ilvl="0" w:tplc="E3DE6356">
      <w:start w:val="1"/>
      <w:numFmt w:val="decimal"/>
      <w:lvlText w:val="%1."/>
      <w:lvlJc w:val="left"/>
      <w:pPr>
        <w:ind w:left="2123" w:hanging="705"/>
      </w:pPr>
      <w:rPr>
        <w:rFonts w:hint="default"/>
        <w:b/>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6">
    <w:nsid w:val="76417692"/>
    <w:multiLevelType w:val="hybridMultilevel"/>
    <w:tmpl w:val="575CCBEC"/>
    <w:lvl w:ilvl="0" w:tplc="5F6E8106">
      <w:start w:val="1"/>
      <w:numFmt w:val="decimal"/>
      <w:lvlText w:val="%1."/>
      <w:lvlJc w:val="left"/>
      <w:pPr>
        <w:ind w:left="600" w:hanging="360"/>
      </w:pPr>
      <w:rPr>
        <w:rFonts w:hint="default"/>
      </w:rPr>
    </w:lvl>
    <w:lvl w:ilvl="1" w:tplc="340A0019" w:tentative="1">
      <w:start w:val="1"/>
      <w:numFmt w:val="lowerLetter"/>
      <w:lvlText w:val="%2."/>
      <w:lvlJc w:val="left"/>
      <w:pPr>
        <w:ind w:left="1320" w:hanging="360"/>
      </w:pPr>
    </w:lvl>
    <w:lvl w:ilvl="2" w:tplc="340A001B" w:tentative="1">
      <w:start w:val="1"/>
      <w:numFmt w:val="lowerRoman"/>
      <w:lvlText w:val="%3."/>
      <w:lvlJc w:val="right"/>
      <w:pPr>
        <w:ind w:left="2040" w:hanging="180"/>
      </w:pPr>
    </w:lvl>
    <w:lvl w:ilvl="3" w:tplc="340A000F" w:tentative="1">
      <w:start w:val="1"/>
      <w:numFmt w:val="decimal"/>
      <w:lvlText w:val="%4."/>
      <w:lvlJc w:val="left"/>
      <w:pPr>
        <w:ind w:left="2760" w:hanging="360"/>
      </w:pPr>
    </w:lvl>
    <w:lvl w:ilvl="4" w:tplc="340A0019" w:tentative="1">
      <w:start w:val="1"/>
      <w:numFmt w:val="lowerLetter"/>
      <w:lvlText w:val="%5."/>
      <w:lvlJc w:val="left"/>
      <w:pPr>
        <w:ind w:left="3480" w:hanging="360"/>
      </w:pPr>
    </w:lvl>
    <w:lvl w:ilvl="5" w:tplc="340A001B" w:tentative="1">
      <w:start w:val="1"/>
      <w:numFmt w:val="lowerRoman"/>
      <w:lvlText w:val="%6."/>
      <w:lvlJc w:val="right"/>
      <w:pPr>
        <w:ind w:left="4200" w:hanging="180"/>
      </w:pPr>
    </w:lvl>
    <w:lvl w:ilvl="6" w:tplc="340A000F" w:tentative="1">
      <w:start w:val="1"/>
      <w:numFmt w:val="decimal"/>
      <w:lvlText w:val="%7."/>
      <w:lvlJc w:val="left"/>
      <w:pPr>
        <w:ind w:left="4920" w:hanging="360"/>
      </w:pPr>
    </w:lvl>
    <w:lvl w:ilvl="7" w:tplc="340A0019" w:tentative="1">
      <w:start w:val="1"/>
      <w:numFmt w:val="lowerLetter"/>
      <w:lvlText w:val="%8."/>
      <w:lvlJc w:val="left"/>
      <w:pPr>
        <w:ind w:left="5640" w:hanging="360"/>
      </w:pPr>
    </w:lvl>
    <w:lvl w:ilvl="8" w:tplc="340A001B" w:tentative="1">
      <w:start w:val="1"/>
      <w:numFmt w:val="lowerRoman"/>
      <w:lvlText w:val="%9."/>
      <w:lvlJc w:val="right"/>
      <w:pPr>
        <w:ind w:left="6360" w:hanging="180"/>
      </w:pPr>
    </w:lvl>
  </w:abstractNum>
  <w:abstractNum w:abstractNumId="7">
    <w:nsid w:val="7B6D5DA5"/>
    <w:multiLevelType w:val="hybridMultilevel"/>
    <w:tmpl w:val="E17E2820"/>
    <w:lvl w:ilvl="0" w:tplc="1DF83E64">
      <w:start w:val="1"/>
      <w:numFmt w:val="lowerLetter"/>
      <w:lvlText w:val="%1)"/>
      <w:lvlJc w:val="left"/>
      <w:pPr>
        <w:ind w:left="1838" w:hanging="360"/>
      </w:pPr>
      <w:rPr>
        <w:rFonts w:hint="default"/>
      </w:rPr>
    </w:lvl>
    <w:lvl w:ilvl="1" w:tplc="340A0019" w:tentative="1">
      <w:start w:val="1"/>
      <w:numFmt w:val="lowerLetter"/>
      <w:lvlText w:val="%2."/>
      <w:lvlJc w:val="left"/>
      <w:pPr>
        <w:ind w:left="2558" w:hanging="360"/>
      </w:pPr>
    </w:lvl>
    <w:lvl w:ilvl="2" w:tplc="340A001B" w:tentative="1">
      <w:start w:val="1"/>
      <w:numFmt w:val="lowerRoman"/>
      <w:lvlText w:val="%3."/>
      <w:lvlJc w:val="right"/>
      <w:pPr>
        <w:ind w:left="3278" w:hanging="180"/>
      </w:pPr>
    </w:lvl>
    <w:lvl w:ilvl="3" w:tplc="340A000F" w:tentative="1">
      <w:start w:val="1"/>
      <w:numFmt w:val="decimal"/>
      <w:lvlText w:val="%4."/>
      <w:lvlJc w:val="left"/>
      <w:pPr>
        <w:ind w:left="3998" w:hanging="360"/>
      </w:pPr>
    </w:lvl>
    <w:lvl w:ilvl="4" w:tplc="340A0019" w:tentative="1">
      <w:start w:val="1"/>
      <w:numFmt w:val="lowerLetter"/>
      <w:lvlText w:val="%5."/>
      <w:lvlJc w:val="left"/>
      <w:pPr>
        <w:ind w:left="4718" w:hanging="360"/>
      </w:pPr>
    </w:lvl>
    <w:lvl w:ilvl="5" w:tplc="340A001B" w:tentative="1">
      <w:start w:val="1"/>
      <w:numFmt w:val="lowerRoman"/>
      <w:lvlText w:val="%6."/>
      <w:lvlJc w:val="right"/>
      <w:pPr>
        <w:ind w:left="5438" w:hanging="180"/>
      </w:pPr>
    </w:lvl>
    <w:lvl w:ilvl="6" w:tplc="340A000F" w:tentative="1">
      <w:start w:val="1"/>
      <w:numFmt w:val="decimal"/>
      <w:lvlText w:val="%7."/>
      <w:lvlJc w:val="left"/>
      <w:pPr>
        <w:ind w:left="6158" w:hanging="360"/>
      </w:pPr>
    </w:lvl>
    <w:lvl w:ilvl="7" w:tplc="340A0019" w:tentative="1">
      <w:start w:val="1"/>
      <w:numFmt w:val="lowerLetter"/>
      <w:lvlText w:val="%8."/>
      <w:lvlJc w:val="left"/>
      <w:pPr>
        <w:ind w:left="6878" w:hanging="360"/>
      </w:pPr>
    </w:lvl>
    <w:lvl w:ilvl="8" w:tplc="340A001B" w:tentative="1">
      <w:start w:val="1"/>
      <w:numFmt w:val="lowerRoman"/>
      <w:lvlText w:val="%9."/>
      <w:lvlJc w:val="right"/>
      <w:pPr>
        <w:ind w:left="7598" w:hanging="180"/>
      </w:pPr>
    </w:lvl>
  </w:abstractNum>
  <w:num w:numId="1">
    <w:abstractNumId w:val="1"/>
  </w:num>
  <w:num w:numId="2">
    <w:abstractNumId w:val="4"/>
  </w:num>
  <w:num w:numId="3">
    <w:abstractNumId w:val="3"/>
  </w:num>
  <w:num w:numId="4">
    <w:abstractNumId w:val="6"/>
  </w:num>
  <w:num w:numId="5">
    <w:abstractNumId w:val="0"/>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CB9"/>
    <w:rsid w:val="000004E3"/>
    <w:rsid w:val="00003932"/>
    <w:rsid w:val="00006F59"/>
    <w:rsid w:val="0000777F"/>
    <w:rsid w:val="000120E0"/>
    <w:rsid w:val="000145A1"/>
    <w:rsid w:val="000401AC"/>
    <w:rsid w:val="0004050E"/>
    <w:rsid w:val="00042C32"/>
    <w:rsid w:val="00042E80"/>
    <w:rsid w:val="00046D3E"/>
    <w:rsid w:val="0004744A"/>
    <w:rsid w:val="00054435"/>
    <w:rsid w:val="000620C9"/>
    <w:rsid w:val="00062F27"/>
    <w:rsid w:val="00074F3E"/>
    <w:rsid w:val="00082EBB"/>
    <w:rsid w:val="0009343D"/>
    <w:rsid w:val="000A0AC7"/>
    <w:rsid w:val="000A25D3"/>
    <w:rsid w:val="000B36D7"/>
    <w:rsid w:val="000C7F05"/>
    <w:rsid w:val="000D3A9F"/>
    <w:rsid w:val="000D72DF"/>
    <w:rsid w:val="000F5078"/>
    <w:rsid w:val="000F662C"/>
    <w:rsid w:val="001035C4"/>
    <w:rsid w:val="00105B62"/>
    <w:rsid w:val="00107347"/>
    <w:rsid w:val="0010756D"/>
    <w:rsid w:val="0011474E"/>
    <w:rsid w:val="00120957"/>
    <w:rsid w:val="00121380"/>
    <w:rsid w:val="001220C8"/>
    <w:rsid w:val="00131BD0"/>
    <w:rsid w:val="00142BE7"/>
    <w:rsid w:val="00146A5C"/>
    <w:rsid w:val="00146AF7"/>
    <w:rsid w:val="00146B76"/>
    <w:rsid w:val="00150923"/>
    <w:rsid w:val="00154B3D"/>
    <w:rsid w:val="00156381"/>
    <w:rsid w:val="00167151"/>
    <w:rsid w:val="001853D6"/>
    <w:rsid w:val="00192ACE"/>
    <w:rsid w:val="0019337F"/>
    <w:rsid w:val="00193E0C"/>
    <w:rsid w:val="0019753B"/>
    <w:rsid w:val="001A17E0"/>
    <w:rsid w:val="001A417F"/>
    <w:rsid w:val="001B2921"/>
    <w:rsid w:val="001B2CA1"/>
    <w:rsid w:val="001B2DC1"/>
    <w:rsid w:val="001B4A5A"/>
    <w:rsid w:val="001C0B29"/>
    <w:rsid w:val="001C178F"/>
    <w:rsid w:val="001C2DE6"/>
    <w:rsid w:val="001D0684"/>
    <w:rsid w:val="001D55BC"/>
    <w:rsid w:val="001D7EAD"/>
    <w:rsid w:val="001E58F7"/>
    <w:rsid w:val="001F2C0D"/>
    <w:rsid w:val="00203348"/>
    <w:rsid w:val="00207904"/>
    <w:rsid w:val="00211030"/>
    <w:rsid w:val="00211C74"/>
    <w:rsid w:val="00213845"/>
    <w:rsid w:val="002232C4"/>
    <w:rsid w:val="00230D1C"/>
    <w:rsid w:val="0023454A"/>
    <w:rsid w:val="00234DF5"/>
    <w:rsid w:val="00243E5A"/>
    <w:rsid w:val="0024514C"/>
    <w:rsid w:val="00246FD3"/>
    <w:rsid w:val="00247268"/>
    <w:rsid w:val="0025161A"/>
    <w:rsid w:val="00263B39"/>
    <w:rsid w:val="00264FD3"/>
    <w:rsid w:val="00274EAE"/>
    <w:rsid w:val="00275B4E"/>
    <w:rsid w:val="00275CC4"/>
    <w:rsid w:val="00285F19"/>
    <w:rsid w:val="00286898"/>
    <w:rsid w:val="00293C7B"/>
    <w:rsid w:val="00295241"/>
    <w:rsid w:val="002A1297"/>
    <w:rsid w:val="002A77EC"/>
    <w:rsid w:val="002B0639"/>
    <w:rsid w:val="002B4A30"/>
    <w:rsid w:val="002C3DD1"/>
    <w:rsid w:val="002C4183"/>
    <w:rsid w:val="002C4D8B"/>
    <w:rsid w:val="002C6414"/>
    <w:rsid w:val="002C7EAB"/>
    <w:rsid w:val="002D552C"/>
    <w:rsid w:val="002F4315"/>
    <w:rsid w:val="002F7C45"/>
    <w:rsid w:val="0030015D"/>
    <w:rsid w:val="00303FC1"/>
    <w:rsid w:val="00320AF1"/>
    <w:rsid w:val="0032194E"/>
    <w:rsid w:val="00323513"/>
    <w:rsid w:val="00325AFF"/>
    <w:rsid w:val="00330CB9"/>
    <w:rsid w:val="00331E7B"/>
    <w:rsid w:val="00334E52"/>
    <w:rsid w:val="00343743"/>
    <w:rsid w:val="00345ACB"/>
    <w:rsid w:val="00351CD0"/>
    <w:rsid w:val="00352A50"/>
    <w:rsid w:val="00352F62"/>
    <w:rsid w:val="003579A9"/>
    <w:rsid w:val="00360DC1"/>
    <w:rsid w:val="003732C0"/>
    <w:rsid w:val="00390F6F"/>
    <w:rsid w:val="0039642E"/>
    <w:rsid w:val="003A4F5F"/>
    <w:rsid w:val="003B5F1B"/>
    <w:rsid w:val="003C049D"/>
    <w:rsid w:val="003C5BBF"/>
    <w:rsid w:val="003D3394"/>
    <w:rsid w:val="003D4103"/>
    <w:rsid w:val="003D55F3"/>
    <w:rsid w:val="003D63A3"/>
    <w:rsid w:val="003E5481"/>
    <w:rsid w:val="003E567C"/>
    <w:rsid w:val="003F41BB"/>
    <w:rsid w:val="00403A45"/>
    <w:rsid w:val="0040690D"/>
    <w:rsid w:val="0041596C"/>
    <w:rsid w:val="00426E83"/>
    <w:rsid w:val="00430F0A"/>
    <w:rsid w:val="004311DF"/>
    <w:rsid w:val="00440246"/>
    <w:rsid w:val="00441327"/>
    <w:rsid w:val="00445D9B"/>
    <w:rsid w:val="00447D16"/>
    <w:rsid w:val="00451632"/>
    <w:rsid w:val="0047040C"/>
    <w:rsid w:val="00473968"/>
    <w:rsid w:val="0047414B"/>
    <w:rsid w:val="0048096D"/>
    <w:rsid w:val="00482114"/>
    <w:rsid w:val="00482C1C"/>
    <w:rsid w:val="00486718"/>
    <w:rsid w:val="00491C6F"/>
    <w:rsid w:val="00496793"/>
    <w:rsid w:val="004A0C10"/>
    <w:rsid w:val="004A2F06"/>
    <w:rsid w:val="004A56E6"/>
    <w:rsid w:val="004A5C65"/>
    <w:rsid w:val="004C05BB"/>
    <w:rsid w:val="004C756B"/>
    <w:rsid w:val="004D03F6"/>
    <w:rsid w:val="004E10DB"/>
    <w:rsid w:val="004F38B8"/>
    <w:rsid w:val="004F6599"/>
    <w:rsid w:val="004F7BBC"/>
    <w:rsid w:val="00503E87"/>
    <w:rsid w:val="00513F59"/>
    <w:rsid w:val="0051691D"/>
    <w:rsid w:val="00527B17"/>
    <w:rsid w:val="00544785"/>
    <w:rsid w:val="005526E8"/>
    <w:rsid w:val="00554579"/>
    <w:rsid w:val="00554949"/>
    <w:rsid w:val="00557F45"/>
    <w:rsid w:val="00560311"/>
    <w:rsid w:val="00563364"/>
    <w:rsid w:val="005660D2"/>
    <w:rsid w:val="005678DB"/>
    <w:rsid w:val="00573439"/>
    <w:rsid w:val="00573A2A"/>
    <w:rsid w:val="00580DBD"/>
    <w:rsid w:val="00581B1E"/>
    <w:rsid w:val="00582C97"/>
    <w:rsid w:val="00583FE6"/>
    <w:rsid w:val="005841BC"/>
    <w:rsid w:val="0058568D"/>
    <w:rsid w:val="00587133"/>
    <w:rsid w:val="00590AAC"/>
    <w:rsid w:val="00591591"/>
    <w:rsid w:val="005A19A8"/>
    <w:rsid w:val="005A1AE9"/>
    <w:rsid w:val="005A7B5E"/>
    <w:rsid w:val="005B12E4"/>
    <w:rsid w:val="005B183F"/>
    <w:rsid w:val="005B19CB"/>
    <w:rsid w:val="005B3FBC"/>
    <w:rsid w:val="005D33AD"/>
    <w:rsid w:val="005E6178"/>
    <w:rsid w:val="005F3657"/>
    <w:rsid w:val="0060145B"/>
    <w:rsid w:val="00607D73"/>
    <w:rsid w:val="0061113B"/>
    <w:rsid w:val="00612B65"/>
    <w:rsid w:val="006153CB"/>
    <w:rsid w:val="006173FB"/>
    <w:rsid w:val="006328A5"/>
    <w:rsid w:val="00636B98"/>
    <w:rsid w:val="00657D67"/>
    <w:rsid w:val="006606AE"/>
    <w:rsid w:val="00674D48"/>
    <w:rsid w:val="006773E4"/>
    <w:rsid w:val="00677C63"/>
    <w:rsid w:val="00682C7B"/>
    <w:rsid w:val="00692694"/>
    <w:rsid w:val="00692DD5"/>
    <w:rsid w:val="006939A9"/>
    <w:rsid w:val="006A1279"/>
    <w:rsid w:val="006A48F9"/>
    <w:rsid w:val="006A7192"/>
    <w:rsid w:val="006B355B"/>
    <w:rsid w:val="006B4256"/>
    <w:rsid w:val="006C019A"/>
    <w:rsid w:val="006C0912"/>
    <w:rsid w:val="006C4D1C"/>
    <w:rsid w:val="006C5023"/>
    <w:rsid w:val="006D72CC"/>
    <w:rsid w:val="006F267A"/>
    <w:rsid w:val="006F2FDC"/>
    <w:rsid w:val="006F5896"/>
    <w:rsid w:val="00700946"/>
    <w:rsid w:val="00700F65"/>
    <w:rsid w:val="00705067"/>
    <w:rsid w:val="00707B94"/>
    <w:rsid w:val="00714336"/>
    <w:rsid w:val="00717A80"/>
    <w:rsid w:val="00744565"/>
    <w:rsid w:val="00750B51"/>
    <w:rsid w:val="0075607D"/>
    <w:rsid w:val="00757887"/>
    <w:rsid w:val="0076423B"/>
    <w:rsid w:val="00794FA6"/>
    <w:rsid w:val="007A3394"/>
    <w:rsid w:val="007A429B"/>
    <w:rsid w:val="007A7B29"/>
    <w:rsid w:val="007B1B5D"/>
    <w:rsid w:val="007B6CE6"/>
    <w:rsid w:val="007C12DB"/>
    <w:rsid w:val="007C3F66"/>
    <w:rsid w:val="007C756E"/>
    <w:rsid w:val="007D0F09"/>
    <w:rsid w:val="007D1882"/>
    <w:rsid w:val="007D423D"/>
    <w:rsid w:val="007D4DFF"/>
    <w:rsid w:val="007E4926"/>
    <w:rsid w:val="007E5782"/>
    <w:rsid w:val="007E740C"/>
    <w:rsid w:val="007F3BC0"/>
    <w:rsid w:val="0080113A"/>
    <w:rsid w:val="0080655C"/>
    <w:rsid w:val="008105E2"/>
    <w:rsid w:val="008204E4"/>
    <w:rsid w:val="008311DC"/>
    <w:rsid w:val="008349C2"/>
    <w:rsid w:val="00843642"/>
    <w:rsid w:val="0084432F"/>
    <w:rsid w:val="00844E12"/>
    <w:rsid w:val="00851B38"/>
    <w:rsid w:val="008570B0"/>
    <w:rsid w:val="00857EDD"/>
    <w:rsid w:val="008629FA"/>
    <w:rsid w:val="00864C6A"/>
    <w:rsid w:val="0087583D"/>
    <w:rsid w:val="008871E3"/>
    <w:rsid w:val="00890CD8"/>
    <w:rsid w:val="008917EE"/>
    <w:rsid w:val="008926B8"/>
    <w:rsid w:val="008935B8"/>
    <w:rsid w:val="008A44BD"/>
    <w:rsid w:val="008A48C6"/>
    <w:rsid w:val="008B2FB5"/>
    <w:rsid w:val="008B6817"/>
    <w:rsid w:val="008B6B5E"/>
    <w:rsid w:val="008C2D4F"/>
    <w:rsid w:val="008D0690"/>
    <w:rsid w:val="008E3CFF"/>
    <w:rsid w:val="008E60D7"/>
    <w:rsid w:val="008F2879"/>
    <w:rsid w:val="008F3772"/>
    <w:rsid w:val="008F5179"/>
    <w:rsid w:val="008F698D"/>
    <w:rsid w:val="009023F9"/>
    <w:rsid w:val="00906AE7"/>
    <w:rsid w:val="00915B95"/>
    <w:rsid w:val="0091698E"/>
    <w:rsid w:val="009325D3"/>
    <w:rsid w:val="009346D0"/>
    <w:rsid w:val="00935DA6"/>
    <w:rsid w:val="00943ACB"/>
    <w:rsid w:val="00946A57"/>
    <w:rsid w:val="00947A58"/>
    <w:rsid w:val="00947A79"/>
    <w:rsid w:val="00947F9A"/>
    <w:rsid w:val="00954B53"/>
    <w:rsid w:val="00954D21"/>
    <w:rsid w:val="009551E6"/>
    <w:rsid w:val="009562E9"/>
    <w:rsid w:val="009631BF"/>
    <w:rsid w:val="00973AE2"/>
    <w:rsid w:val="00974095"/>
    <w:rsid w:val="00987533"/>
    <w:rsid w:val="0099388E"/>
    <w:rsid w:val="009A328D"/>
    <w:rsid w:val="009A3C33"/>
    <w:rsid w:val="009B224E"/>
    <w:rsid w:val="009B440D"/>
    <w:rsid w:val="009C3E59"/>
    <w:rsid w:val="009C4764"/>
    <w:rsid w:val="009D1014"/>
    <w:rsid w:val="009D2974"/>
    <w:rsid w:val="009D435C"/>
    <w:rsid w:val="009E1921"/>
    <w:rsid w:val="009E3AC4"/>
    <w:rsid w:val="009E71B1"/>
    <w:rsid w:val="00A228CA"/>
    <w:rsid w:val="00A22C6F"/>
    <w:rsid w:val="00A23298"/>
    <w:rsid w:val="00A26AF6"/>
    <w:rsid w:val="00A4561C"/>
    <w:rsid w:val="00A46D45"/>
    <w:rsid w:val="00A52B4C"/>
    <w:rsid w:val="00A54FE7"/>
    <w:rsid w:val="00A55BA8"/>
    <w:rsid w:val="00A6121A"/>
    <w:rsid w:val="00A64021"/>
    <w:rsid w:val="00A711D3"/>
    <w:rsid w:val="00A723B9"/>
    <w:rsid w:val="00A7796A"/>
    <w:rsid w:val="00A8063D"/>
    <w:rsid w:val="00A8787A"/>
    <w:rsid w:val="00A87A6F"/>
    <w:rsid w:val="00A91378"/>
    <w:rsid w:val="00AA07E6"/>
    <w:rsid w:val="00AA4BE6"/>
    <w:rsid w:val="00AB34C8"/>
    <w:rsid w:val="00AB43E9"/>
    <w:rsid w:val="00AB6A64"/>
    <w:rsid w:val="00AB6D83"/>
    <w:rsid w:val="00AC43B9"/>
    <w:rsid w:val="00AC4BDA"/>
    <w:rsid w:val="00AD0058"/>
    <w:rsid w:val="00AD6B75"/>
    <w:rsid w:val="00AF5D85"/>
    <w:rsid w:val="00B057F0"/>
    <w:rsid w:val="00B15F88"/>
    <w:rsid w:val="00B30A0E"/>
    <w:rsid w:val="00B40023"/>
    <w:rsid w:val="00B430CB"/>
    <w:rsid w:val="00B43E23"/>
    <w:rsid w:val="00B5057A"/>
    <w:rsid w:val="00B524BE"/>
    <w:rsid w:val="00B564A7"/>
    <w:rsid w:val="00B66FBE"/>
    <w:rsid w:val="00B711D9"/>
    <w:rsid w:val="00B71602"/>
    <w:rsid w:val="00B75AD0"/>
    <w:rsid w:val="00B77614"/>
    <w:rsid w:val="00BA5B3C"/>
    <w:rsid w:val="00BB18AB"/>
    <w:rsid w:val="00BB27B8"/>
    <w:rsid w:val="00BB3C1E"/>
    <w:rsid w:val="00BB6511"/>
    <w:rsid w:val="00BC2FB4"/>
    <w:rsid w:val="00BC56D1"/>
    <w:rsid w:val="00BC5808"/>
    <w:rsid w:val="00BC7DD8"/>
    <w:rsid w:val="00BD0729"/>
    <w:rsid w:val="00BD7765"/>
    <w:rsid w:val="00BE304A"/>
    <w:rsid w:val="00BE6AD5"/>
    <w:rsid w:val="00BF12E9"/>
    <w:rsid w:val="00C15271"/>
    <w:rsid w:val="00C15E55"/>
    <w:rsid w:val="00C220F2"/>
    <w:rsid w:val="00C23163"/>
    <w:rsid w:val="00C2362A"/>
    <w:rsid w:val="00C328D1"/>
    <w:rsid w:val="00C36A04"/>
    <w:rsid w:val="00C40430"/>
    <w:rsid w:val="00C40486"/>
    <w:rsid w:val="00C4083A"/>
    <w:rsid w:val="00C465B7"/>
    <w:rsid w:val="00C50E45"/>
    <w:rsid w:val="00C63923"/>
    <w:rsid w:val="00C710E9"/>
    <w:rsid w:val="00C81DEC"/>
    <w:rsid w:val="00C842ED"/>
    <w:rsid w:val="00C87371"/>
    <w:rsid w:val="00C927AC"/>
    <w:rsid w:val="00C929CC"/>
    <w:rsid w:val="00C940C5"/>
    <w:rsid w:val="00C94D62"/>
    <w:rsid w:val="00C958E9"/>
    <w:rsid w:val="00CC7C00"/>
    <w:rsid w:val="00CD74D6"/>
    <w:rsid w:val="00CF447E"/>
    <w:rsid w:val="00CF455D"/>
    <w:rsid w:val="00D064DB"/>
    <w:rsid w:val="00D064FB"/>
    <w:rsid w:val="00D12240"/>
    <w:rsid w:val="00D14DFB"/>
    <w:rsid w:val="00D32CA1"/>
    <w:rsid w:val="00D33013"/>
    <w:rsid w:val="00D33B33"/>
    <w:rsid w:val="00D36D43"/>
    <w:rsid w:val="00D40504"/>
    <w:rsid w:val="00D452E6"/>
    <w:rsid w:val="00D45EA0"/>
    <w:rsid w:val="00D4703C"/>
    <w:rsid w:val="00D578F4"/>
    <w:rsid w:val="00D633A4"/>
    <w:rsid w:val="00D63AC1"/>
    <w:rsid w:val="00D67D5F"/>
    <w:rsid w:val="00D8725F"/>
    <w:rsid w:val="00D912EC"/>
    <w:rsid w:val="00D9270F"/>
    <w:rsid w:val="00D92B84"/>
    <w:rsid w:val="00DA2304"/>
    <w:rsid w:val="00DA2584"/>
    <w:rsid w:val="00DA6F1F"/>
    <w:rsid w:val="00DC5A60"/>
    <w:rsid w:val="00DD3EF3"/>
    <w:rsid w:val="00DD4B7B"/>
    <w:rsid w:val="00DD6121"/>
    <w:rsid w:val="00DE4CFB"/>
    <w:rsid w:val="00DE7C8B"/>
    <w:rsid w:val="00E039AB"/>
    <w:rsid w:val="00E10F9D"/>
    <w:rsid w:val="00E15B95"/>
    <w:rsid w:val="00E24D6F"/>
    <w:rsid w:val="00E25B5C"/>
    <w:rsid w:val="00E26CA6"/>
    <w:rsid w:val="00E27860"/>
    <w:rsid w:val="00E40ADA"/>
    <w:rsid w:val="00E45162"/>
    <w:rsid w:val="00E45C49"/>
    <w:rsid w:val="00E53DE9"/>
    <w:rsid w:val="00E6038A"/>
    <w:rsid w:val="00E63E59"/>
    <w:rsid w:val="00E66CBA"/>
    <w:rsid w:val="00E8483C"/>
    <w:rsid w:val="00E85490"/>
    <w:rsid w:val="00E86298"/>
    <w:rsid w:val="00E90733"/>
    <w:rsid w:val="00E90E9F"/>
    <w:rsid w:val="00E9248C"/>
    <w:rsid w:val="00EA1D21"/>
    <w:rsid w:val="00EA3AFE"/>
    <w:rsid w:val="00EA58A8"/>
    <w:rsid w:val="00EC09B6"/>
    <w:rsid w:val="00EC1C9A"/>
    <w:rsid w:val="00EE588C"/>
    <w:rsid w:val="00EF5971"/>
    <w:rsid w:val="00F07C6C"/>
    <w:rsid w:val="00F1440A"/>
    <w:rsid w:val="00F174BA"/>
    <w:rsid w:val="00F2127A"/>
    <w:rsid w:val="00F2622D"/>
    <w:rsid w:val="00F34C08"/>
    <w:rsid w:val="00F3530F"/>
    <w:rsid w:val="00F453CE"/>
    <w:rsid w:val="00F52B36"/>
    <w:rsid w:val="00F62309"/>
    <w:rsid w:val="00F655C5"/>
    <w:rsid w:val="00F6610E"/>
    <w:rsid w:val="00F702F3"/>
    <w:rsid w:val="00F84FD3"/>
    <w:rsid w:val="00F923A9"/>
    <w:rsid w:val="00F94BD6"/>
    <w:rsid w:val="00FA21EE"/>
    <w:rsid w:val="00FA5291"/>
    <w:rsid w:val="00FA5918"/>
    <w:rsid w:val="00FB4856"/>
    <w:rsid w:val="00FB5084"/>
    <w:rsid w:val="00FC2FA8"/>
    <w:rsid w:val="00FC395E"/>
    <w:rsid w:val="00FC707C"/>
    <w:rsid w:val="00FD192D"/>
    <w:rsid w:val="00FD46E0"/>
    <w:rsid w:val="00FD7FD1"/>
    <w:rsid w:val="00FE65FE"/>
    <w:rsid w:val="00FF0D79"/>
    <w:rsid w:val="00FF30E0"/>
    <w:rsid w:val="00FF6EB4"/>
    <w:rsid w:val="00FF726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0369546-8A82-412D-8670-ADD0F5AC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808"/>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30CB9"/>
    <w:pPr>
      <w:jc w:val="both"/>
    </w:pPr>
    <w:rPr>
      <w:b/>
      <w:bCs/>
    </w:rPr>
  </w:style>
  <w:style w:type="character" w:customStyle="1" w:styleId="TextoindependienteCar">
    <w:name w:val="Texto independiente Car"/>
    <w:link w:val="Textoindependiente"/>
    <w:rsid w:val="00330CB9"/>
    <w:rPr>
      <w:rFonts w:ascii="Times New Roman" w:eastAsia="Times New Roman" w:hAnsi="Times New Roman" w:cs="Times New Roman"/>
      <w:b/>
      <w:bCs/>
      <w:sz w:val="24"/>
      <w:szCs w:val="24"/>
      <w:lang w:val="es-ES" w:eastAsia="es-ES"/>
    </w:rPr>
  </w:style>
  <w:style w:type="paragraph" w:styleId="Encabezado">
    <w:name w:val="header"/>
    <w:basedOn w:val="Normal"/>
    <w:link w:val="EncabezadoCar"/>
    <w:rsid w:val="00330CB9"/>
    <w:pPr>
      <w:tabs>
        <w:tab w:val="center" w:pos="4252"/>
        <w:tab w:val="right" w:pos="8504"/>
      </w:tabs>
    </w:pPr>
  </w:style>
  <w:style w:type="character" w:customStyle="1" w:styleId="EncabezadoCar">
    <w:name w:val="Encabezado Car"/>
    <w:link w:val="Encabezado"/>
    <w:rsid w:val="00330CB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30CB9"/>
  </w:style>
  <w:style w:type="paragraph" w:styleId="Piedepgina">
    <w:name w:val="footer"/>
    <w:basedOn w:val="Normal"/>
    <w:link w:val="PiedepginaCar"/>
    <w:rsid w:val="00330CB9"/>
    <w:pPr>
      <w:tabs>
        <w:tab w:val="center" w:pos="4252"/>
        <w:tab w:val="right" w:pos="8504"/>
      </w:tabs>
    </w:pPr>
  </w:style>
  <w:style w:type="character" w:customStyle="1" w:styleId="PiedepginaCar">
    <w:name w:val="Pie de página Car"/>
    <w:link w:val="Piedepgina"/>
    <w:rsid w:val="00330CB9"/>
    <w:rPr>
      <w:rFonts w:ascii="Times New Roman" w:eastAsia="Times New Roman" w:hAnsi="Times New Roman" w:cs="Times New Roman"/>
      <w:sz w:val="24"/>
      <w:szCs w:val="24"/>
      <w:lang w:val="es-ES" w:eastAsia="es-ES"/>
    </w:rPr>
  </w:style>
  <w:style w:type="paragraph" w:customStyle="1" w:styleId="Prrafodelista1">
    <w:name w:val="Párrafo de lista1"/>
    <w:basedOn w:val="Normal"/>
    <w:rsid w:val="00330CB9"/>
    <w:pPr>
      <w:widowControl w:val="0"/>
      <w:autoSpaceDE w:val="0"/>
      <w:autoSpaceDN w:val="0"/>
      <w:adjustRightInd w:val="0"/>
      <w:ind w:left="720"/>
      <w:contextualSpacing/>
      <w:jc w:val="both"/>
    </w:pPr>
    <w:rPr>
      <w:rFonts w:ascii="Courier New" w:eastAsia="Calibri" w:hAnsi="Courier New" w:cs="Courier New"/>
      <w:sz w:val="20"/>
      <w:szCs w:val="20"/>
      <w:lang w:val="es-ES_tradnl"/>
    </w:rPr>
  </w:style>
  <w:style w:type="paragraph" w:styleId="Textodeglobo">
    <w:name w:val="Balloon Text"/>
    <w:basedOn w:val="Normal"/>
    <w:link w:val="TextodegloboCar"/>
    <w:uiPriority w:val="99"/>
    <w:semiHidden/>
    <w:unhideWhenUsed/>
    <w:rsid w:val="00330CB9"/>
    <w:rPr>
      <w:rFonts w:ascii="Segoe UI" w:hAnsi="Segoe UI" w:cs="Segoe UI"/>
      <w:sz w:val="18"/>
      <w:szCs w:val="18"/>
    </w:rPr>
  </w:style>
  <w:style w:type="character" w:customStyle="1" w:styleId="TextodegloboCar">
    <w:name w:val="Texto de globo Car"/>
    <w:link w:val="Textodeglobo"/>
    <w:uiPriority w:val="99"/>
    <w:semiHidden/>
    <w:rsid w:val="00330CB9"/>
    <w:rPr>
      <w:rFonts w:ascii="Segoe UI" w:eastAsia="Times New Roman" w:hAnsi="Segoe UI" w:cs="Segoe UI"/>
      <w:sz w:val="18"/>
      <w:szCs w:val="18"/>
      <w:lang w:val="es-ES" w:eastAsia="es-ES"/>
    </w:rPr>
  </w:style>
  <w:style w:type="character" w:styleId="Refdecomentario">
    <w:name w:val="annotation reference"/>
    <w:uiPriority w:val="99"/>
    <w:semiHidden/>
    <w:unhideWhenUsed/>
    <w:rsid w:val="00D064FB"/>
    <w:rPr>
      <w:sz w:val="16"/>
      <w:szCs w:val="16"/>
    </w:rPr>
  </w:style>
  <w:style w:type="paragraph" w:styleId="Textocomentario">
    <w:name w:val="annotation text"/>
    <w:basedOn w:val="Normal"/>
    <w:link w:val="TextocomentarioCar"/>
    <w:uiPriority w:val="99"/>
    <w:unhideWhenUsed/>
    <w:rsid w:val="00D064FB"/>
    <w:rPr>
      <w:sz w:val="20"/>
      <w:szCs w:val="20"/>
    </w:rPr>
  </w:style>
  <w:style w:type="character" w:customStyle="1" w:styleId="TextocomentarioCar">
    <w:name w:val="Texto comentario Car"/>
    <w:link w:val="Textocomentario"/>
    <w:uiPriority w:val="99"/>
    <w:rsid w:val="00D064FB"/>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064FB"/>
    <w:rPr>
      <w:b/>
      <w:bCs/>
    </w:rPr>
  </w:style>
  <w:style w:type="character" w:customStyle="1" w:styleId="AsuntodelcomentarioCar">
    <w:name w:val="Asunto del comentario Car"/>
    <w:link w:val="Asuntodelcomentario"/>
    <w:uiPriority w:val="99"/>
    <w:semiHidden/>
    <w:rsid w:val="00D064FB"/>
    <w:rPr>
      <w:rFonts w:ascii="Times New Roman" w:eastAsia="Times New Roman" w:hAnsi="Times New Roman" w:cs="Times New Roman"/>
      <w:b/>
      <w:bCs/>
      <w:sz w:val="20"/>
      <w:szCs w:val="20"/>
      <w:lang w:val="es-ES" w:eastAsia="es-ES"/>
    </w:rPr>
  </w:style>
  <w:style w:type="paragraph" w:styleId="Prrafodelista">
    <w:name w:val="List Paragraph"/>
    <w:basedOn w:val="Normal"/>
    <w:uiPriority w:val="34"/>
    <w:qFormat/>
    <w:rsid w:val="00BC5808"/>
    <w:pPr>
      <w:ind w:left="720"/>
      <w:contextualSpacing/>
    </w:pPr>
  </w:style>
  <w:style w:type="paragraph" w:styleId="Revisin">
    <w:name w:val="Revision"/>
    <w:hidden/>
    <w:uiPriority w:val="99"/>
    <w:semiHidden/>
    <w:rsid w:val="00203348"/>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3758">
      <w:bodyDiv w:val="1"/>
      <w:marLeft w:val="0"/>
      <w:marRight w:val="0"/>
      <w:marTop w:val="0"/>
      <w:marBottom w:val="0"/>
      <w:divBdr>
        <w:top w:val="none" w:sz="0" w:space="0" w:color="auto"/>
        <w:left w:val="none" w:sz="0" w:space="0" w:color="auto"/>
        <w:bottom w:val="none" w:sz="0" w:space="0" w:color="auto"/>
        <w:right w:val="none" w:sz="0" w:space="0" w:color="auto"/>
      </w:divBdr>
    </w:div>
    <w:div w:id="46878403">
      <w:bodyDiv w:val="1"/>
      <w:marLeft w:val="0"/>
      <w:marRight w:val="0"/>
      <w:marTop w:val="0"/>
      <w:marBottom w:val="0"/>
      <w:divBdr>
        <w:top w:val="none" w:sz="0" w:space="0" w:color="auto"/>
        <w:left w:val="none" w:sz="0" w:space="0" w:color="auto"/>
        <w:bottom w:val="none" w:sz="0" w:space="0" w:color="auto"/>
        <w:right w:val="none" w:sz="0" w:space="0" w:color="auto"/>
      </w:divBdr>
    </w:div>
    <w:div w:id="835151357">
      <w:bodyDiv w:val="1"/>
      <w:marLeft w:val="0"/>
      <w:marRight w:val="0"/>
      <w:marTop w:val="0"/>
      <w:marBottom w:val="0"/>
      <w:divBdr>
        <w:top w:val="none" w:sz="0" w:space="0" w:color="auto"/>
        <w:left w:val="none" w:sz="0" w:space="0" w:color="auto"/>
        <w:bottom w:val="none" w:sz="0" w:space="0" w:color="auto"/>
        <w:right w:val="none" w:sz="0" w:space="0" w:color="auto"/>
      </w:divBdr>
    </w:div>
    <w:div w:id="876629032">
      <w:bodyDiv w:val="1"/>
      <w:marLeft w:val="0"/>
      <w:marRight w:val="0"/>
      <w:marTop w:val="0"/>
      <w:marBottom w:val="0"/>
      <w:divBdr>
        <w:top w:val="none" w:sz="0" w:space="0" w:color="auto"/>
        <w:left w:val="none" w:sz="0" w:space="0" w:color="auto"/>
        <w:bottom w:val="none" w:sz="0" w:space="0" w:color="auto"/>
        <w:right w:val="none" w:sz="0" w:space="0" w:color="auto"/>
      </w:divBdr>
    </w:div>
    <w:div w:id="1282611177">
      <w:bodyDiv w:val="1"/>
      <w:marLeft w:val="0"/>
      <w:marRight w:val="0"/>
      <w:marTop w:val="0"/>
      <w:marBottom w:val="0"/>
      <w:divBdr>
        <w:top w:val="none" w:sz="0" w:space="0" w:color="auto"/>
        <w:left w:val="none" w:sz="0" w:space="0" w:color="auto"/>
        <w:bottom w:val="none" w:sz="0" w:space="0" w:color="auto"/>
        <w:right w:val="none" w:sz="0" w:space="0" w:color="auto"/>
      </w:divBdr>
    </w:div>
    <w:div w:id="136841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50669A-51C5-4DDF-99AB-4B1976803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10727</Words>
  <Characters>59003</Characters>
  <Application>Microsoft Office Word</Application>
  <DocSecurity>4</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Andrés Ruiz;Rosa Rojas Cabello</dc:creator>
  <cp:lastModifiedBy>Pamela Riquelme Illanes</cp:lastModifiedBy>
  <cp:revision>2</cp:revision>
  <cp:lastPrinted>2015-08-17T14:06:00Z</cp:lastPrinted>
  <dcterms:created xsi:type="dcterms:W3CDTF">2015-09-08T12:35:00Z</dcterms:created>
  <dcterms:modified xsi:type="dcterms:W3CDTF">2015-09-08T12:35:00Z</dcterms:modified>
</cp:coreProperties>
</file>