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4ED5" w14:textId="3DAAE278" w:rsidR="006C624A" w:rsidRPr="000D1C0B" w:rsidRDefault="00CD55B3" w:rsidP="004B57ED">
      <w:pPr>
        <w:spacing w:line="240" w:lineRule="auto"/>
        <w:ind w:left="4253"/>
        <w:jc w:val="both"/>
        <w:rPr>
          <w:rFonts w:ascii="Arial" w:hAnsi="Arial" w:cs="Arial"/>
          <w:b/>
          <w:sz w:val="18"/>
          <w:szCs w:val="18"/>
        </w:rPr>
      </w:pPr>
      <w:r w:rsidRPr="000D1C0B">
        <w:rPr>
          <w:rFonts w:ascii="Arial" w:hAnsi="Arial" w:cs="Arial"/>
          <w:b/>
          <w:sz w:val="18"/>
          <w:szCs w:val="18"/>
        </w:rPr>
        <w:t xml:space="preserve">IMPARTE INSTRUCCIONES SOBRE LA PRESENTACIÓN DE LAS NOTIFICACIONES QUE DEBEN REALIZAR LAS SOCIEDADES OPERADORAS, SOCIEDADES CONCESIONARIAS Y </w:t>
      </w:r>
      <w:r w:rsidR="00FF0CAA" w:rsidRPr="000D1C0B">
        <w:rPr>
          <w:rFonts w:ascii="Arial" w:hAnsi="Arial" w:cs="Arial"/>
          <w:b/>
          <w:sz w:val="18"/>
          <w:szCs w:val="18"/>
        </w:rPr>
        <w:t>LABORATORIOS ACREDITADOS</w:t>
      </w:r>
      <w:r w:rsidR="00A41721" w:rsidRPr="000D1C0B">
        <w:rPr>
          <w:rFonts w:ascii="Arial" w:hAnsi="Arial" w:cs="Arial"/>
          <w:b/>
          <w:sz w:val="18"/>
          <w:szCs w:val="18"/>
        </w:rPr>
        <w:t xml:space="preserve"> ANTE LA SUPERINTENDENCIA DE CASINOS DE JUEGO.</w:t>
      </w:r>
    </w:p>
    <w:p w14:paraId="29AE7C9B" w14:textId="77777777" w:rsidR="006C624A" w:rsidRPr="000D1C0B" w:rsidRDefault="006C624A" w:rsidP="004B57ED">
      <w:pPr>
        <w:tabs>
          <w:tab w:val="left" w:pos="4253"/>
        </w:tabs>
        <w:spacing w:line="240" w:lineRule="auto"/>
        <w:jc w:val="center"/>
        <w:rPr>
          <w:rFonts w:ascii="Arial" w:hAnsi="Arial" w:cs="Arial"/>
          <w:sz w:val="18"/>
          <w:szCs w:val="18"/>
        </w:rPr>
      </w:pPr>
    </w:p>
    <w:p w14:paraId="6C090DA2" w14:textId="393FBE8E" w:rsidR="00281A8A" w:rsidRPr="000D1C0B" w:rsidRDefault="00281A8A" w:rsidP="00281A8A">
      <w:pPr>
        <w:tabs>
          <w:tab w:val="left" w:pos="2880"/>
        </w:tabs>
        <w:spacing w:line="240" w:lineRule="auto"/>
        <w:ind w:left="4248"/>
        <w:jc w:val="both"/>
        <w:rPr>
          <w:rFonts w:ascii="Arial" w:hAnsi="Arial" w:cs="Arial"/>
          <w:sz w:val="18"/>
          <w:szCs w:val="18"/>
        </w:rPr>
      </w:pPr>
      <w:r w:rsidRPr="000D1C0B">
        <w:rPr>
          <w:rFonts w:ascii="Arial" w:hAnsi="Arial" w:cs="Arial"/>
          <w:b/>
          <w:bCs/>
          <w:sz w:val="18"/>
          <w:szCs w:val="18"/>
        </w:rPr>
        <w:t>VISTO</w:t>
      </w:r>
      <w:r w:rsidR="00101C4D" w:rsidRPr="000D1C0B">
        <w:rPr>
          <w:rFonts w:ascii="Arial" w:hAnsi="Arial" w:cs="Arial"/>
          <w:b/>
          <w:bCs/>
          <w:sz w:val="18"/>
          <w:szCs w:val="18"/>
        </w:rPr>
        <w:t>S:</w:t>
      </w:r>
    </w:p>
    <w:p w14:paraId="325CE0CF" w14:textId="25DAF8E7" w:rsidR="00281A8A" w:rsidRPr="000D1C0B" w:rsidRDefault="00281A8A" w:rsidP="006519C7">
      <w:pPr>
        <w:widowControl w:val="0"/>
        <w:spacing w:line="240" w:lineRule="auto"/>
        <w:ind w:firstLine="4253"/>
        <w:jc w:val="both"/>
        <w:rPr>
          <w:rFonts w:ascii="Arial" w:hAnsi="Arial" w:cs="Arial"/>
          <w:sz w:val="18"/>
          <w:szCs w:val="18"/>
          <w:lang w:val="es-MX"/>
        </w:rPr>
      </w:pPr>
      <w:r w:rsidRPr="000D1C0B">
        <w:rPr>
          <w:rFonts w:ascii="Arial" w:hAnsi="Arial" w:cs="Arial"/>
          <w:sz w:val="18"/>
          <w:szCs w:val="18"/>
          <w:lang w:val="es-MX"/>
        </w:rPr>
        <w:t xml:space="preserve">Lo dispuesto en los artículos </w:t>
      </w:r>
      <w:r w:rsidR="00E53A00" w:rsidRPr="000D1C0B">
        <w:rPr>
          <w:rFonts w:ascii="Arial" w:hAnsi="Arial" w:cs="Arial"/>
          <w:sz w:val="18"/>
          <w:szCs w:val="18"/>
          <w:lang w:val="es-MX"/>
        </w:rPr>
        <w:t xml:space="preserve">36, </w:t>
      </w:r>
      <w:r w:rsidRPr="000D1C0B">
        <w:rPr>
          <w:rFonts w:ascii="Arial" w:hAnsi="Arial" w:cs="Arial"/>
          <w:sz w:val="18"/>
          <w:szCs w:val="18"/>
          <w:lang w:val="es-MX"/>
        </w:rPr>
        <w:t>37</w:t>
      </w:r>
      <w:r w:rsidR="002B6CA3" w:rsidRPr="000D1C0B">
        <w:rPr>
          <w:rFonts w:ascii="Arial" w:hAnsi="Arial" w:cs="Arial"/>
          <w:sz w:val="18"/>
          <w:szCs w:val="18"/>
          <w:lang w:val="es-MX"/>
        </w:rPr>
        <w:t xml:space="preserve"> N°9</w:t>
      </w:r>
      <w:r w:rsidR="00584B8C" w:rsidRPr="000D1C0B">
        <w:rPr>
          <w:rFonts w:ascii="Arial" w:hAnsi="Arial" w:cs="Arial"/>
          <w:sz w:val="18"/>
          <w:szCs w:val="18"/>
          <w:lang w:val="es-MX"/>
        </w:rPr>
        <w:t xml:space="preserve"> </w:t>
      </w:r>
      <w:r w:rsidRPr="000D1C0B">
        <w:rPr>
          <w:rFonts w:ascii="Arial" w:hAnsi="Arial" w:cs="Arial"/>
          <w:sz w:val="18"/>
          <w:szCs w:val="18"/>
          <w:lang w:val="es-MX"/>
        </w:rPr>
        <w:t xml:space="preserve">y 42 </w:t>
      </w:r>
      <w:proofErr w:type="spellStart"/>
      <w:r w:rsidRPr="000D1C0B">
        <w:rPr>
          <w:rFonts w:ascii="Arial" w:hAnsi="Arial" w:cs="Arial"/>
          <w:sz w:val="18"/>
          <w:szCs w:val="18"/>
          <w:lang w:val="es-MX"/>
        </w:rPr>
        <w:t>N</w:t>
      </w:r>
      <w:r w:rsidR="00774CEC" w:rsidRPr="000D1C0B">
        <w:rPr>
          <w:rFonts w:ascii="Arial" w:hAnsi="Arial" w:cs="Arial"/>
          <w:sz w:val="18"/>
          <w:szCs w:val="18"/>
          <w:lang w:val="es-MX"/>
        </w:rPr>
        <w:t>°</w:t>
      </w:r>
      <w:proofErr w:type="spellEnd"/>
      <w:r w:rsidRPr="000D1C0B">
        <w:rPr>
          <w:rFonts w:ascii="Arial" w:hAnsi="Arial" w:cs="Arial"/>
          <w:sz w:val="18"/>
          <w:szCs w:val="18"/>
        </w:rPr>
        <w:t xml:space="preserve"> </w:t>
      </w:r>
      <w:r w:rsidRPr="000D1C0B">
        <w:rPr>
          <w:rFonts w:ascii="Arial" w:hAnsi="Arial" w:cs="Arial"/>
          <w:sz w:val="18"/>
          <w:szCs w:val="18"/>
          <w:lang w:val="es-MX"/>
        </w:rPr>
        <w:t xml:space="preserve">7 de la Ley </w:t>
      </w:r>
      <w:proofErr w:type="spellStart"/>
      <w:r w:rsidRPr="000D1C0B">
        <w:rPr>
          <w:rFonts w:ascii="Arial" w:hAnsi="Arial" w:cs="Arial"/>
          <w:sz w:val="18"/>
          <w:szCs w:val="18"/>
          <w:lang w:val="es-MX"/>
        </w:rPr>
        <w:t>N°</w:t>
      </w:r>
      <w:proofErr w:type="spellEnd"/>
      <w:r w:rsidRPr="000D1C0B">
        <w:rPr>
          <w:rFonts w:ascii="Arial" w:hAnsi="Arial" w:cs="Arial"/>
          <w:sz w:val="18"/>
          <w:szCs w:val="18"/>
          <w:lang w:val="es-MX"/>
        </w:rPr>
        <w:t xml:space="preserve"> 19.995, que establece las Bases Generales para la Autorización, Funcionamiento y Fiscalización de Casinos de Juego; </w:t>
      </w:r>
      <w:r w:rsidR="00BA4296" w:rsidRPr="000D1C0B">
        <w:rPr>
          <w:rFonts w:ascii="Arial" w:hAnsi="Arial" w:cs="Arial"/>
          <w:sz w:val="18"/>
          <w:szCs w:val="18"/>
          <w:lang w:val="es-MX"/>
        </w:rPr>
        <w:t xml:space="preserve">en el </w:t>
      </w:r>
      <w:r w:rsidR="00BA4296" w:rsidRPr="000D1C0B">
        <w:rPr>
          <w:rFonts w:ascii="Arial" w:hAnsi="Arial" w:cs="Arial"/>
          <w:sz w:val="18"/>
          <w:szCs w:val="18"/>
        </w:rPr>
        <w:t xml:space="preserve">decreto supremo </w:t>
      </w:r>
      <w:proofErr w:type="spellStart"/>
      <w:r w:rsidR="00BA4296" w:rsidRPr="000D1C0B">
        <w:rPr>
          <w:rFonts w:ascii="Arial" w:hAnsi="Arial" w:cs="Arial"/>
          <w:sz w:val="18"/>
          <w:szCs w:val="18"/>
        </w:rPr>
        <w:t>Nº</w:t>
      </w:r>
      <w:proofErr w:type="spellEnd"/>
      <w:r w:rsidR="00BA4296" w:rsidRPr="000D1C0B">
        <w:rPr>
          <w:rFonts w:ascii="Arial" w:hAnsi="Arial" w:cs="Arial"/>
          <w:sz w:val="18"/>
          <w:szCs w:val="18"/>
        </w:rPr>
        <w:t xml:space="preserve"> 1.722, de 13 de noviembre de 2015, del Ministerio de Hacienda, que Aprueba reglamento para la tramitación y otorgamiento de permisos de operación de casinos de juego y deroga el Decreto Supremo </w:t>
      </w:r>
      <w:proofErr w:type="spellStart"/>
      <w:r w:rsidR="00BA4296" w:rsidRPr="000D1C0B">
        <w:rPr>
          <w:rFonts w:ascii="Arial" w:hAnsi="Arial" w:cs="Arial"/>
          <w:sz w:val="18"/>
          <w:szCs w:val="18"/>
        </w:rPr>
        <w:t>Nº</w:t>
      </w:r>
      <w:proofErr w:type="spellEnd"/>
      <w:r w:rsidR="00BA4296" w:rsidRPr="000D1C0B">
        <w:rPr>
          <w:rFonts w:ascii="Arial" w:hAnsi="Arial" w:cs="Arial"/>
          <w:sz w:val="18"/>
          <w:szCs w:val="18"/>
        </w:rPr>
        <w:t xml:space="preserve"> 211; en el </w:t>
      </w:r>
      <w:r w:rsidRPr="000D1C0B">
        <w:rPr>
          <w:rFonts w:ascii="Arial" w:hAnsi="Arial" w:cs="Arial"/>
          <w:sz w:val="18"/>
          <w:szCs w:val="18"/>
          <w:lang w:val="es-MX"/>
        </w:rPr>
        <w:t xml:space="preserve">Decreto Supremo </w:t>
      </w:r>
      <w:proofErr w:type="spellStart"/>
      <w:r w:rsidRPr="000D1C0B">
        <w:rPr>
          <w:rFonts w:ascii="Arial" w:hAnsi="Arial" w:cs="Arial"/>
          <w:sz w:val="18"/>
          <w:szCs w:val="18"/>
          <w:lang w:val="es-MX"/>
        </w:rPr>
        <w:t>N°</w:t>
      </w:r>
      <w:proofErr w:type="spellEnd"/>
      <w:r w:rsidRPr="000D1C0B">
        <w:rPr>
          <w:rFonts w:ascii="Arial" w:hAnsi="Arial" w:cs="Arial"/>
          <w:sz w:val="18"/>
          <w:szCs w:val="18"/>
          <w:lang w:val="es-MX"/>
        </w:rPr>
        <w:t xml:space="preserve"> 287, de 2005, del Ministerio de Hacienda, que aprueba el Reglamento de Funcionamiento y Fiscalización de Casinos de Juego;</w:t>
      </w:r>
      <w:r w:rsidR="008C5D0D" w:rsidRPr="000D1C0B">
        <w:rPr>
          <w:rFonts w:ascii="Arial" w:hAnsi="Arial" w:cs="Arial"/>
          <w:sz w:val="18"/>
          <w:szCs w:val="18"/>
          <w:lang w:val="es-MX"/>
        </w:rPr>
        <w:t xml:space="preserve"> </w:t>
      </w:r>
      <w:r w:rsidR="006519C7" w:rsidRPr="000D1C0B">
        <w:rPr>
          <w:rFonts w:ascii="Arial" w:hAnsi="Arial" w:cs="Arial"/>
          <w:sz w:val="18"/>
          <w:szCs w:val="18"/>
          <w:lang w:val="es-MX"/>
        </w:rPr>
        <w:t xml:space="preserve">en la Ley </w:t>
      </w:r>
      <w:proofErr w:type="spellStart"/>
      <w:r w:rsidR="006519C7" w:rsidRPr="000D1C0B">
        <w:rPr>
          <w:rFonts w:ascii="Arial" w:hAnsi="Arial" w:cs="Arial"/>
          <w:sz w:val="18"/>
          <w:szCs w:val="18"/>
          <w:lang w:val="es-MX"/>
        </w:rPr>
        <w:t>N°</w:t>
      </w:r>
      <w:proofErr w:type="spellEnd"/>
      <w:r w:rsidR="006519C7" w:rsidRPr="000D1C0B">
        <w:rPr>
          <w:rFonts w:ascii="Arial" w:hAnsi="Arial" w:cs="Arial"/>
          <w:sz w:val="18"/>
          <w:szCs w:val="18"/>
          <w:lang w:val="es-MX"/>
        </w:rPr>
        <w:t xml:space="preserve"> 19.880, que establece las bases de los procedimientos administrativos que rigen los actos de los órganos de la administración del Estado; </w:t>
      </w:r>
      <w:r w:rsidR="00BA4296" w:rsidRPr="000D1C0B">
        <w:rPr>
          <w:rFonts w:ascii="Arial" w:hAnsi="Arial" w:cs="Arial"/>
          <w:sz w:val="18"/>
          <w:szCs w:val="18"/>
          <w:lang w:val="es-MX"/>
        </w:rPr>
        <w:t xml:space="preserve">en las </w:t>
      </w:r>
      <w:r w:rsidR="00BF36FD" w:rsidRPr="000D1C0B">
        <w:rPr>
          <w:rFonts w:ascii="Arial" w:hAnsi="Arial" w:cs="Arial"/>
          <w:sz w:val="18"/>
          <w:szCs w:val="18"/>
          <w:lang w:val="es-MX"/>
        </w:rPr>
        <w:t>Circulares N°</w:t>
      </w:r>
      <w:r w:rsidR="00B753DA" w:rsidRPr="000D1C0B">
        <w:rPr>
          <w:rFonts w:ascii="Arial" w:hAnsi="Arial" w:cs="Arial"/>
          <w:sz w:val="18"/>
          <w:szCs w:val="18"/>
          <w:lang w:val="es-MX"/>
        </w:rPr>
        <w:t>13</w:t>
      </w:r>
      <w:r w:rsidR="00A578E7" w:rsidRPr="000D1C0B">
        <w:rPr>
          <w:rFonts w:ascii="Arial" w:hAnsi="Arial" w:cs="Arial"/>
          <w:sz w:val="18"/>
          <w:szCs w:val="18"/>
          <w:lang w:val="es-MX"/>
        </w:rPr>
        <w:t xml:space="preserve"> de 201</w:t>
      </w:r>
      <w:r w:rsidR="00827E5F" w:rsidRPr="000D1C0B">
        <w:rPr>
          <w:rFonts w:ascii="Arial" w:hAnsi="Arial" w:cs="Arial"/>
          <w:sz w:val="18"/>
          <w:szCs w:val="18"/>
          <w:lang w:val="es-MX"/>
        </w:rPr>
        <w:t>0</w:t>
      </w:r>
      <w:r w:rsidR="00B753DA" w:rsidRPr="000D1C0B">
        <w:rPr>
          <w:rFonts w:ascii="Arial" w:hAnsi="Arial" w:cs="Arial"/>
          <w:sz w:val="18"/>
          <w:szCs w:val="18"/>
          <w:lang w:val="es-MX"/>
        </w:rPr>
        <w:t xml:space="preserve">, </w:t>
      </w:r>
      <w:proofErr w:type="spellStart"/>
      <w:r w:rsidR="00A578E7" w:rsidRPr="000D1C0B">
        <w:rPr>
          <w:rFonts w:ascii="Arial" w:hAnsi="Arial" w:cs="Arial"/>
          <w:sz w:val="18"/>
          <w:szCs w:val="18"/>
          <w:lang w:val="es-MX"/>
        </w:rPr>
        <w:t>N°s</w:t>
      </w:r>
      <w:proofErr w:type="spellEnd"/>
      <w:r w:rsidR="00A578E7" w:rsidRPr="000D1C0B">
        <w:rPr>
          <w:rFonts w:ascii="Arial" w:hAnsi="Arial" w:cs="Arial"/>
          <w:sz w:val="18"/>
          <w:szCs w:val="18"/>
          <w:lang w:val="es-MX"/>
        </w:rPr>
        <w:t xml:space="preserve"> </w:t>
      </w:r>
      <w:r w:rsidR="00B753DA" w:rsidRPr="000D1C0B">
        <w:rPr>
          <w:rFonts w:ascii="Arial" w:hAnsi="Arial" w:cs="Arial"/>
          <w:sz w:val="18"/>
          <w:szCs w:val="18"/>
          <w:lang w:val="es-MX"/>
        </w:rPr>
        <w:t>14, 18, 25</w:t>
      </w:r>
      <w:r w:rsidR="00A578E7" w:rsidRPr="000D1C0B">
        <w:rPr>
          <w:rFonts w:ascii="Arial" w:hAnsi="Arial" w:cs="Arial"/>
          <w:sz w:val="18"/>
          <w:szCs w:val="18"/>
          <w:lang w:val="es-MX"/>
        </w:rPr>
        <w:t xml:space="preserve"> y</w:t>
      </w:r>
      <w:r w:rsidR="00B753DA" w:rsidRPr="000D1C0B">
        <w:rPr>
          <w:rFonts w:ascii="Arial" w:hAnsi="Arial" w:cs="Arial"/>
          <w:sz w:val="18"/>
          <w:szCs w:val="18"/>
          <w:lang w:val="es-MX"/>
        </w:rPr>
        <w:t xml:space="preserve"> 27</w:t>
      </w:r>
      <w:r w:rsidR="00F2722F" w:rsidRPr="000D1C0B">
        <w:rPr>
          <w:rFonts w:ascii="Arial" w:hAnsi="Arial" w:cs="Arial"/>
          <w:sz w:val="18"/>
          <w:szCs w:val="18"/>
          <w:lang w:val="es-MX"/>
        </w:rPr>
        <w:t xml:space="preserve">, todas </w:t>
      </w:r>
      <w:r w:rsidR="00A578E7" w:rsidRPr="000D1C0B">
        <w:rPr>
          <w:rFonts w:ascii="Arial" w:hAnsi="Arial" w:cs="Arial"/>
          <w:sz w:val="18"/>
          <w:szCs w:val="18"/>
          <w:lang w:val="es-MX"/>
        </w:rPr>
        <w:t>de 2011</w:t>
      </w:r>
      <w:r w:rsidR="00B753DA" w:rsidRPr="000D1C0B">
        <w:rPr>
          <w:rFonts w:ascii="Arial" w:hAnsi="Arial" w:cs="Arial"/>
          <w:sz w:val="18"/>
          <w:szCs w:val="18"/>
          <w:lang w:val="es-MX"/>
        </w:rPr>
        <w:t xml:space="preserve">, </w:t>
      </w:r>
      <w:proofErr w:type="spellStart"/>
      <w:r w:rsidR="00A578E7" w:rsidRPr="000D1C0B">
        <w:rPr>
          <w:rFonts w:ascii="Arial" w:hAnsi="Arial" w:cs="Arial"/>
          <w:sz w:val="18"/>
          <w:szCs w:val="18"/>
          <w:lang w:val="es-MX"/>
        </w:rPr>
        <w:t>N°s</w:t>
      </w:r>
      <w:proofErr w:type="spellEnd"/>
      <w:r w:rsidR="00A578E7" w:rsidRPr="000D1C0B">
        <w:rPr>
          <w:rFonts w:ascii="Arial" w:hAnsi="Arial" w:cs="Arial"/>
          <w:sz w:val="18"/>
          <w:szCs w:val="18"/>
          <w:lang w:val="es-MX"/>
        </w:rPr>
        <w:t xml:space="preserve"> </w:t>
      </w:r>
      <w:r w:rsidR="00B753DA" w:rsidRPr="000D1C0B">
        <w:rPr>
          <w:rFonts w:ascii="Arial" w:hAnsi="Arial" w:cs="Arial"/>
          <w:sz w:val="18"/>
          <w:szCs w:val="18"/>
          <w:lang w:val="es-MX"/>
        </w:rPr>
        <w:t>33, 34</w:t>
      </w:r>
      <w:r w:rsidR="00A578E7" w:rsidRPr="000D1C0B">
        <w:rPr>
          <w:rFonts w:ascii="Arial" w:hAnsi="Arial" w:cs="Arial"/>
          <w:sz w:val="18"/>
          <w:szCs w:val="18"/>
          <w:lang w:val="es-MX"/>
        </w:rPr>
        <w:t>,</w:t>
      </w:r>
      <w:r w:rsidR="00B753DA" w:rsidRPr="000D1C0B">
        <w:rPr>
          <w:rFonts w:ascii="Arial" w:hAnsi="Arial" w:cs="Arial"/>
          <w:sz w:val="18"/>
          <w:szCs w:val="18"/>
          <w:lang w:val="es-MX"/>
        </w:rPr>
        <w:t xml:space="preserve"> 37, 42</w:t>
      </w:r>
      <w:r w:rsidR="00A578E7" w:rsidRPr="000D1C0B">
        <w:rPr>
          <w:rFonts w:ascii="Arial" w:hAnsi="Arial" w:cs="Arial"/>
          <w:sz w:val="18"/>
          <w:szCs w:val="18"/>
          <w:lang w:val="es-MX"/>
        </w:rPr>
        <w:t xml:space="preserve"> y</w:t>
      </w:r>
      <w:r w:rsidR="00B753DA" w:rsidRPr="000D1C0B">
        <w:rPr>
          <w:rFonts w:ascii="Arial" w:hAnsi="Arial" w:cs="Arial"/>
          <w:sz w:val="18"/>
          <w:szCs w:val="18"/>
          <w:lang w:val="es-MX"/>
        </w:rPr>
        <w:t xml:space="preserve"> 43</w:t>
      </w:r>
      <w:r w:rsidR="00F2722F" w:rsidRPr="000D1C0B">
        <w:rPr>
          <w:rFonts w:ascii="Arial" w:hAnsi="Arial" w:cs="Arial"/>
          <w:sz w:val="18"/>
          <w:szCs w:val="18"/>
          <w:lang w:val="es-MX"/>
        </w:rPr>
        <w:t>, todas</w:t>
      </w:r>
      <w:r w:rsidR="00A578E7" w:rsidRPr="000D1C0B">
        <w:rPr>
          <w:rFonts w:ascii="Arial" w:hAnsi="Arial" w:cs="Arial"/>
          <w:sz w:val="18"/>
          <w:szCs w:val="18"/>
          <w:lang w:val="es-MX"/>
        </w:rPr>
        <w:t xml:space="preserve"> de 2013</w:t>
      </w:r>
      <w:r w:rsidR="00B753DA" w:rsidRPr="000D1C0B">
        <w:rPr>
          <w:rFonts w:ascii="Arial" w:hAnsi="Arial" w:cs="Arial"/>
          <w:sz w:val="18"/>
          <w:szCs w:val="18"/>
          <w:lang w:val="es-MX"/>
        </w:rPr>
        <w:t xml:space="preserve">, </w:t>
      </w:r>
      <w:proofErr w:type="spellStart"/>
      <w:r w:rsidR="00A578E7" w:rsidRPr="000D1C0B">
        <w:rPr>
          <w:rFonts w:ascii="Arial" w:hAnsi="Arial" w:cs="Arial"/>
          <w:sz w:val="18"/>
          <w:szCs w:val="18"/>
          <w:lang w:val="es-MX"/>
        </w:rPr>
        <w:t>N°</w:t>
      </w:r>
      <w:proofErr w:type="spellEnd"/>
      <w:r w:rsidR="00A578E7" w:rsidRPr="000D1C0B">
        <w:rPr>
          <w:rFonts w:ascii="Arial" w:hAnsi="Arial" w:cs="Arial"/>
          <w:sz w:val="18"/>
          <w:szCs w:val="18"/>
          <w:lang w:val="es-MX"/>
        </w:rPr>
        <w:t xml:space="preserve"> </w:t>
      </w:r>
      <w:r w:rsidR="00B753DA" w:rsidRPr="000D1C0B">
        <w:rPr>
          <w:rFonts w:ascii="Arial" w:hAnsi="Arial" w:cs="Arial"/>
          <w:sz w:val="18"/>
          <w:szCs w:val="18"/>
          <w:lang w:val="es-MX"/>
        </w:rPr>
        <w:t>57</w:t>
      </w:r>
      <w:r w:rsidR="00A578E7" w:rsidRPr="000D1C0B">
        <w:rPr>
          <w:rFonts w:ascii="Arial" w:hAnsi="Arial" w:cs="Arial"/>
          <w:sz w:val="18"/>
          <w:szCs w:val="18"/>
          <w:lang w:val="es-MX"/>
        </w:rPr>
        <w:t xml:space="preserve"> de 2014</w:t>
      </w:r>
      <w:r w:rsidR="00B753DA" w:rsidRPr="000D1C0B">
        <w:rPr>
          <w:rFonts w:ascii="Arial" w:hAnsi="Arial" w:cs="Arial"/>
          <w:sz w:val="18"/>
          <w:szCs w:val="18"/>
          <w:lang w:val="es-MX"/>
        </w:rPr>
        <w:t xml:space="preserve">, </w:t>
      </w:r>
      <w:proofErr w:type="spellStart"/>
      <w:r w:rsidR="00A578E7" w:rsidRPr="000D1C0B">
        <w:rPr>
          <w:rFonts w:ascii="Arial" w:hAnsi="Arial" w:cs="Arial"/>
          <w:sz w:val="18"/>
          <w:szCs w:val="18"/>
          <w:lang w:val="es-MX"/>
        </w:rPr>
        <w:t>N°</w:t>
      </w:r>
      <w:proofErr w:type="spellEnd"/>
      <w:r w:rsidR="00A578E7" w:rsidRPr="000D1C0B">
        <w:rPr>
          <w:rFonts w:ascii="Arial" w:hAnsi="Arial" w:cs="Arial"/>
          <w:sz w:val="18"/>
          <w:szCs w:val="18"/>
          <w:lang w:val="es-MX"/>
        </w:rPr>
        <w:t xml:space="preserve"> </w:t>
      </w:r>
      <w:r w:rsidR="00B753DA" w:rsidRPr="000D1C0B">
        <w:rPr>
          <w:rFonts w:ascii="Arial" w:hAnsi="Arial" w:cs="Arial"/>
          <w:sz w:val="18"/>
          <w:szCs w:val="18"/>
          <w:lang w:val="es-MX"/>
        </w:rPr>
        <w:t>86</w:t>
      </w:r>
      <w:r w:rsidR="00A578E7" w:rsidRPr="000D1C0B">
        <w:rPr>
          <w:rFonts w:ascii="Arial" w:hAnsi="Arial" w:cs="Arial"/>
          <w:sz w:val="18"/>
          <w:szCs w:val="18"/>
          <w:lang w:val="es-MX"/>
        </w:rPr>
        <w:t xml:space="preserve"> de 2017</w:t>
      </w:r>
      <w:r w:rsidR="00B753DA" w:rsidRPr="000D1C0B">
        <w:rPr>
          <w:rFonts w:ascii="Arial" w:hAnsi="Arial" w:cs="Arial"/>
          <w:sz w:val="18"/>
          <w:szCs w:val="18"/>
          <w:lang w:val="es-MX"/>
        </w:rPr>
        <w:t xml:space="preserve">, </w:t>
      </w:r>
      <w:proofErr w:type="spellStart"/>
      <w:r w:rsidR="00A578E7" w:rsidRPr="000D1C0B">
        <w:rPr>
          <w:rFonts w:ascii="Arial" w:hAnsi="Arial" w:cs="Arial"/>
          <w:sz w:val="18"/>
          <w:szCs w:val="18"/>
          <w:lang w:val="es-MX"/>
        </w:rPr>
        <w:t>N°s</w:t>
      </w:r>
      <w:proofErr w:type="spellEnd"/>
      <w:r w:rsidR="00A578E7" w:rsidRPr="000D1C0B">
        <w:rPr>
          <w:rFonts w:ascii="Arial" w:hAnsi="Arial" w:cs="Arial"/>
          <w:sz w:val="18"/>
          <w:szCs w:val="18"/>
          <w:lang w:val="es-MX"/>
        </w:rPr>
        <w:t xml:space="preserve"> </w:t>
      </w:r>
      <w:r w:rsidR="00B753DA" w:rsidRPr="000D1C0B">
        <w:rPr>
          <w:rFonts w:ascii="Arial" w:hAnsi="Arial" w:cs="Arial"/>
          <w:sz w:val="18"/>
          <w:szCs w:val="18"/>
          <w:lang w:val="es-MX"/>
        </w:rPr>
        <w:t>94</w:t>
      </w:r>
      <w:r w:rsidR="00A578E7" w:rsidRPr="000D1C0B">
        <w:rPr>
          <w:rFonts w:ascii="Arial" w:hAnsi="Arial" w:cs="Arial"/>
          <w:sz w:val="18"/>
          <w:szCs w:val="18"/>
          <w:lang w:val="es-MX"/>
        </w:rPr>
        <w:t xml:space="preserve"> y</w:t>
      </w:r>
      <w:r w:rsidR="00B753DA" w:rsidRPr="000D1C0B">
        <w:rPr>
          <w:rFonts w:ascii="Arial" w:hAnsi="Arial" w:cs="Arial"/>
          <w:sz w:val="18"/>
          <w:szCs w:val="18"/>
          <w:lang w:val="es-MX"/>
        </w:rPr>
        <w:t xml:space="preserve"> 96</w:t>
      </w:r>
      <w:r w:rsidR="002C471B" w:rsidRPr="000D1C0B">
        <w:rPr>
          <w:rFonts w:ascii="Arial" w:hAnsi="Arial" w:cs="Arial"/>
          <w:sz w:val="18"/>
          <w:szCs w:val="18"/>
          <w:lang w:val="es-MX"/>
        </w:rPr>
        <w:t>, ambas</w:t>
      </w:r>
      <w:r w:rsidR="00A578E7" w:rsidRPr="000D1C0B">
        <w:rPr>
          <w:rFonts w:ascii="Arial" w:hAnsi="Arial" w:cs="Arial"/>
          <w:sz w:val="18"/>
          <w:szCs w:val="18"/>
          <w:lang w:val="es-MX"/>
        </w:rPr>
        <w:t xml:space="preserve"> de 2018,</w:t>
      </w:r>
      <w:r w:rsidR="00B753DA" w:rsidRPr="000D1C0B">
        <w:rPr>
          <w:rFonts w:ascii="Arial" w:hAnsi="Arial" w:cs="Arial"/>
          <w:sz w:val="18"/>
          <w:szCs w:val="18"/>
          <w:lang w:val="es-MX"/>
        </w:rPr>
        <w:t xml:space="preserve"> </w:t>
      </w:r>
      <w:proofErr w:type="spellStart"/>
      <w:r w:rsidR="00A578E7" w:rsidRPr="000D1C0B">
        <w:rPr>
          <w:rFonts w:ascii="Arial" w:hAnsi="Arial" w:cs="Arial"/>
          <w:sz w:val="18"/>
          <w:szCs w:val="18"/>
          <w:lang w:val="es-MX"/>
        </w:rPr>
        <w:t>N°s</w:t>
      </w:r>
      <w:proofErr w:type="spellEnd"/>
      <w:r w:rsidR="00A578E7" w:rsidRPr="000D1C0B">
        <w:rPr>
          <w:rFonts w:ascii="Arial" w:hAnsi="Arial" w:cs="Arial"/>
          <w:sz w:val="18"/>
          <w:szCs w:val="18"/>
          <w:lang w:val="es-MX"/>
        </w:rPr>
        <w:t xml:space="preserve"> </w:t>
      </w:r>
      <w:r w:rsidR="00B753DA" w:rsidRPr="000D1C0B">
        <w:rPr>
          <w:rFonts w:ascii="Arial" w:hAnsi="Arial" w:cs="Arial"/>
          <w:sz w:val="18"/>
          <w:szCs w:val="18"/>
          <w:lang w:val="es-MX"/>
        </w:rPr>
        <w:t>102, 103</w:t>
      </w:r>
      <w:r w:rsidR="00CD529A" w:rsidRPr="000D1C0B">
        <w:rPr>
          <w:rFonts w:ascii="Arial" w:hAnsi="Arial" w:cs="Arial"/>
          <w:sz w:val="18"/>
          <w:szCs w:val="18"/>
          <w:lang w:val="es-MX"/>
        </w:rPr>
        <w:t xml:space="preserve"> y</w:t>
      </w:r>
      <w:r w:rsidR="00B753DA" w:rsidRPr="000D1C0B">
        <w:rPr>
          <w:rFonts w:ascii="Arial" w:hAnsi="Arial" w:cs="Arial"/>
          <w:sz w:val="18"/>
          <w:szCs w:val="18"/>
          <w:lang w:val="es-MX"/>
        </w:rPr>
        <w:t xml:space="preserve"> 105</w:t>
      </w:r>
      <w:r w:rsidR="002C471B" w:rsidRPr="000D1C0B">
        <w:rPr>
          <w:rFonts w:ascii="Arial" w:hAnsi="Arial" w:cs="Arial"/>
          <w:sz w:val="18"/>
          <w:szCs w:val="18"/>
          <w:lang w:val="es-MX"/>
        </w:rPr>
        <w:t>, todas</w:t>
      </w:r>
      <w:r w:rsidR="00CD529A" w:rsidRPr="000D1C0B">
        <w:rPr>
          <w:rFonts w:ascii="Arial" w:hAnsi="Arial" w:cs="Arial"/>
          <w:sz w:val="18"/>
          <w:szCs w:val="18"/>
          <w:lang w:val="es-MX"/>
        </w:rPr>
        <w:t xml:space="preserve"> de 2019</w:t>
      </w:r>
      <w:r w:rsidR="00B753DA" w:rsidRPr="000D1C0B">
        <w:rPr>
          <w:rFonts w:ascii="Arial" w:hAnsi="Arial" w:cs="Arial"/>
          <w:sz w:val="18"/>
          <w:szCs w:val="18"/>
          <w:lang w:val="es-MX"/>
        </w:rPr>
        <w:t xml:space="preserve">, </w:t>
      </w:r>
      <w:proofErr w:type="spellStart"/>
      <w:r w:rsidR="00CD529A" w:rsidRPr="000D1C0B">
        <w:rPr>
          <w:rFonts w:ascii="Arial" w:hAnsi="Arial" w:cs="Arial"/>
          <w:sz w:val="18"/>
          <w:szCs w:val="18"/>
          <w:lang w:val="es-MX"/>
        </w:rPr>
        <w:t>N°s</w:t>
      </w:r>
      <w:proofErr w:type="spellEnd"/>
      <w:r w:rsidR="00CD529A" w:rsidRPr="000D1C0B">
        <w:rPr>
          <w:rFonts w:ascii="Arial" w:hAnsi="Arial" w:cs="Arial"/>
          <w:sz w:val="18"/>
          <w:szCs w:val="18"/>
          <w:lang w:val="es-MX"/>
        </w:rPr>
        <w:t xml:space="preserve"> </w:t>
      </w:r>
      <w:r w:rsidR="00B753DA" w:rsidRPr="000D1C0B">
        <w:rPr>
          <w:rFonts w:ascii="Arial" w:hAnsi="Arial" w:cs="Arial"/>
          <w:sz w:val="18"/>
          <w:szCs w:val="18"/>
          <w:lang w:val="es-MX"/>
        </w:rPr>
        <w:t>106, 107</w:t>
      </w:r>
      <w:r w:rsidR="00CD529A" w:rsidRPr="000D1C0B">
        <w:rPr>
          <w:rFonts w:ascii="Arial" w:hAnsi="Arial" w:cs="Arial"/>
          <w:sz w:val="18"/>
          <w:szCs w:val="18"/>
          <w:lang w:val="es-MX"/>
        </w:rPr>
        <w:t>,</w:t>
      </w:r>
      <w:r w:rsidR="00B753DA" w:rsidRPr="000D1C0B">
        <w:rPr>
          <w:rFonts w:ascii="Arial" w:hAnsi="Arial" w:cs="Arial"/>
          <w:sz w:val="18"/>
          <w:szCs w:val="18"/>
          <w:lang w:val="es-MX"/>
        </w:rPr>
        <w:t xml:space="preserve"> 108, 110, 111</w:t>
      </w:r>
      <w:r w:rsidR="008F1FD4" w:rsidRPr="000D1C0B">
        <w:rPr>
          <w:rFonts w:ascii="Arial" w:hAnsi="Arial" w:cs="Arial"/>
          <w:sz w:val="18"/>
          <w:szCs w:val="18"/>
          <w:lang w:val="es-MX"/>
        </w:rPr>
        <w:t xml:space="preserve"> y</w:t>
      </w:r>
      <w:r w:rsidR="00B753DA" w:rsidRPr="000D1C0B">
        <w:rPr>
          <w:rFonts w:ascii="Arial" w:hAnsi="Arial" w:cs="Arial"/>
          <w:sz w:val="18"/>
          <w:szCs w:val="18"/>
          <w:lang w:val="es-MX"/>
        </w:rPr>
        <w:t xml:space="preserve"> 113</w:t>
      </w:r>
      <w:r w:rsidR="00F2722F" w:rsidRPr="000D1C0B">
        <w:rPr>
          <w:rFonts w:ascii="Arial" w:hAnsi="Arial" w:cs="Arial"/>
          <w:sz w:val="18"/>
          <w:szCs w:val="18"/>
          <w:lang w:val="es-MX"/>
        </w:rPr>
        <w:t>, todas</w:t>
      </w:r>
      <w:r w:rsidR="008F1FD4" w:rsidRPr="000D1C0B">
        <w:rPr>
          <w:rFonts w:ascii="Arial" w:hAnsi="Arial" w:cs="Arial"/>
          <w:sz w:val="18"/>
          <w:szCs w:val="18"/>
          <w:lang w:val="es-MX"/>
        </w:rPr>
        <w:t xml:space="preserve"> de 2020</w:t>
      </w:r>
      <w:r w:rsidR="00B753DA" w:rsidRPr="000D1C0B">
        <w:rPr>
          <w:rFonts w:ascii="Arial" w:hAnsi="Arial" w:cs="Arial"/>
          <w:sz w:val="18"/>
          <w:szCs w:val="18"/>
          <w:lang w:val="es-MX"/>
        </w:rPr>
        <w:t xml:space="preserve">, </w:t>
      </w:r>
      <w:proofErr w:type="spellStart"/>
      <w:r w:rsidR="008F1FD4" w:rsidRPr="000D1C0B">
        <w:rPr>
          <w:rFonts w:ascii="Arial" w:hAnsi="Arial" w:cs="Arial"/>
          <w:sz w:val="18"/>
          <w:szCs w:val="18"/>
          <w:lang w:val="es-MX"/>
        </w:rPr>
        <w:t>N°s</w:t>
      </w:r>
      <w:proofErr w:type="spellEnd"/>
      <w:r w:rsidR="008F1FD4" w:rsidRPr="000D1C0B">
        <w:rPr>
          <w:rFonts w:ascii="Arial" w:hAnsi="Arial" w:cs="Arial"/>
          <w:sz w:val="18"/>
          <w:szCs w:val="18"/>
          <w:lang w:val="es-MX"/>
        </w:rPr>
        <w:t xml:space="preserve"> </w:t>
      </w:r>
      <w:r w:rsidR="00B753DA" w:rsidRPr="000D1C0B">
        <w:rPr>
          <w:rFonts w:ascii="Arial" w:hAnsi="Arial" w:cs="Arial"/>
          <w:sz w:val="18"/>
          <w:szCs w:val="18"/>
          <w:lang w:val="es-MX"/>
        </w:rPr>
        <w:t>119</w:t>
      </w:r>
      <w:r w:rsidR="008F1FD4" w:rsidRPr="000D1C0B">
        <w:rPr>
          <w:rFonts w:ascii="Arial" w:hAnsi="Arial" w:cs="Arial"/>
          <w:sz w:val="18"/>
          <w:szCs w:val="18"/>
          <w:lang w:val="es-MX"/>
        </w:rPr>
        <w:t xml:space="preserve"> y</w:t>
      </w:r>
      <w:r w:rsidR="00B753DA" w:rsidRPr="000D1C0B">
        <w:rPr>
          <w:rFonts w:ascii="Arial" w:hAnsi="Arial" w:cs="Arial"/>
          <w:sz w:val="18"/>
          <w:szCs w:val="18"/>
          <w:lang w:val="es-MX"/>
        </w:rPr>
        <w:t xml:space="preserve"> 121</w:t>
      </w:r>
      <w:r w:rsidR="00F2722F" w:rsidRPr="000D1C0B">
        <w:rPr>
          <w:rFonts w:ascii="Arial" w:hAnsi="Arial" w:cs="Arial"/>
          <w:sz w:val="18"/>
          <w:szCs w:val="18"/>
          <w:lang w:val="es-MX"/>
        </w:rPr>
        <w:t>, ambas</w:t>
      </w:r>
      <w:r w:rsidR="008F1FD4" w:rsidRPr="000D1C0B">
        <w:rPr>
          <w:rFonts w:ascii="Arial" w:hAnsi="Arial" w:cs="Arial"/>
          <w:sz w:val="18"/>
          <w:szCs w:val="18"/>
          <w:lang w:val="es-MX"/>
        </w:rPr>
        <w:t xml:space="preserve"> de 2021</w:t>
      </w:r>
      <w:r w:rsidR="004F055B" w:rsidRPr="000D1C0B">
        <w:rPr>
          <w:rFonts w:ascii="Arial" w:hAnsi="Arial" w:cs="Arial"/>
          <w:sz w:val="18"/>
          <w:szCs w:val="18"/>
          <w:lang w:val="es-MX"/>
        </w:rPr>
        <w:t xml:space="preserve"> y</w:t>
      </w:r>
      <w:r w:rsidR="00B753DA" w:rsidRPr="000D1C0B">
        <w:rPr>
          <w:rFonts w:ascii="Arial" w:hAnsi="Arial" w:cs="Arial"/>
          <w:sz w:val="18"/>
          <w:szCs w:val="18"/>
          <w:lang w:val="es-MX"/>
        </w:rPr>
        <w:t xml:space="preserve"> </w:t>
      </w:r>
      <w:proofErr w:type="spellStart"/>
      <w:r w:rsidR="008F1FD4" w:rsidRPr="000D1C0B">
        <w:rPr>
          <w:rFonts w:ascii="Arial" w:hAnsi="Arial" w:cs="Arial"/>
          <w:sz w:val="18"/>
          <w:szCs w:val="18"/>
          <w:lang w:val="es-MX"/>
        </w:rPr>
        <w:t>N°s</w:t>
      </w:r>
      <w:proofErr w:type="spellEnd"/>
      <w:r w:rsidR="008F1FD4" w:rsidRPr="000D1C0B">
        <w:rPr>
          <w:rFonts w:ascii="Arial" w:hAnsi="Arial" w:cs="Arial"/>
          <w:sz w:val="18"/>
          <w:szCs w:val="18"/>
          <w:lang w:val="es-MX"/>
        </w:rPr>
        <w:t xml:space="preserve"> </w:t>
      </w:r>
      <w:r w:rsidR="00B753DA" w:rsidRPr="000D1C0B">
        <w:rPr>
          <w:rFonts w:ascii="Arial" w:hAnsi="Arial" w:cs="Arial"/>
          <w:sz w:val="18"/>
          <w:szCs w:val="18"/>
          <w:lang w:val="es-MX"/>
        </w:rPr>
        <w:t>125</w:t>
      </w:r>
      <w:r w:rsidR="008F1FD4" w:rsidRPr="000D1C0B">
        <w:rPr>
          <w:rFonts w:ascii="Arial" w:hAnsi="Arial" w:cs="Arial"/>
          <w:sz w:val="18"/>
          <w:szCs w:val="18"/>
          <w:lang w:val="es-MX"/>
        </w:rPr>
        <w:t xml:space="preserve"> y</w:t>
      </w:r>
      <w:r w:rsidR="00B753DA" w:rsidRPr="000D1C0B">
        <w:rPr>
          <w:rFonts w:ascii="Arial" w:hAnsi="Arial" w:cs="Arial"/>
          <w:sz w:val="18"/>
          <w:szCs w:val="18"/>
          <w:lang w:val="es-MX"/>
        </w:rPr>
        <w:t xml:space="preserve"> 127</w:t>
      </w:r>
      <w:r w:rsidR="002C471B" w:rsidRPr="000D1C0B">
        <w:rPr>
          <w:rFonts w:ascii="Arial" w:hAnsi="Arial" w:cs="Arial"/>
          <w:sz w:val="18"/>
          <w:szCs w:val="18"/>
          <w:lang w:val="es-MX"/>
        </w:rPr>
        <w:t>, ambas</w:t>
      </w:r>
      <w:r w:rsidR="00B753DA" w:rsidRPr="000D1C0B">
        <w:rPr>
          <w:rFonts w:ascii="Arial" w:hAnsi="Arial" w:cs="Arial"/>
          <w:sz w:val="18"/>
          <w:szCs w:val="18"/>
          <w:lang w:val="es-MX"/>
        </w:rPr>
        <w:t xml:space="preserve"> de 2022</w:t>
      </w:r>
      <w:r w:rsidR="00BF36FD" w:rsidRPr="000D1C0B">
        <w:rPr>
          <w:rFonts w:ascii="Arial" w:hAnsi="Arial" w:cs="Arial"/>
          <w:sz w:val="18"/>
          <w:szCs w:val="18"/>
          <w:lang w:val="es-MX"/>
        </w:rPr>
        <w:t xml:space="preserve">, </w:t>
      </w:r>
      <w:r w:rsidR="004F055B" w:rsidRPr="000D1C0B">
        <w:rPr>
          <w:rFonts w:ascii="Arial" w:hAnsi="Arial" w:cs="Arial"/>
          <w:sz w:val="18"/>
          <w:szCs w:val="18"/>
          <w:lang w:val="es-MX"/>
        </w:rPr>
        <w:t xml:space="preserve">todas de esta Superintendencia; </w:t>
      </w:r>
      <w:r w:rsidR="0023420E" w:rsidRPr="000D1C0B">
        <w:rPr>
          <w:rFonts w:ascii="Arial" w:hAnsi="Arial" w:cs="Arial"/>
          <w:sz w:val="18"/>
          <w:szCs w:val="18"/>
          <w:lang w:val="es-MX"/>
        </w:rPr>
        <w:t xml:space="preserve">en </w:t>
      </w:r>
      <w:r w:rsidR="00E81C86" w:rsidRPr="000D1C0B">
        <w:rPr>
          <w:rFonts w:ascii="Arial" w:hAnsi="Arial" w:cs="Arial"/>
          <w:sz w:val="18"/>
          <w:szCs w:val="18"/>
          <w:lang w:val="es-MX"/>
        </w:rPr>
        <w:t>los Decretos N°32, de 2017, y N°248, de 2020, ambos del Ministerio de Hacienda, que designa y renueva, respectivamente, a la Sra. Vivien Alejandra Villagrán Acuña como Superintendenta de Casinos de Juego</w:t>
      </w:r>
      <w:r w:rsidRPr="000D1C0B">
        <w:rPr>
          <w:rFonts w:ascii="Arial" w:hAnsi="Arial" w:cs="Arial"/>
          <w:sz w:val="18"/>
          <w:szCs w:val="18"/>
          <w:lang w:val="es-MX"/>
        </w:rPr>
        <w:t>; y en la Resolución N°7, de 2019</w:t>
      </w:r>
      <w:r w:rsidR="00740696" w:rsidRPr="000D1C0B">
        <w:rPr>
          <w:rFonts w:ascii="Arial" w:hAnsi="Arial" w:cs="Arial"/>
          <w:sz w:val="18"/>
          <w:szCs w:val="18"/>
          <w:lang w:val="es-MX"/>
        </w:rPr>
        <w:t>,</w:t>
      </w:r>
      <w:r w:rsidRPr="000D1C0B">
        <w:rPr>
          <w:rFonts w:ascii="Arial" w:hAnsi="Arial" w:cs="Arial"/>
          <w:sz w:val="18"/>
          <w:szCs w:val="18"/>
          <w:lang w:val="es-MX"/>
        </w:rPr>
        <w:t xml:space="preserve"> de la Contraloría General de la República y sus modificaciones, que fija normas sobre exención del trámite de Toma de Razón.</w:t>
      </w:r>
    </w:p>
    <w:p w14:paraId="302940D6" w14:textId="77777777" w:rsidR="00281A8A" w:rsidRPr="000D1C0B" w:rsidRDefault="00281A8A" w:rsidP="00281A8A">
      <w:pPr>
        <w:pStyle w:val="Ttulo1"/>
        <w:ind w:left="0" w:firstLine="0"/>
        <w:rPr>
          <w:sz w:val="18"/>
          <w:szCs w:val="18"/>
        </w:rPr>
      </w:pPr>
    </w:p>
    <w:p w14:paraId="39A93134" w14:textId="44EB8C6E" w:rsidR="00281A8A" w:rsidRPr="000D1C0B" w:rsidRDefault="00281A8A" w:rsidP="00281A8A">
      <w:pPr>
        <w:pStyle w:val="Ttulo1"/>
        <w:ind w:left="0" w:firstLine="0"/>
        <w:rPr>
          <w:sz w:val="18"/>
          <w:szCs w:val="18"/>
        </w:rPr>
      </w:pPr>
      <w:r w:rsidRPr="000D1C0B">
        <w:rPr>
          <w:sz w:val="18"/>
          <w:szCs w:val="18"/>
        </w:rPr>
        <w:tab/>
      </w:r>
      <w:r w:rsidRPr="000D1C0B">
        <w:rPr>
          <w:sz w:val="18"/>
          <w:szCs w:val="18"/>
        </w:rPr>
        <w:tab/>
      </w:r>
      <w:r w:rsidRPr="000D1C0B">
        <w:rPr>
          <w:sz w:val="18"/>
          <w:szCs w:val="18"/>
        </w:rPr>
        <w:tab/>
      </w:r>
      <w:r w:rsidRPr="000D1C0B">
        <w:rPr>
          <w:sz w:val="18"/>
          <w:szCs w:val="18"/>
        </w:rPr>
        <w:tab/>
      </w:r>
      <w:r w:rsidRPr="000D1C0B">
        <w:rPr>
          <w:sz w:val="18"/>
          <w:szCs w:val="18"/>
        </w:rPr>
        <w:tab/>
      </w:r>
      <w:r w:rsidRPr="000D1C0B">
        <w:rPr>
          <w:sz w:val="18"/>
          <w:szCs w:val="18"/>
        </w:rPr>
        <w:tab/>
        <w:t>CONSIDERANDO</w:t>
      </w:r>
      <w:r w:rsidR="00220274" w:rsidRPr="000D1C0B">
        <w:rPr>
          <w:sz w:val="18"/>
          <w:szCs w:val="18"/>
        </w:rPr>
        <w:t>:</w:t>
      </w:r>
    </w:p>
    <w:p w14:paraId="3CA0CBAA" w14:textId="77777777" w:rsidR="00281A8A" w:rsidRPr="000D1C0B" w:rsidRDefault="00281A8A" w:rsidP="00281A8A">
      <w:pPr>
        <w:pStyle w:val="Prrafodelista"/>
        <w:spacing w:line="240" w:lineRule="auto"/>
        <w:ind w:left="4253"/>
        <w:jc w:val="both"/>
        <w:rPr>
          <w:rFonts w:ascii="Arial" w:hAnsi="Arial" w:cs="Arial"/>
          <w:sz w:val="18"/>
          <w:szCs w:val="18"/>
        </w:rPr>
      </w:pPr>
    </w:p>
    <w:p w14:paraId="7FB1FCB7" w14:textId="43415B9D" w:rsidR="00281A8A" w:rsidRPr="000D1C0B" w:rsidRDefault="00281A8A" w:rsidP="00281A8A">
      <w:pPr>
        <w:pStyle w:val="Prrafodelista"/>
        <w:numPr>
          <w:ilvl w:val="0"/>
          <w:numId w:val="8"/>
        </w:numPr>
        <w:spacing w:line="240" w:lineRule="auto"/>
        <w:ind w:left="0" w:firstLine="4253"/>
        <w:jc w:val="both"/>
        <w:rPr>
          <w:rFonts w:ascii="Arial" w:hAnsi="Arial" w:cs="Arial"/>
          <w:sz w:val="18"/>
          <w:szCs w:val="18"/>
        </w:rPr>
      </w:pPr>
      <w:r w:rsidRPr="000D1C0B">
        <w:rPr>
          <w:rFonts w:ascii="Arial" w:hAnsi="Arial" w:cs="Arial"/>
          <w:sz w:val="18"/>
          <w:szCs w:val="18"/>
        </w:rPr>
        <w:t xml:space="preserve">Que, la Ley </w:t>
      </w:r>
      <w:proofErr w:type="spellStart"/>
      <w:r w:rsidRPr="000D1C0B">
        <w:rPr>
          <w:rFonts w:ascii="Arial" w:hAnsi="Arial" w:cs="Arial"/>
          <w:sz w:val="18"/>
          <w:szCs w:val="18"/>
        </w:rPr>
        <w:t>N°</w:t>
      </w:r>
      <w:proofErr w:type="spellEnd"/>
      <w:r w:rsidRPr="000D1C0B">
        <w:rPr>
          <w:rFonts w:ascii="Arial" w:hAnsi="Arial" w:cs="Arial"/>
          <w:sz w:val="18"/>
          <w:szCs w:val="18"/>
        </w:rPr>
        <w:t xml:space="preserve"> 19.995, establece las</w:t>
      </w:r>
      <w:r w:rsidR="00AA6FBC" w:rsidRPr="000D1C0B">
        <w:rPr>
          <w:rFonts w:ascii="Arial" w:hAnsi="Arial" w:cs="Arial"/>
          <w:sz w:val="18"/>
          <w:szCs w:val="18"/>
        </w:rPr>
        <w:t xml:space="preserve"> </w:t>
      </w:r>
      <w:r w:rsidRPr="000D1C0B">
        <w:rPr>
          <w:rFonts w:ascii="Arial" w:hAnsi="Arial" w:cs="Arial"/>
          <w:sz w:val="18"/>
          <w:szCs w:val="18"/>
        </w:rPr>
        <w:t>Bases</w:t>
      </w:r>
      <w:r w:rsidR="00AA6FBC" w:rsidRPr="000D1C0B">
        <w:rPr>
          <w:rFonts w:ascii="Arial" w:hAnsi="Arial" w:cs="Arial"/>
          <w:sz w:val="18"/>
          <w:szCs w:val="18"/>
        </w:rPr>
        <w:t xml:space="preserve"> </w:t>
      </w:r>
      <w:r w:rsidRPr="000D1C0B">
        <w:rPr>
          <w:rFonts w:ascii="Arial" w:hAnsi="Arial" w:cs="Arial"/>
          <w:sz w:val="18"/>
          <w:szCs w:val="18"/>
        </w:rPr>
        <w:t>Generales para la Autorización, Funcionamiento y Fiscalización de los Casinos de Juego, señalando en su artículo 37, numeral noveno, que es su obligación velar porque las sociedades operadoras fiscalizadas cumplan con las leyes y reglamentos que las rigen y con las instrucciones, circulares y demás órdenes que la Superintendencia emita, sin perjuicio de las facultades que pudieran corresponder a otros organismos fiscalizadores.</w:t>
      </w:r>
    </w:p>
    <w:p w14:paraId="6A38EF04" w14:textId="77777777" w:rsidR="00281A8A" w:rsidRPr="000D1C0B" w:rsidRDefault="00281A8A" w:rsidP="00281A8A">
      <w:pPr>
        <w:pStyle w:val="Prrafodelista"/>
        <w:spacing w:line="240" w:lineRule="auto"/>
        <w:ind w:left="4253"/>
        <w:jc w:val="both"/>
        <w:rPr>
          <w:rFonts w:ascii="Arial" w:hAnsi="Arial" w:cs="Arial"/>
          <w:sz w:val="18"/>
          <w:szCs w:val="18"/>
        </w:rPr>
      </w:pPr>
    </w:p>
    <w:p w14:paraId="3EFF5566" w14:textId="706D3EC7" w:rsidR="002B6CA3" w:rsidRPr="000D1C0B" w:rsidRDefault="00281A8A" w:rsidP="00C33242">
      <w:pPr>
        <w:pStyle w:val="Prrafodelista"/>
        <w:numPr>
          <w:ilvl w:val="0"/>
          <w:numId w:val="8"/>
        </w:numPr>
        <w:spacing w:line="240" w:lineRule="auto"/>
        <w:ind w:left="0" w:firstLine="4253"/>
        <w:jc w:val="both"/>
        <w:rPr>
          <w:rFonts w:ascii="Arial" w:hAnsi="Arial" w:cs="Arial"/>
          <w:sz w:val="18"/>
          <w:szCs w:val="18"/>
        </w:rPr>
      </w:pPr>
      <w:r w:rsidRPr="000D1C0B">
        <w:rPr>
          <w:rFonts w:ascii="Arial" w:hAnsi="Arial" w:cs="Arial"/>
          <w:sz w:val="18"/>
          <w:szCs w:val="18"/>
        </w:rPr>
        <w:t>Que, en virtud de lo establecido en el artículo 42 N°7 de la Ley N°19.995, la Superintendencia de Casinos de Juego se encuentra facultada para elaborar instrucciones de general aplicación y dictar órdenes para su cumplimiento</w:t>
      </w:r>
      <w:r w:rsidR="00344700" w:rsidRPr="000D1C0B">
        <w:rPr>
          <w:rFonts w:ascii="Arial" w:hAnsi="Arial" w:cs="Arial"/>
          <w:sz w:val="18"/>
          <w:szCs w:val="18"/>
        </w:rPr>
        <w:t>, fiscalizar el íntegro y oportuno cumplimiento de dichas disposiciones y sancionar las inobservancias propias del incumplimiento de los plazos o la no suministración de información requerida, de acuerdo con las exigencias que este Servicio defina</w:t>
      </w:r>
      <w:r w:rsidR="00AC63A2" w:rsidRPr="000D1C0B">
        <w:rPr>
          <w:rFonts w:ascii="Arial" w:hAnsi="Arial" w:cs="Arial"/>
          <w:sz w:val="18"/>
          <w:szCs w:val="18"/>
        </w:rPr>
        <w:t>.</w:t>
      </w:r>
    </w:p>
    <w:p w14:paraId="30446520" w14:textId="77777777" w:rsidR="00281A8A" w:rsidRPr="000D1C0B" w:rsidRDefault="00281A8A" w:rsidP="00281A8A">
      <w:pPr>
        <w:pStyle w:val="Prrafodelista"/>
        <w:spacing w:line="240" w:lineRule="auto"/>
        <w:ind w:left="4253"/>
        <w:jc w:val="both"/>
        <w:rPr>
          <w:rFonts w:ascii="Arial" w:hAnsi="Arial" w:cs="Arial"/>
          <w:sz w:val="18"/>
          <w:szCs w:val="18"/>
        </w:rPr>
      </w:pPr>
    </w:p>
    <w:p w14:paraId="62966721" w14:textId="7F861E93" w:rsidR="002B6CA3" w:rsidRPr="000D1C0B" w:rsidRDefault="00281A8A" w:rsidP="002B6CA3">
      <w:pPr>
        <w:pStyle w:val="Prrafodelista"/>
        <w:numPr>
          <w:ilvl w:val="0"/>
          <w:numId w:val="8"/>
        </w:numPr>
        <w:spacing w:line="240" w:lineRule="auto"/>
        <w:ind w:left="0" w:firstLine="4253"/>
        <w:jc w:val="both"/>
        <w:rPr>
          <w:rFonts w:ascii="Arial" w:hAnsi="Arial" w:cs="Arial"/>
          <w:sz w:val="18"/>
          <w:szCs w:val="18"/>
        </w:rPr>
      </w:pPr>
      <w:r w:rsidRPr="000D1C0B">
        <w:rPr>
          <w:rFonts w:ascii="Arial" w:hAnsi="Arial" w:cs="Arial"/>
          <w:sz w:val="18"/>
          <w:szCs w:val="18"/>
        </w:rPr>
        <w:t xml:space="preserve">Que, con el desarrollo y avance en la </w:t>
      </w:r>
      <w:r w:rsidR="00BF36FD" w:rsidRPr="000D1C0B">
        <w:rPr>
          <w:rFonts w:ascii="Arial" w:hAnsi="Arial" w:cs="Arial"/>
          <w:sz w:val="18"/>
          <w:szCs w:val="18"/>
        </w:rPr>
        <w:t>regulación</w:t>
      </w:r>
      <w:r w:rsidR="00827E5F" w:rsidRPr="000D1C0B">
        <w:rPr>
          <w:rFonts w:ascii="Arial" w:hAnsi="Arial" w:cs="Arial"/>
          <w:sz w:val="18"/>
          <w:szCs w:val="18"/>
        </w:rPr>
        <w:t xml:space="preserve"> sectorial</w:t>
      </w:r>
      <w:r w:rsidRPr="000D1C0B">
        <w:rPr>
          <w:rFonts w:ascii="Arial" w:hAnsi="Arial" w:cs="Arial"/>
          <w:sz w:val="18"/>
          <w:szCs w:val="18"/>
        </w:rPr>
        <w:t>, se ha verificado la gran cantidad de notificaciones que deben remitir las sociedades operadoras, sociedades concesionarias y laboratorios</w:t>
      </w:r>
      <w:r w:rsidR="00AC63A2" w:rsidRPr="000D1C0B">
        <w:rPr>
          <w:rFonts w:ascii="Arial" w:hAnsi="Arial" w:cs="Arial"/>
          <w:sz w:val="18"/>
          <w:szCs w:val="18"/>
        </w:rPr>
        <w:t xml:space="preserve"> a esta Superintendencia</w:t>
      </w:r>
      <w:r w:rsidRPr="000D1C0B">
        <w:rPr>
          <w:rFonts w:ascii="Arial" w:hAnsi="Arial" w:cs="Arial"/>
          <w:sz w:val="18"/>
          <w:szCs w:val="18"/>
        </w:rPr>
        <w:t xml:space="preserve">, y como dichas disposiciones se extienden en múltiples </w:t>
      </w:r>
      <w:r w:rsidR="00101C4D" w:rsidRPr="000D1C0B">
        <w:rPr>
          <w:rFonts w:ascii="Arial" w:hAnsi="Arial" w:cs="Arial"/>
          <w:sz w:val="18"/>
          <w:szCs w:val="18"/>
        </w:rPr>
        <w:t>c</w:t>
      </w:r>
      <w:r w:rsidRPr="000D1C0B">
        <w:rPr>
          <w:rFonts w:ascii="Arial" w:hAnsi="Arial" w:cs="Arial"/>
          <w:sz w:val="18"/>
          <w:szCs w:val="18"/>
        </w:rPr>
        <w:t>irculares</w:t>
      </w:r>
      <w:r w:rsidR="007F3D93" w:rsidRPr="000D1C0B">
        <w:rPr>
          <w:rFonts w:ascii="Arial" w:hAnsi="Arial" w:cs="Arial"/>
          <w:sz w:val="18"/>
          <w:szCs w:val="18"/>
        </w:rPr>
        <w:t>, surgiendo</w:t>
      </w:r>
      <w:r w:rsidRPr="000D1C0B">
        <w:rPr>
          <w:rFonts w:ascii="Arial" w:hAnsi="Arial" w:cs="Arial"/>
          <w:sz w:val="18"/>
          <w:szCs w:val="18"/>
        </w:rPr>
        <w:t>. la necesidad de simplificar la regulación, facilitar el cumplimiento normativo y la fiscalización de dichas instancias, unificando de forma clara y precisa la normativa existente en materia de notificaciones, expresada en dichos instrumentos.</w:t>
      </w:r>
    </w:p>
    <w:p w14:paraId="06A14A40" w14:textId="77777777" w:rsidR="002B6CA3" w:rsidRPr="000D1C0B" w:rsidRDefault="002B6CA3" w:rsidP="002B6CA3">
      <w:pPr>
        <w:pStyle w:val="Prrafodelista"/>
        <w:spacing w:line="240" w:lineRule="auto"/>
        <w:ind w:left="4253"/>
        <w:jc w:val="both"/>
        <w:rPr>
          <w:rFonts w:ascii="Arial" w:hAnsi="Arial" w:cs="Arial"/>
          <w:sz w:val="18"/>
          <w:szCs w:val="18"/>
        </w:rPr>
      </w:pPr>
    </w:p>
    <w:p w14:paraId="49D1D860" w14:textId="574FD70D" w:rsidR="00281A8A" w:rsidRPr="000D1C0B" w:rsidRDefault="00DA56A9" w:rsidP="00B17DA0">
      <w:pPr>
        <w:pStyle w:val="Prrafodelista"/>
        <w:numPr>
          <w:ilvl w:val="0"/>
          <w:numId w:val="8"/>
        </w:numPr>
        <w:spacing w:line="240" w:lineRule="auto"/>
        <w:ind w:left="0" w:firstLine="4253"/>
        <w:jc w:val="both"/>
        <w:rPr>
          <w:rFonts w:ascii="Arial" w:hAnsi="Arial" w:cs="Arial"/>
          <w:sz w:val="18"/>
          <w:szCs w:val="18"/>
        </w:rPr>
      </w:pPr>
      <w:r w:rsidRPr="000D1C0B">
        <w:rPr>
          <w:rFonts w:ascii="Arial" w:hAnsi="Arial" w:cs="Arial"/>
          <w:sz w:val="18"/>
          <w:szCs w:val="18"/>
        </w:rPr>
        <w:t xml:space="preserve">Que, mediante decreto supremo </w:t>
      </w:r>
      <w:proofErr w:type="spellStart"/>
      <w:r w:rsidRPr="000D1C0B">
        <w:rPr>
          <w:rFonts w:ascii="Arial" w:hAnsi="Arial" w:cs="Arial"/>
          <w:sz w:val="18"/>
          <w:szCs w:val="18"/>
        </w:rPr>
        <w:t>Nº</w:t>
      </w:r>
      <w:proofErr w:type="spellEnd"/>
      <w:r w:rsidRPr="000D1C0B">
        <w:rPr>
          <w:rFonts w:ascii="Arial" w:hAnsi="Arial" w:cs="Arial"/>
          <w:sz w:val="18"/>
          <w:szCs w:val="18"/>
        </w:rPr>
        <w:t xml:space="preserve"> 1.722, de 13 de noviembre de 2015, del Ministerio de Hacienda, que Aprueba reglamento para la tramitación y otorgamiento de permisos de operación de casinos de juego, se derogó el decreto supremo </w:t>
      </w:r>
      <w:proofErr w:type="spellStart"/>
      <w:r w:rsidRPr="000D1C0B">
        <w:rPr>
          <w:rFonts w:ascii="Arial" w:hAnsi="Arial" w:cs="Arial"/>
          <w:sz w:val="18"/>
          <w:szCs w:val="18"/>
        </w:rPr>
        <w:t>Nº</w:t>
      </w:r>
      <w:proofErr w:type="spellEnd"/>
      <w:r w:rsidRPr="000D1C0B">
        <w:rPr>
          <w:rFonts w:ascii="Arial" w:hAnsi="Arial" w:cs="Arial"/>
          <w:sz w:val="18"/>
          <w:szCs w:val="18"/>
        </w:rPr>
        <w:t xml:space="preserve"> 211, del Ministerio de Hacienda, de 2005, cuya remisión </w:t>
      </w:r>
      <w:r w:rsidR="00F30DE0" w:rsidRPr="000D1C0B">
        <w:rPr>
          <w:rFonts w:ascii="Arial" w:hAnsi="Arial" w:cs="Arial"/>
          <w:sz w:val="18"/>
          <w:szCs w:val="18"/>
        </w:rPr>
        <w:t xml:space="preserve">aún </w:t>
      </w:r>
      <w:r w:rsidRPr="000D1C0B">
        <w:rPr>
          <w:rFonts w:ascii="Arial" w:hAnsi="Arial" w:cs="Arial"/>
          <w:sz w:val="18"/>
          <w:szCs w:val="18"/>
        </w:rPr>
        <w:t xml:space="preserve">se encuentra contenida en algunas circulares, por lo que resulta necesario </w:t>
      </w:r>
      <w:r w:rsidR="007D4405" w:rsidRPr="000D1C0B">
        <w:rPr>
          <w:rFonts w:ascii="Arial" w:hAnsi="Arial" w:cs="Arial"/>
          <w:sz w:val="18"/>
          <w:szCs w:val="18"/>
        </w:rPr>
        <w:t xml:space="preserve">ajustar tales </w:t>
      </w:r>
      <w:r w:rsidR="00163539" w:rsidRPr="000D1C0B">
        <w:rPr>
          <w:rFonts w:ascii="Arial" w:hAnsi="Arial" w:cs="Arial"/>
          <w:sz w:val="18"/>
          <w:szCs w:val="18"/>
        </w:rPr>
        <w:t>instrucciones</w:t>
      </w:r>
      <w:r w:rsidRPr="000D1C0B">
        <w:rPr>
          <w:rFonts w:ascii="Arial" w:hAnsi="Arial" w:cs="Arial"/>
          <w:sz w:val="18"/>
          <w:szCs w:val="18"/>
        </w:rPr>
        <w:t>.</w:t>
      </w:r>
    </w:p>
    <w:p w14:paraId="1B7DF316" w14:textId="77777777" w:rsidR="00DA56A9" w:rsidRPr="000D1C0B" w:rsidRDefault="00DA56A9" w:rsidP="00DA56A9">
      <w:pPr>
        <w:pStyle w:val="Prrafodelista"/>
        <w:spacing w:line="240" w:lineRule="auto"/>
        <w:ind w:left="4253"/>
        <w:jc w:val="both"/>
        <w:rPr>
          <w:rFonts w:ascii="Arial" w:hAnsi="Arial" w:cs="Arial"/>
          <w:sz w:val="18"/>
          <w:szCs w:val="18"/>
        </w:rPr>
      </w:pPr>
    </w:p>
    <w:p w14:paraId="1266AAD4" w14:textId="12F17E61" w:rsidR="00281A8A" w:rsidRPr="000D1C0B" w:rsidRDefault="00281A8A" w:rsidP="00281A8A">
      <w:pPr>
        <w:pStyle w:val="Prrafodelista"/>
        <w:numPr>
          <w:ilvl w:val="0"/>
          <w:numId w:val="8"/>
        </w:numPr>
        <w:spacing w:line="240" w:lineRule="auto"/>
        <w:ind w:left="0" w:firstLine="4253"/>
        <w:jc w:val="both"/>
        <w:rPr>
          <w:rFonts w:ascii="Arial" w:hAnsi="Arial" w:cs="Arial"/>
          <w:sz w:val="18"/>
          <w:szCs w:val="18"/>
        </w:rPr>
      </w:pPr>
      <w:r w:rsidRPr="000D1C0B">
        <w:rPr>
          <w:rFonts w:ascii="Arial" w:hAnsi="Arial" w:cs="Arial"/>
          <w:sz w:val="18"/>
          <w:szCs w:val="18"/>
        </w:rPr>
        <w:t xml:space="preserve">Que, atendido al contexto normativo antes citado y teniendo en consideración las facultades de </w:t>
      </w:r>
      <w:r w:rsidR="00101C4D" w:rsidRPr="000D1C0B">
        <w:rPr>
          <w:rFonts w:ascii="Arial" w:hAnsi="Arial" w:cs="Arial"/>
          <w:sz w:val="18"/>
          <w:szCs w:val="18"/>
        </w:rPr>
        <w:t xml:space="preserve">supervigilancia </w:t>
      </w:r>
      <w:r w:rsidRPr="000D1C0B">
        <w:rPr>
          <w:rFonts w:ascii="Arial" w:hAnsi="Arial" w:cs="Arial"/>
          <w:sz w:val="18"/>
          <w:szCs w:val="18"/>
        </w:rPr>
        <w:t xml:space="preserve">antes </w:t>
      </w:r>
      <w:r w:rsidR="008806D8" w:rsidRPr="000D1C0B">
        <w:rPr>
          <w:rFonts w:ascii="Arial" w:hAnsi="Arial" w:cs="Arial"/>
          <w:sz w:val="18"/>
          <w:szCs w:val="18"/>
        </w:rPr>
        <w:t>señaladas</w:t>
      </w:r>
      <w:r w:rsidRPr="000D1C0B">
        <w:rPr>
          <w:rFonts w:ascii="Arial" w:hAnsi="Arial" w:cs="Arial"/>
          <w:sz w:val="18"/>
          <w:szCs w:val="18"/>
        </w:rPr>
        <w:t>, esta Superintendencia ha efectuado un proceso de revisión de las notificaciones</w:t>
      </w:r>
      <w:r w:rsidR="001D4363" w:rsidRPr="000D1C0B">
        <w:rPr>
          <w:rFonts w:ascii="Arial" w:hAnsi="Arial" w:cs="Arial"/>
          <w:sz w:val="18"/>
          <w:szCs w:val="18"/>
        </w:rPr>
        <w:t xml:space="preserve"> </w:t>
      </w:r>
      <w:r w:rsidR="00A123D1" w:rsidRPr="000D1C0B">
        <w:rPr>
          <w:rFonts w:ascii="Arial" w:hAnsi="Arial" w:cs="Arial"/>
          <w:sz w:val="18"/>
          <w:szCs w:val="18"/>
        </w:rPr>
        <w:t>contenidas</w:t>
      </w:r>
      <w:r w:rsidR="001D4363" w:rsidRPr="000D1C0B">
        <w:rPr>
          <w:rFonts w:ascii="Arial" w:hAnsi="Arial" w:cs="Arial"/>
          <w:sz w:val="18"/>
          <w:szCs w:val="18"/>
        </w:rPr>
        <w:t xml:space="preserve"> </w:t>
      </w:r>
      <w:r w:rsidR="00A123D1" w:rsidRPr="000D1C0B">
        <w:rPr>
          <w:rFonts w:ascii="Arial" w:hAnsi="Arial" w:cs="Arial"/>
          <w:sz w:val="18"/>
          <w:szCs w:val="18"/>
        </w:rPr>
        <w:t>en sus</w:t>
      </w:r>
      <w:r w:rsidR="001D4363" w:rsidRPr="000D1C0B">
        <w:rPr>
          <w:rFonts w:ascii="Arial" w:hAnsi="Arial" w:cs="Arial"/>
          <w:sz w:val="18"/>
          <w:szCs w:val="18"/>
        </w:rPr>
        <w:t xml:space="preserve"> circulares</w:t>
      </w:r>
      <w:r w:rsidRPr="000D1C0B">
        <w:rPr>
          <w:rFonts w:ascii="Arial" w:hAnsi="Arial" w:cs="Arial"/>
          <w:sz w:val="18"/>
          <w:szCs w:val="18"/>
        </w:rPr>
        <w:t xml:space="preserve"> </w:t>
      </w:r>
      <w:r w:rsidR="00A123D1" w:rsidRPr="000D1C0B">
        <w:rPr>
          <w:rFonts w:ascii="Arial" w:hAnsi="Arial" w:cs="Arial"/>
          <w:sz w:val="18"/>
          <w:szCs w:val="18"/>
        </w:rPr>
        <w:t>institucionales</w:t>
      </w:r>
      <w:r w:rsidR="00202005" w:rsidRPr="000D1C0B">
        <w:rPr>
          <w:rFonts w:ascii="Arial" w:hAnsi="Arial" w:cs="Arial"/>
          <w:sz w:val="18"/>
          <w:szCs w:val="18"/>
        </w:rPr>
        <w:t xml:space="preserve"> </w:t>
      </w:r>
      <w:r w:rsidRPr="000D1C0B">
        <w:rPr>
          <w:rFonts w:ascii="Arial" w:hAnsi="Arial" w:cs="Arial"/>
          <w:sz w:val="18"/>
          <w:szCs w:val="18"/>
        </w:rPr>
        <w:t>y, en ejercicio de sus facultades legales, ha estimado necesario uniformar las disposiciones y contenido en materia de notificaciones, formalizando plazos y unificando su contenido.</w:t>
      </w:r>
    </w:p>
    <w:p w14:paraId="07B4333A" w14:textId="77777777" w:rsidR="00281A8A" w:rsidRPr="000D1C0B" w:rsidRDefault="00281A8A" w:rsidP="00281A8A">
      <w:pPr>
        <w:pStyle w:val="Prrafodelista"/>
        <w:rPr>
          <w:rFonts w:ascii="Arial" w:hAnsi="Arial" w:cs="Arial"/>
          <w:sz w:val="18"/>
          <w:szCs w:val="18"/>
        </w:rPr>
      </w:pPr>
    </w:p>
    <w:p w14:paraId="42D96069" w14:textId="77777777" w:rsidR="00281A8A" w:rsidRPr="000D1C0B" w:rsidRDefault="00281A8A" w:rsidP="00281A8A">
      <w:pPr>
        <w:pStyle w:val="Ttulo1"/>
        <w:ind w:left="4248" w:firstLine="0"/>
        <w:rPr>
          <w:sz w:val="18"/>
          <w:szCs w:val="18"/>
        </w:rPr>
      </w:pPr>
      <w:r w:rsidRPr="000D1C0B">
        <w:rPr>
          <w:sz w:val="18"/>
          <w:szCs w:val="18"/>
        </w:rPr>
        <w:t>RESUELVO:</w:t>
      </w:r>
    </w:p>
    <w:p w14:paraId="28546C65" w14:textId="77777777" w:rsidR="00281A8A" w:rsidRPr="000D1C0B" w:rsidRDefault="00281A8A" w:rsidP="00281A8A">
      <w:pPr>
        <w:rPr>
          <w:rFonts w:ascii="Arial" w:hAnsi="Arial" w:cs="Arial"/>
          <w:sz w:val="18"/>
          <w:szCs w:val="18"/>
          <w:lang w:val="es-ES" w:eastAsia="es-ES"/>
        </w:rPr>
      </w:pPr>
    </w:p>
    <w:p w14:paraId="49CF26C6" w14:textId="07EE7F44" w:rsidR="00281A8A" w:rsidRPr="000D1C0B" w:rsidRDefault="00281A8A" w:rsidP="00281A8A">
      <w:pPr>
        <w:tabs>
          <w:tab w:val="left" w:pos="426"/>
        </w:tabs>
        <w:spacing w:line="240" w:lineRule="auto"/>
        <w:ind w:firstLine="4248"/>
        <w:jc w:val="both"/>
        <w:rPr>
          <w:rFonts w:ascii="Arial" w:hAnsi="Arial" w:cs="Arial"/>
          <w:b/>
          <w:sz w:val="18"/>
          <w:szCs w:val="18"/>
        </w:rPr>
      </w:pPr>
      <w:r w:rsidRPr="000D1C0B">
        <w:rPr>
          <w:rFonts w:ascii="Arial" w:hAnsi="Arial" w:cs="Arial"/>
          <w:b/>
          <w:sz w:val="18"/>
          <w:szCs w:val="18"/>
        </w:rPr>
        <w:t>IMPARTE LAS SIGUIENTES INSTRUCCIONES SOBRE LA PRESENTACIÓN DE LAS NOTIFICACIONES QUE DEBEN REALIZAR LAS SOCIEDADES OPERADORAS, SOCIEDADES CONCESIONARIAS Y LABORATORIOS</w:t>
      </w:r>
      <w:r w:rsidR="00BD5A34" w:rsidRPr="000D1C0B">
        <w:rPr>
          <w:rFonts w:ascii="Arial" w:hAnsi="Arial" w:cs="Arial"/>
          <w:b/>
          <w:sz w:val="18"/>
          <w:szCs w:val="18"/>
        </w:rPr>
        <w:t xml:space="preserve"> ACREDITADOS</w:t>
      </w:r>
      <w:r w:rsidRPr="000D1C0B">
        <w:rPr>
          <w:rFonts w:ascii="Arial" w:hAnsi="Arial" w:cs="Arial"/>
          <w:b/>
          <w:sz w:val="18"/>
          <w:szCs w:val="18"/>
        </w:rPr>
        <w:t>.</w:t>
      </w:r>
    </w:p>
    <w:p w14:paraId="33583B8D" w14:textId="2B45E299" w:rsidR="00CE4FB3" w:rsidRDefault="00CE4FB3">
      <w:pPr>
        <w:tabs>
          <w:tab w:val="left" w:pos="426"/>
        </w:tabs>
        <w:spacing w:line="240" w:lineRule="auto"/>
        <w:ind w:firstLine="4248"/>
        <w:jc w:val="both"/>
        <w:rPr>
          <w:rFonts w:ascii="Arial" w:hAnsi="Arial" w:cs="Arial"/>
          <w:b/>
          <w:sz w:val="18"/>
          <w:szCs w:val="18"/>
        </w:rPr>
      </w:pPr>
    </w:p>
    <w:p w14:paraId="3312DF66" w14:textId="77777777" w:rsidR="00DC1F15" w:rsidRPr="000D1C0B" w:rsidRDefault="00DC1F15">
      <w:pPr>
        <w:tabs>
          <w:tab w:val="left" w:pos="426"/>
        </w:tabs>
        <w:spacing w:line="240" w:lineRule="auto"/>
        <w:ind w:firstLine="4248"/>
        <w:jc w:val="both"/>
        <w:rPr>
          <w:rFonts w:ascii="Arial" w:hAnsi="Arial" w:cs="Arial"/>
          <w:b/>
          <w:sz w:val="18"/>
          <w:szCs w:val="18"/>
        </w:rPr>
      </w:pPr>
    </w:p>
    <w:p w14:paraId="4A41D2F2" w14:textId="70651146" w:rsidR="008849D7" w:rsidRPr="000D1C0B" w:rsidRDefault="008849D7" w:rsidP="00C033AD">
      <w:pPr>
        <w:pStyle w:val="Ttulo1"/>
        <w:numPr>
          <w:ilvl w:val="0"/>
          <w:numId w:val="43"/>
        </w:numPr>
        <w:jc w:val="left"/>
        <w:rPr>
          <w:sz w:val="18"/>
          <w:szCs w:val="18"/>
        </w:rPr>
      </w:pPr>
      <w:r w:rsidRPr="000D1C0B">
        <w:rPr>
          <w:sz w:val="18"/>
          <w:szCs w:val="18"/>
        </w:rPr>
        <w:lastRenderedPageBreak/>
        <w:t>OBJETIVO</w:t>
      </w:r>
    </w:p>
    <w:p w14:paraId="7054A1CA" w14:textId="1AD4783C" w:rsidR="008849D7" w:rsidRPr="000D1C0B" w:rsidRDefault="008849D7" w:rsidP="008849D7">
      <w:pPr>
        <w:spacing w:after="0" w:line="240" w:lineRule="auto"/>
        <w:jc w:val="both"/>
        <w:rPr>
          <w:rFonts w:ascii="Arial" w:hAnsi="Arial" w:cs="Arial"/>
          <w:b/>
          <w:spacing w:val="-3"/>
          <w:sz w:val="18"/>
          <w:szCs w:val="18"/>
        </w:rPr>
      </w:pPr>
    </w:p>
    <w:p w14:paraId="663D22CE" w14:textId="2C37C567" w:rsidR="008849D7" w:rsidRPr="000D1C0B" w:rsidRDefault="008849D7" w:rsidP="00BF36FD">
      <w:pPr>
        <w:spacing w:line="240" w:lineRule="auto"/>
        <w:jc w:val="both"/>
        <w:rPr>
          <w:rFonts w:ascii="Arial" w:hAnsi="Arial" w:cs="Arial"/>
          <w:sz w:val="18"/>
          <w:szCs w:val="18"/>
        </w:rPr>
      </w:pPr>
      <w:r w:rsidRPr="000D1C0B">
        <w:rPr>
          <w:rFonts w:ascii="Arial" w:hAnsi="Arial" w:cs="Arial"/>
          <w:sz w:val="18"/>
          <w:szCs w:val="18"/>
        </w:rPr>
        <w:t xml:space="preserve">El principal objetivo de esta </w:t>
      </w:r>
      <w:r w:rsidR="00827E5F" w:rsidRPr="000D1C0B">
        <w:rPr>
          <w:rFonts w:ascii="Arial" w:hAnsi="Arial" w:cs="Arial"/>
          <w:sz w:val="18"/>
          <w:szCs w:val="18"/>
        </w:rPr>
        <w:t>c</w:t>
      </w:r>
      <w:r w:rsidRPr="000D1C0B">
        <w:rPr>
          <w:rFonts w:ascii="Arial" w:hAnsi="Arial" w:cs="Arial"/>
          <w:sz w:val="18"/>
          <w:szCs w:val="18"/>
        </w:rPr>
        <w:t xml:space="preserve">ircular es </w:t>
      </w:r>
      <w:r w:rsidR="007157E9" w:rsidRPr="000D1C0B">
        <w:rPr>
          <w:rFonts w:ascii="Arial" w:hAnsi="Arial" w:cs="Arial"/>
          <w:sz w:val="18"/>
          <w:szCs w:val="18"/>
        </w:rPr>
        <w:t xml:space="preserve">simplificar la regulación, facilitar el cumplimiento normativo y la fiscalización de dichas instancias, </w:t>
      </w:r>
      <w:r w:rsidR="00080CD0" w:rsidRPr="000D1C0B">
        <w:rPr>
          <w:rFonts w:ascii="Arial" w:hAnsi="Arial" w:cs="Arial"/>
          <w:sz w:val="18"/>
          <w:szCs w:val="18"/>
        </w:rPr>
        <w:t xml:space="preserve">uniformando </w:t>
      </w:r>
      <w:r w:rsidRPr="000D1C0B">
        <w:rPr>
          <w:rFonts w:ascii="Arial" w:hAnsi="Arial" w:cs="Arial"/>
          <w:sz w:val="18"/>
          <w:szCs w:val="18"/>
        </w:rPr>
        <w:t xml:space="preserve">las disposiciones </w:t>
      </w:r>
      <w:r w:rsidR="00D50274" w:rsidRPr="000D1C0B">
        <w:rPr>
          <w:rFonts w:ascii="Arial" w:hAnsi="Arial" w:cs="Arial"/>
          <w:sz w:val="18"/>
          <w:szCs w:val="18"/>
        </w:rPr>
        <w:t xml:space="preserve">e instrucciones </w:t>
      </w:r>
      <w:r w:rsidRPr="000D1C0B">
        <w:rPr>
          <w:rFonts w:ascii="Arial" w:hAnsi="Arial" w:cs="Arial"/>
          <w:sz w:val="18"/>
          <w:szCs w:val="18"/>
        </w:rPr>
        <w:t>en materia de notificaciones</w:t>
      </w:r>
      <w:r w:rsidR="00827E5F" w:rsidRPr="000D1C0B">
        <w:rPr>
          <w:rFonts w:ascii="Arial" w:hAnsi="Arial" w:cs="Arial"/>
          <w:sz w:val="18"/>
          <w:szCs w:val="18"/>
        </w:rPr>
        <w:t xml:space="preserve"> contenidas en todas aquellas circulares dictadas a esta fecha</w:t>
      </w:r>
      <w:r w:rsidRPr="000D1C0B">
        <w:rPr>
          <w:rFonts w:ascii="Arial" w:hAnsi="Arial" w:cs="Arial"/>
          <w:sz w:val="18"/>
          <w:szCs w:val="18"/>
        </w:rPr>
        <w:t xml:space="preserve">, </w:t>
      </w:r>
      <w:r w:rsidR="00B741A3" w:rsidRPr="000D1C0B">
        <w:rPr>
          <w:rFonts w:ascii="Arial" w:hAnsi="Arial" w:cs="Arial"/>
          <w:sz w:val="18"/>
          <w:szCs w:val="18"/>
        </w:rPr>
        <w:t xml:space="preserve">por medio de la </w:t>
      </w:r>
      <w:r w:rsidRPr="000D1C0B">
        <w:rPr>
          <w:rFonts w:ascii="Arial" w:hAnsi="Arial" w:cs="Arial"/>
          <w:sz w:val="18"/>
          <w:szCs w:val="18"/>
        </w:rPr>
        <w:t>formaliza</w:t>
      </w:r>
      <w:r w:rsidR="00B741A3" w:rsidRPr="000D1C0B">
        <w:rPr>
          <w:rFonts w:ascii="Arial" w:hAnsi="Arial" w:cs="Arial"/>
          <w:sz w:val="18"/>
          <w:szCs w:val="18"/>
        </w:rPr>
        <w:t>ción de</w:t>
      </w:r>
      <w:r w:rsidRPr="000D1C0B">
        <w:rPr>
          <w:rFonts w:ascii="Arial" w:hAnsi="Arial" w:cs="Arial"/>
          <w:sz w:val="18"/>
          <w:szCs w:val="18"/>
        </w:rPr>
        <w:t xml:space="preserve"> plazos y </w:t>
      </w:r>
      <w:r w:rsidR="00B741A3" w:rsidRPr="000D1C0B">
        <w:rPr>
          <w:rFonts w:ascii="Arial" w:hAnsi="Arial" w:cs="Arial"/>
          <w:sz w:val="18"/>
          <w:szCs w:val="18"/>
        </w:rPr>
        <w:t>la unificación de</w:t>
      </w:r>
      <w:r w:rsidRPr="000D1C0B">
        <w:rPr>
          <w:rFonts w:ascii="Arial" w:hAnsi="Arial" w:cs="Arial"/>
          <w:sz w:val="18"/>
          <w:szCs w:val="18"/>
        </w:rPr>
        <w:t xml:space="preserve"> su contenido, según lo señalado en los considerados</w:t>
      </w:r>
      <w:r w:rsidR="001C7C35" w:rsidRPr="000D1C0B">
        <w:rPr>
          <w:rFonts w:ascii="Arial" w:hAnsi="Arial" w:cs="Arial"/>
          <w:sz w:val="18"/>
          <w:szCs w:val="18"/>
        </w:rPr>
        <w:t xml:space="preserve"> precedentes</w:t>
      </w:r>
      <w:r w:rsidRPr="000D1C0B">
        <w:rPr>
          <w:rFonts w:ascii="Arial" w:hAnsi="Arial" w:cs="Arial"/>
          <w:sz w:val="18"/>
          <w:szCs w:val="18"/>
        </w:rPr>
        <w:t>.</w:t>
      </w:r>
      <w:r w:rsidR="00C16588" w:rsidRPr="000D1C0B">
        <w:rPr>
          <w:rFonts w:ascii="Arial" w:hAnsi="Arial" w:cs="Arial"/>
          <w:sz w:val="18"/>
          <w:szCs w:val="18"/>
        </w:rPr>
        <w:t xml:space="preserve"> </w:t>
      </w:r>
    </w:p>
    <w:p w14:paraId="56E7FD42" w14:textId="6BBD8B56" w:rsidR="004335FD" w:rsidRPr="000D1C0B" w:rsidRDefault="004335FD" w:rsidP="001C7C35">
      <w:pPr>
        <w:spacing w:after="0" w:line="240" w:lineRule="auto"/>
        <w:jc w:val="both"/>
        <w:rPr>
          <w:rFonts w:ascii="Arial" w:hAnsi="Arial" w:cs="Arial"/>
          <w:b/>
          <w:spacing w:val="-3"/>
          <w:sz w:val="18"/>
          <w:szCs w:val="18"/>
        </w:rPr>
      </w:pPr>
    </w:p>
    <w:p w14:paraId="618BF093" w14:textId="61975063" w:rsidR="006C624A" w:rsidRPr="000D1C0B" w:rsidRDefault="00156646" w:rsidP="00C033AD">
      <w:pPr>
        <w:pStyle w:val="Ttulo1"/>
        <w:numPr>
          <w:ilvl w:val="0"/>
          <w:numId w:val="43"/>
        </w:numPr>
        <w:jc w:val="left"/>
        <w:rPr>
          <w:b w:val="0"/>
          <w:bCs/>
          <w:sz w:val="18"/>
          <w:szCs w:val="18"/>
        </w:rPr>
      </w:pPr>
      <w:r w:rsidRPr="000D1C0B">
        <w:rPr>
          <w:sz w:val="18"/>
          <w:szCs w:val="18"/>
        </w:rPr>
        <w:t xml:space="preserve">CIRCULARES </w:t>
      </w:r>
      <w:r w:rsidR="00EC213B" w:rsidRPr="000D1C0B">
        <w:rPr>
          <w:sz w:val="18"/>
          <w:szCs w:val="18"/>
        </w:rPr>
        <w:t>RELACIONADAS</w:t>
      </w:r>
    </w:p>
    <w:p w14:paraId="1AACD070" w14:textId="77777777" w:rsidR="004B57ED" w:rsidRPr="000D1C0B" w:rsidRDefault="004B57ED" w:rsidP="00641724">
      <w:pPr>
        <w:spacing w:after="0" w:line="240" w:lineRule="auto"/>
        <w:ind w:left="284"/>
        <w:jc w:val="both"/>
        <w:rPr>
          <w:rFonts w:ascii="Arial" w:hAnsi="Arial" w:cs="Arial"/>
          <w:b/>
          <w:spacing w:val="-3"/>
          <w:sz w:val="18"/>
          <w:szCs w:val="18"/>
        </w:rPr>
      </w:pPr>
    </w:p>
    <w:p w14:paraId="42FA4629" w14:textId="77E11F4C" w:rsidR="008E6DD4" w:rsidRPr="000D1C0B" w:rsidRDefault="008E6DD4" w:rsidP="00281A8A">
      <w:pPr>
        <w:spacing w:line="240" w:lineRule="auto"/>
        <w:jc w:val="both"/>
        <w:rPr>
          <w:rFonts w:ascii="Arial" w:hAnsi="Arial" w:cs="Arial"/>
          <w:spacing w:val="-3"/>
          <w:sz w:val="18"/>
          <w:szCs w:val="18"/>
        </w:rPr>
      </w:pPr>
      <w:r w:rsidRPr="000D1C0B">
        <w:rPr>
          <w:rFonts w:ascii="Arial" w:hAnsi="Arial" w:cs="Arial"/>
          <w:spacing w:val="-3"/>
          <w:sz w:val="18"/>
          <w:szCs w:val="18"/>
        </w:rPr>
        <w:t>Para efectos de clarificar el alcance de esta normativa, a continuación, se presentan todas las circulares</w:t>
      </w:r>
      <w:r w:rsidR="00586E0F" w:rsidRPr="000D1C0B">
        <w:rPr>
          <w:rFonts w:ascii="Arial" w:hAnsi="Arial" w:cs="Arial"/>
          <w:spacing w:val="-3"/>
          <w:sz w:val="18"/>
          <w:szCs w:val="18"/>
        </w:rPr>
        <w:t xml:space="preserve"> actualmente vigentes en las cuales se establece </w:t>
      </w:r>
      <w:r w:rsidR="0040197D" w:rsidRPr="000D1C0B">
        <w:rPr>
          <w:rFonts w:ascii="Arial" w:hAnsi="Arial" w:cs="Arial"/>
          <w:spacing w:val="-3"/>
          <w:sz w:val="18"/>
          <w:szCs w:val="18"/>
        </w:rPr>
        <w:t>la obligación de</w:t>
      </w:r>
      <w:r w:rsidRPr="000D1C0B">
        <w:rPr>
          <w:rFonts w:ascii="Arial" w:hAnsi="Arial" w:cs="Arial"/>
          <w:spacing w:val="-3"/>
          <w:sz w:val="18"/>
          <w:szCs w:val="18"/>
        </w:rPr>
        <w:t xml:space="preserve"> efectuar una o más notificaciones.</w:t>
      </w:r>
    </w:p>
    <w:p w14:paraId="127AA936" w14:textId="77777777" w:rsidR="00E91C36" w:rsidRPr="000D1C0B" w:rsidRDefault="00E91C36" w:rsidP="00281A8A">
      <w:pPr>
        <w:spacing w:line="240" w:lineRule="auto"/>
        <w:jc w:val="both"/>
        <w:rPr>
          <w:rFonts w:ascii="Arial" w:hAnsi="Arial" w:cs="Arial"/>
          <w:spacing w:val="-3"/>
          <w:sz w:val="18"/>
          <w:szCs w:val="18"/>
        </w:rPr>
      </w:pPr>
    </w:p>
    <w:p w14:paraId="037C62D1" w14:textId="3B1D1CC8" w:rsidR="00281A8A" w:rsidRPr="000D1C0B" w:rsidRDefault="008E6DD4" w:rsidP="008E6DD4">
      <w:pPr>
        <w:spacing w:line="240" w:lineRule="auto"/>
        <w:jc w:val="center"/>
        <w:rPr>
          <w:rFonts w:ascii="Arial" w:hAnsi="Arial" w:cs="Arial"/>
          <w:spacing w:val="-3"/>
          <w:sz w:val="18"/>
          <w:szCs w:val="18"/>
          <w:u w:val="single"/>
        </w:rPr>
      </w:pPr>
      <w:r w:rsidRPr="000D1C0B">
        <w:rPr>
          <w:rFonts w:ascii="Arial" w:hAnsi="Arial" w:cs="Arial"/>
          <w:spacing w:val="-3"/>
          <w:sz w:val="18"/>
          <w:szCs w:val="18"/>
          <w:u w:val="single"/>
        </w:rPr>
        <w:t>Cuadro N°1: Lista de circulares y notificaciones</w:t>
      </w:r>
      <w:r w:rsidR="00D34A75" w:rsidRPr="000D1C0B">
        <w:rPr>
          <w:rStyle w:val="Refdenotaalpie"/>
          <w:rFonts w:ascii="Arial" w:hAnsi="Arial" w:cs="Arial"/>
          <w:spacing w:val="-3"/>
          <w:sz w:val="18"/>
          <w:szCs w:val="18"/>
          <w:u w:val="single"/>
        </w:rPr>
        <w:footnoteReference w:id="2"/>
      </w:r>
    </w:p>
    <w:tbl>
      <w:tblPr>
        <w:tblStyle w:val="Tablaconcuadrcula1"/>
        <w:tblW w:w="9142"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ook w:val="04A0" w:firstRow="1" w:lastRow="0" w:firstColumn="1" w:lastColumn="0" w:noHBand="0" w:noVBand="1"/>
      </w:tblPr>
      <w:tblGrid>
        <w:gridCol w:w="3116"/>
        <w:gridCol w:w="6026"/>
      </w:tblGrid>
      <w:tr w:rsidR="004D2CCA" w:rsidRPr="000D1C0B" w14:paraId="12E6D067" w14:textId="77777777" w:rsidTr="00220440">
        <w:trPr>
          <w:trHeight w:val="300"/>
          <w:tblHeader/>
        </w:trPr>
        <w:tc>
          <w:tcPr>
            <w:tcW w:w="3116" w:type="dxa"/>
            <w:shd w:val="clear" w:color="auto" w:fill="D9E2F3" w:themeFill="accent1" w:themeFillTint="33"/>
            <w:vAlign w:val="center"/>
          </w:tcPr>
          <w:p w14:paraId="4619BBD0" w14:textId="77777777" w:rsidR="004D2CCA" w:rsidRPr="000D1C0B" w:rsidRDefault="004D2CCA" w:rsidP="00220440">
            <w:pPr>
              <w:spacing w:after="0" w:line="240" w:lineRule="auto"/>
              <w:ind w:left="360"/>
              <w:rPr>
                <w:rFonts w:ascii="Arial" w:eastAsia="Times New Roman" w:hAnsi="Arial" w:cs="Arial"/>
                <w:b/>
                <w:bCs/>
                <w:sz w:val="18"/>
                <w:szCs w:val="18"/>
                <w:lang w:eastAsia="es-CL"/>
              </w:rPr>
            </w:pPr>
            <w:r w:rsidRPr="000D1C0B">
              <w:rPr>
                <w:rFonts w:ascii="Arial" w:eastAsia="Times New Roman" w:hAnsi="Arial" w:cs="Arial"/>
                <w:b/>
                <w:bCs/>
                <w:sz w:val="18"/>
                <w:szCs w:val="18"/>
                <w:lang w:eastAsia="es-CL"/>
              </w:rPr>
              <w:t xml:space="preserve">Circular </w:t>
            </w:r>
          </w:p>
        </w:tc>
        <w:tc>
          <w:tcPr>
            <w:tcW w:w="6026" w:type="dxa"/>
            <w:shd w:val="clear" w:color="auto" w:fill="D9E2F3" w:themeFill="accent1" w:themeFillTint="33"/>
            <w:vAlign w:val="center"/>
          </w:tcPr>
          <w:p w14:paraId="64470063" w14:textId="77777777" w:rsidR="004D2CCA" w:rsidRPr="000D1C0B" w:rsidRDefault="004D2CCA" w:rsidP="00220440">
            <w:pPr>
              <w:spacing w:after="0" w:line="240" w:lineRule="auto"/>
              <w:rPr>
                <w:rFonts w:ascii="Arial" w:hAnsi="Arial" w:cs="Arial"/>
                <w:b/>
                <w:bCs/>
                <w:sz w:val="18"/>
                <w:szCs w:val="18"/>
              </w:rPr>
            </w:pPr>
            <w:r w:rsidRPr="000D1C0B">
              <w:rPr>
                <w:rFonts w:ascii="Arial" w:hAnsi="Arial" w:cs="Arial"/>
                <w:b/>
                <w:bCs/>
                <w:sz w:val="18"/>
                <w:szCs w:val="18"/>
              </w:rPr>
              <w:t>Notificaciones</w:t>
            </w:r>
          </w:p>
        </w:tc>
      </w:tr>
      <w:tr w:rsidR="004D2CCA" w:rsidRPr="000D1C0B" w14:paraId="177DE2D4" w14:textId="77777777" w:rsidTr="00220440">
        <w:trPr>
          <w:trHeight w:val="300"/>
        </w:trPr>
        <w:tc>
          <w:tcPr>
            <w:tcW w:w="3116" w:type="dxa"/>
            <w:vMerge w:val="restart"/>
            <w:vAlign w:val="center"/>
          </w:tcPr>
          <w:p w14:paraId="3BD5AB40" w14:textId="130022ED" w:rsidR="004D2CCA" w:rsidRPr="000D1C0B" w:rsidRDefault="004D2CCA" w:rsidP="00220440">
            <w:pPr>
              <w:spacing w:after="0" w:line="240" w:lineRule="auto"/>
              <w:ind w:left="27"/>
              <w:jc w:val="both"/>
              <w:rPr>
                <w:rFonts w:ascii="Arial" w:eastAsia="Times New Roman" w:hAnsi="Arial" w:cs="Arial"/>
                <w:sz w:val="18"/>
                <w:szCs w:val="18"/>
                <w:lang w:eastAsia="es-CL"/>
              </w:rPr>
            </w:pPr>
            <w:r w:rsidRPr="000D1C0B">
              <w:rPr>
                <w:rFonts w:ascii="Arial" w:eastAsia="Times New Roman" w:hAnsi="Arial" w:cs="Arial"/>
                <w:color w:val="000000"/>
                <w:sz w:val="18"/>
                <w:szCs w:val="18"/>
                <w:lang w:eastAsia="es-CL"/>
              </w:rPr>
              <w:t>Circular 13 (modificada sucesivamente por las Circular</w:t>
            </w:r>
            <w:r w:rsidR="003877CB" w:rsidRPr="000D1C0B">
              <w:rPr>
                <w:rFonts w:ascii="Arial" w:eastAsia="Times New Roman" w:hAnsi="Arial" w:cs="Arial"/>
                <w:color w:val="000000"/>
                <w:sz w:val="18"/>
                <w:szCs w:val="18"/>
                <w:lang w:eastAsia="es-CL"/>
              </w:rPr>
              <w:t>es</w:t>
            </w:r>
            <w:r w:rsidRPr="000D1C0B">
              <w:rPr>
                <w:rFonts w:ascii="Arial" w:eastAsia="Times New Roman" w:hAnsi="Arial" w:cs="Arial"/>
                <w:color w:val="000000"/>
                <w:sz w:val="18"/>
                <w:szCs w:val="18"/>
                <w:lang w:eastAsia="es-CL"/>
              </w:rPr>
              <w:t xml:space="preserve"> 35, 51, 52</w:t>
            </w:r>
            <w:r w:rsidR="003877CB" w:rsidRPr="000D1C0B">
              <w:rPr>
                <w:rFonts w:ascii="Arial" w:eastAsia="Times New Roman" w:hAnsi="Arial" w:cs="Arial"/>
                <w:color w:val="000000"/>
                <w:sz w:val="18"/>
                <w:szCs w:val="18"/>
                <w:lang w:eastAsia="es-CL"/>
              </w:rPr>
              <w:t xml:space="preserve"> y </w:t>
            </w:r>
            <w:r w:rsidRPr="000D1C0B">
              <w:rPr>
                <w:rFonts w:ascii="Arial" w:eastAsia="Times New Roman" w:hAnsi="Arial" w:cs="Arial"/>
                <w:color w:val="000000"/>
                <w:sz w:val="18"/>
                <w:szCs w:val="18"/>
                <w:lang w:eastAsia="es-CL"/>
              </w:rPr>
              <w:t>128)</w:t>
            </w:r>
          </w:p>
        </w:tc>
        <w:tc>
          <w:tcPr>
            <w:tcW w:w="6026" w:type="dxa"/>
            <w:vAlign w:val="center"/>
          </w:tcPr>
          <w:p w14:paraId="0F179A0F" w14:textId="77777777" w:rsidR="004D2CCA" w:rsidRPr="000D1C0B" w:rsidRDefault="004D2CCA" w:rsidP="00220440">
            <w:pPr>
              <w:spacing w:after="0" w:line="240" w:lineRule="auto"/>
              <w:jc w:val="both"/>
              <w:rPr>
                <w:rFonts w:ascii="Arial" w:hAnsi="Arial" w:cs="Arial"/>
                <w:sz w:val="18"/>
                <w:szCs w:val="18"/>
              </w:rPr>
            </w:pPr>
            <w:r w:rsidRPr="000D1C0B">
              <w:rPr>
                <w:rFonts w:ascii="Arial" w:eastAsia="Times New Roman" w:hAnsi="Arial" w:cs="Arial"/>
                <w:color w:val="000000"/>
                <w:sz w:val="18"/>
                <w:szCs w:val="18"/>
                <w:lang w:eastAsia="es-CL"/>
              </w:rPr>
              <w:t>Notificación de modificación del/a coordinador/a de reclamos y/o representantes habilitados para tramitar reclamos casino de juego</w:t>
            </w:r>
          </w:p>
        </w:tc>
      </w:tr>
      <w:tr w:rsidR="004D2CCA" w:rsidRPr="000D1C0B" w14:paraId="157A168E" w14:textId="77777777" w:rsidTr="00220440">
        <w:trPr>
          <w:trHeight w:val="300"/>
        </w:trPr>
        <w:tc>
          <w:tcPr>
            <w:tcW w:w="3116" w:type="dxa"/>
            <w:vMerge/>
            <w:vAlign w:val="center"/>
          </w:tcPr>
          <w:p w14:paraId="5373AD64" w14:textId="77777777" w:rsidR="004D2CCA" w:rsidRPr="000D1C0B" w:rsidRDefault="004D2CCA" w:rsidP="00220440">
            <w:pPr>
              <w:spacing w:after="0" w:line="240" w:lineRule="auto"/>
              <w:ind w:left="360"/>
              <w:rPr>
                <w:rFonts w:ascii="Arial" w:eastAsia="Times New Roman" w:hAnsi="Arial" w:cs="Arial"/>
                <w:color w:val="000000"/>
                <w:sz w:val="18"/>
                <w:szCs w:val="18"/>
                <w:lang w:eastAsia="es-CL"/>
              </w:rPr>
            </w:pPr>
          </w:p>
        </w:tc>
        <w:tc>
          <w:tcPr>
            <w:tcW w:w="6026" w:type="dxa"/>
            <w:vAlign w:val="center"/>
          </w:tcPr>
          <w:p w14:paraId="17CFAF05"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 modificación del/a coordinador/a de reclamos y/o representantes habilitados para tramitar reclamos casino de juego municipal</w:t>
            </w:r>
          </w:p>
        </w:tc>
      </w:tr>
      <w:tr w:rsidR="004D2CCA" w:rsidRPr="000D1C0B" w14:paraId="15FAEF11" w14:textId="77777777" w:rsidTr="00220440">
        <w:trPr>
          <w:trHeight w:val="300"/>
        </w:trPr>
        <w:tc>
          <w:tcPr>
            <w:tcW w:w="3116" w:type="dxa"/>
            <w:vMerge/>
            <w:vAlign w:val="center"/>
          </w:tcPr>
          <w:p w14:paraId="07C000DC" w14:textId="77777777" w:rsidR="004D2CCA" w:rsidRPr="000D1C0B" w:rsidRDefault="004D2CCA" w:rsidP="00220440">
            <w:pPr>
              <w:spacing w:after="0" w:line="240" w:lineRule="auto"/>
              <w:ind w:left="360"/>
              <w:rPr>
                <w:rFonts w:ascii="Arial" w:eastAsia="Times New Roman" w:hAnsi="Arial" w:cs="Arial"/>
                <w:color w:val="000000"/>
                <w:sz w:val="18"/>
                <w:szCs w:val="18"/>
                <w:lang w:eastAsia="es-CL"/>
              </w:rPr>
            </w:pPr>
          </w:p>
        </w:tc>
        <w:tc>
          <w:tcPr>
            <w:tcW w:w="6026" w:type="dxa"/>
            <w:vAlign w:val="center"/>
          </w:tcPr>
          <w:p w14:paraId="6BED9F08"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 reclamos a los casinos de juego</w:t>
            </w:r>
          </w:p>
        </w:tc>
      </w:tr>
      <w:tr w:rsidR="004D2CCA" w:rsidRPr="000D1C0B" w14:paraId="35AEE0FB" w14:textId="77777777" w:rsidTr="00220440">
        <w:trPr>
          <w:trHeight w:val="300"/>
        </w:trPr>
        <w:tc>
          <w:tcPr>
            <w:tcW w:w="3116" w:type="dxa"/>
            <w:vAlign w:val="center"/>
          </w:tcPr>
          <w:p w14:paraId="56B22E13" w14:textId="77777777" w:rsidR="004D2CCA" w:rsidRPr="000D1C0B" w:rsidRDefault="004D2CCA" w:rsidP="00220440">
            <w:pPr>
              <w:numPr>
                <w:ilvl w:val="0"/>
                <w:numId w:val="20"/>
              </w:numPr>
              <w:spacing w:after="0" w:line="240" w:lineRule="auto"/>
              <w:ind w:left="360"/>
              <w:jc w:val="both"/>
              <w:rPr>
                <w:rFonts w:ascii="Arial" w:hAnsi="Arial" w:cs="Arial"/>
                <w:sz w:val="18"/>
                <w:szCs w:val="18"/>
              </w:rPr>
            </w:pPr>
            <w:r w:rsidRPr="000D1C0B">
              <w:rPr>
                <w:rFonts w:ascii="Arial" w:eastAsia="Times New Roman" w:hAnsi="Arial" w:cs="Arial"/>
                <w:sz w:val="18"/>
                <w:szCs w:val="18"/>
                <w:lang w:eastAsia="es-CL"/>
              </w:rPr>
              <w:t>Circular 14 (modificada por la Circular 22)</w:t>
            </w:r>
          </w:p>
        </w:tc>
        <w:tc>
          <w:tcPr>
            <w:tcW w:w="6026" w:type="dxa"/>
            <w:vAlign w:val="center"/>
          </w:tcPr>
          <w:p w14:paraId="0C9E7303" w14:textId="77777777" w:rsidR="004D2CCA" w:rsidRPr="000D1C0B" w:rsidRDefault="004D2CCA" w:rsidP="00220440">
            <w:pPr>
              <w:spacing w:after="0" w:line="240" w:lineRule="auto"/>
              <w:jc w:val="both"/>
              <w:rPr>
                <w:rFonts w:ascii="Arial" w:eastAsia="Times New Roman" w:hAnsi="Arial" w:cs="Arial"/>
                <w:sz w:val="18"/>
                <w:szCs w:val="18"/>
                <w:lang w:eastAsia="es-CL"/>
              </w:rPr>
            </w:pPr>
            <w:r w:rsidRPr="000D1C0B">
              <w:rPr>
                <w:rFonts w:ascii="Arial" w:hAnsi="Arial" w:cs="Arial"/>
                <w:sz w:val="18"/>
                <w:szCs w:val="18"/>
              </w:rPr>
              <w:t>Notificación de personal de juego</w:t>
            </w:r>
          </w:p>
        </w:tc>
      </w:tr>
      <w:tr w:rsidR="004D2CCA" w:rsidRPr="000D1C0B" w14:paraId="7C9F855D" w14:textId="77777777" w:rsidTr="00220440">
        <w:trPr>
          <w:trHeight w:val="300"/>
        </w:trPr>
        <w:tc>
          <w:tcPr>
            <w:tcW w:w="3116" w:type="dxa"/>
            <w:vAlign w:val="center"/>
          </w:tcPr>
          <w:p w14:paraId="10F9BB14" w14:textId="77777777" w:rsidR="004D2CCA" w:rsidRPr="000D1C0B" w:rsidRDefault="004D2CCA" w:rsidP="00220440">
            <w:pPr>
              <w:numPr>
                <w:ilvl w:val="0"/>
                <w:numId w:val="20"/>
              </w:numPr>
              <w:spacing w:after="0" w:line="240" w:lineRule="auto"/>
              <w:ind w:left="360"/>
              <w:jc w:val="both"/>
              <w:rPr>
                <w:rFonts w:ascii="Arial" w:eastAsia="Times New Roman" w:hAnsi="Arial" w:cs="Arial"/>
                <w:sz w:val="18"/>
                <w:szCs w:val="18"/>
                <w:lang w:eastAsia="es-CL"/>
              </w:rPr>
            </w:pPr>
            <w:r w:rsidRPr="000D1C0B">
              <w:rPr>
                <w:rFonts w:ascii="Arial" w:eastAsia="Times New Roman" w:hAnsi="Arial" w:cs="Arial"/>
                <w:sz w:val="18"/>
                <w:szCs w:val="18"/>
                <w:lang w:eastAsia="es-CL"/>
              </w:rPr>
              <w:t>Circular 18</w:t>
            </w:r>
          </w:p>
        </w:tc>
        <w:tc>
          <w:tcPr>
            <w:tcW w:w="6026" w:type="dxa"/>
            <w:vAlign w:val="center"/>
          </w:tcPr>
          <w:p w14:paraId="578AA317" w14:textId="77777777" w:rsidR="004D2CCA" w:rsidRPr="000D1C0B" w:rsidRDefault="004D2CCA" w:rsidP="00220440">
            <w:pPr>
              <w:spacing w:after="0" w:line="240" w:lineRule="auto"/>
              <w:jc w:val="both"/>
              <w:rPr>
                <w:rFonts w:ascii="Arial" w:eastAsia="Times New Roman" w:hAnsi="Arial" w:cs="Arial"/>
                <w:sz w:val="18"/>
                <w:szCs w:val="18"/>
                <w:lang w:eastAsia="es-CL"/>
              </w:rPr>
            </w:pPr>
            <w:r w:rsidRPr="000D1C0B">
              <w:rPr>
                <w:rFonts w:ascii="Arial" w:eastAsia="Times New Roman" w:hAnsi="Arial" w:cs="Arial"/>
                <w:sz w:val="18"/>
                <w:szCs w:val="18"/>
                <w:lang w:eastAsia="es-CL"/>
              </w:rPr>
              <w:t>Notificación por modificaciones en el horario de funcionamiento del casino de juego</w:t>
            </w:r>
          </w:p>
        </w:tc>
      </w:tr>
      <w:tr w:rsidR="004D2CCA" w:rsidRPr="000D1C0B" w14:paraId="3DA7D154" w14:textId="77777777" w:rsidTr="00220440">
        <w:trPr>
          <w:trHeight w:val="300"/>
        </w:trPr>
        <w:tc>
          <w:tcPr>
            <w:tcW w:w="3116" w:type="dxa"/>
            <w:vAlign w:val="center"/>
          </w:tcPr>
          <w:p w14:paraId="0ECC4317" w14:textId="77777777" w:rsidR="004D2CCA" w:rsidRPr="000D1C0B" w:rsidRDefault="004D2CCA" w:rsidP="00220440">
            <w:pPr>
              <w:numPr>
                <w:ilvl w:val="0"/>
                <w:numId w:val="20"/>
              </w:numPr>
              <w:spacing w:after="0" w:line="240" w:lineRule="auto"/>
              <w:ind w:left="360"/>
              <w:jc w:val="both"/>
              <w:rPr>
                <w:rFonts w:ascii="Arial" w:eastAsia="Times New Roman" w:hAnsi="Arial" w:cs="Arial"/>
                <w:sz w:val="18"/>
                <w:szCs w:val="18"/>
                <w:lang w:eastAsia="es-CL"/>
              </w:rPr>
            </w:pPr>
            <w:r w:rsidRPr="000D1C0B">
              <w:rPr>
                <w:rFonts w:ascii="Arial" w:eastAsia="Times New Roman" w:hAnsi="Arial" w:cs="Arial"/>
                <w:color w:val="000000"/>
                <w:sz w:val="18"/>
                <w:szCs w:val="18"/>
                <w:lang w:eastAsia="es-CL"/>
              </w:rPr>
              <w:t>Circular 25 (modificada por la Circular 99)</w:t>
            </w:r>
          </w:p>
        </w:tc>
        <w:tc>
          <w:tcPr>
            <w:tcW w:w="6026" w:type="dxa"/>
            <w:vAlign w:val="center"/>
          </w:tcPr>
          <w:p w14:paraId="4D367809" w14:textId="77777777" w:rsidR="004D2CCA" w:rsidRPr="000D1C0B" w:rsidRDefault="004D2CCA" w:rsidP="00220440">
            <w:pPr>
              <w:spacing w:after="0" w:line="240" w:lineRule="auto"/>
              <w:jc w:val="both"/>
              <w:rPr>
                <w:rFonts w:ascii="Arial" w:eastAsia="Times New Roman" w:hAnsi="Arial" w:cs="Arial"/>
                <w:sz w:val="18"/>
                <w:szCs w:val="18"/>
                <w:lang w:eastAsia="es-CL"/>
              </w:rPr>
            </w:pPr>
            <w:r w:rsidRPr="000D1C0B">
              <w:rPr>
                <w:rFonts w:ascii="Arial" w:hAnsi="Arial" w:cs="Arial"/>
                <w:sz w:val="18"/>
                <w:szCs w:val="18"/>
              </w:rPr>
              <w:t>Notificación de reglamento interno de propinas</w:t>
            </w:r>
          </w:p>
        </w:tc>
      </w:tr>
      <w:tr w:rsidR="004D2CCA" w:rsidRPr="000D1C0B" w14:paraId="6AF413F9" w14:textId="77777777" w:rsidTr="00220440">
        <w:trPr>
          <w:trHeight w:val="300"/>
        </w:trPr>
        <w:tc>
          <w:tcPr>
            <w:tcW w:w="3116" w:type="dxa"/>
            <w:vAlign w:val="center"/>
          </w:tcPr>
          <w:p w14:paraId="6A16581C"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27</w:t>
            </w:r>
          </w:p>
        </w:tc>
        <w:tc>
          <w:tcPr>
            <w:tcW w:w="6026" w:type="dxa"/>
            <w:vAlign w:val="center"/>
          </w:tcPr>
          <w:p w14:paraId="763F06C8"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 valor de entrada a las salas de juego de los casinos de juego</w:t>
            </w:r>
          </w:p>
        </w:tc>
      </w:tr>
      <w:tr w:rsidR="004D2CCA" w:rsidRPr="000D1C0B" w14:paraId="31CC3490" w14:textId="77777777" w:rsidTr="00220440">
        <w:trPr>
          <w:trHeight w:val="233"/>
        </w:trPr>
        <w:tc>
          <w:tcPr>
            <w:tcW w:w="3116" w:type="dxa"/>
            <w:vAlign w:val="center"/>
          </w:tcPr>
          <w:p w14:paraId="30AF3843"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33 (modificada por la Circular 104)</w:t>
            </w:r>
          </w:p>
        </w:tc>
        <w:tc>
          <w:tcPr>
            <w:tcW w:w="6026" w:type="dxa"/>
            <w:vAlign w:val="center"/>
          </w:tcPr>
          <w:p w14:paraId="4D0E1F1B"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 máquinas de azar, mesas y bingo del parque de juego</w:t>
            </w:r>
          </w:p>
        </w:tc>
      </w:tr>
      <w:tr w:rsidR="004D2CCA" w:rsidRPr="000D1C0B" w14:paraId="24238716" w14:textId="77777777" w:rsidTr="00220440">
        <w:trPr>
          <w:trHeight w:val="300"/>
        </w:trPr>
        <w:tc>
          <w:tcPr>
            <w:tcW w:w="3116" w:type="dxa"/>
            <w:vMerge w:val="restart"/>
            <w:vAlign w:val="center"/>
          </w:tcPr>
          <w:p w14:paraId="0209456B"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hAnsi="Arial" w:cs="Arial"/>
                <w:sz w:val="18"/>
                <w:szCs w:val="18"/>
              </w:rPr>
              <w:t>Circular 34 (</w:t>
            </w:r>
            <w:r w:rsidRPr="000D1C0B">
              <w:rPr>
                <w:rFonts w:ascii="Arial" w:eastAsia="Times New Roman" w:hAnsi="Arial" w:cs="Arial"/>
                <w:color w:val="000000"/>
                <w:sz w:val="18"/>
                <w:szCs w:val="18"/>
                <w:lang w:eastAsia="es-CL"/>
              </w:rPr>
              <w:t xml:space="preserve">modificada por las </w:t>
            </w:r>
            <w:r w:rsidRPr="000D1C0B">
              <w:rPr>
                <w:rFonts w:ascii="Arial" w:hAnsi="Arial" w:cs="Arial"/>
                <w:sz w:val="18"/>
                <w:szCs w:val="18"/>
              </w:rPr>
              <w:t>Circulares 82 y90)</w:t>
            </w:r>
          </w:p>
        </w:tc>
        <w:tc>
          <w:tcPr>
            <w:tcW w:w="6026" w:type="dxa"/>
            <w:vAlign w:val="center"/>
          </w:tcPr>
          <w:p w14:paraId="38B8C9D3"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 información operacional de casinos de juego</w:t>
            </w:r>
          </w:p>
        </w:tc>
      </w:tr>
      <w:tr w:rsidR="004D2CCA" w:rsidRPr="000D1C0B" w14:paraId="005C3575" w14:textId="77777777" w:rsidTr="00220440">
        <w:trPr>
          <w:trHeight w:val="300"/>
        </w:trPr>
        <w:tc>
          <w:tcPr>
            <w:tcW w:w="3116" w:type="dxa"/>
            <w:vMerge/>
            <w:vAlign w:val="center"/>
          </w:tcPr>
          <w:p w14:paraId="020222E6" w14:textId="77777777" w:rsidR="004D2CCA" w:rsidRPr="000D1C0B" w:rsidRDefault="004D2CCA" w:rsidP="00220440">
            <w:pPr>
              <w:spacing w:after="0" w:line="240" w:lineRule="auto"/>
              <w:ind w:left="360"/>
              <w:jc w:val="both"/>
              <w:rPr>
                <w:rFonts w:ascii="Arial" w:eastAsia="Times New Roman" w:hAnsi="Arial" w:cs="Arial"/>
                <w:color w:val="000000"/>
                <w:sz w:val="18"/>
                <w:szCs w:val="18"/>
                <w:lang w:eastAsia="es-CL"/>
              </w:rPr>
            </w:pPr>
          </w:p>
        </w:tc>
        <w:tc>
          <w:tcPr>
            <w:tcW w:w="6026" w:type="dxa"/>
            <w:vAlign w:val="center"/>
          </w:tcPr>
          <w:p w14:paraId="2701851B"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 reclamos a los casinos de juego</w:t>
            </w:r>
          </w:p>
        </w:tc>
      </w:tr>
      <w:tr w:rsidR="004D2CCA" w:rsidRPr="000D1C0B" w14:paraId="3F2A046B" w14:textId="77777777" w:rsidTr="00220440">
        <w:trPr>
          <w:trHeight w:val="300"/>
        </w:trPr>
        <w:tc>
          <w:tcPr>
            <w:tcW w:w="3116" w:type="dxa"/>
            <w:vMerge w:val="restart"/>
            <w:vAlign w:val="center"/>
          </w:tcPr>
          <w:p w14:paraId="6C7B690C"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hAnsi="Arial" w:cs="Arial"/>
                <w:sz w:val="18"/>
                <w:szCs w:val="18"/>
              </w:rPr>
              <w:t>Circular 37 (</w:t>
            </w:r>
            <w:r w:rsidRPr="000D1C0B">
              <w:rPr>
                <w:rFonts w:ascii="Arial" w:eastAsia="Times New Roman" w:hAnsi="Arial" w:cs="Arial"/>
                <w:color w:val="000000"/>
                <w:sz w:val="18"/>
                <w:szCs w:val="18"/>
                <w:lang w:eastAsia="es-CL"/>
              </w:rPr>
              <w:t xml:space="preserve">modificada por las </w:t>
            </w:r>
            <w:r w:rsidRPr="000D1C0B">
              <w:rPr>
                <w:rFonts w:ascii="Arial" w:hAnsi="Arial" w:cs="Arial"/>
                <w:sz w:val="18"/>
                <w:szCs w:val="18"/>
              </w:rPr>
              <w:t>Circulares 104 y 115)</w:t>
            </w:r>
          </w:p>
        </w:tc>
        <w:tc>
          <w:tcPr>
            <w:tcW w:w="6026" w:type="dxa"/>
            <w:vAlign w:val="center"/>
          </w:tcPr>
          <w:p w14:paraId="5579DD42"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 xml:space="preserve">Notificación de bases de torneos de casinos de juego </w:t>
            </w:r>
          </w:p>
        </w:tc>
      </w:tr>
      <w:tr w:rsidR="004D2CCA" w:rsidRPr="000D1C0B" w14:paraId="680B9F31" w14:textId="77777777" w:rsidTr="00220440">
        <w:trPr>
          <w:trHeight w:val="300"/>
        </w:trPr>
        <w:tc>
          <w:tcPr>
            <w:tcW w:w="3116" w:type="dxa"/>
            <w:vMerge/>
            <w:vAlign w:val="center"/>
          </w:tcPr>
          <w:p w14:paraId="49F855BC"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p>
        </w:tc>
        <w:tc>
          <w:tcPr>
            <w:tcW w:w="6026" w:type="dxa"/>
            <w:vAlign w:val="center"/>
          </w:tcPr>
          <w:p w14:paraId="56FDF778"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 reglamentos de torneos de casinos de juego</w:t>
            </w:r>
          </w:p>
        </w:tc>
      </w:tr>
      <w:tr w:rsidR="004D2CCA" w:rsidRPr="000D1C0B" w14:paraId="30747DB7" w14:textId="77777777" w:rsidTr="00220440">
        <w:trPr>
          <w:trHeight w:val="300"/>
        </w:trPr>
        <w:tc>
          <w:tcPr>
            <w:tcW w:w="3116" w:type="dxa"/>
            <w:vAlign w:val="center"/>
          </w:tcPr>
          <w:p w14:paraId="20E70A85"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42</w:t>
            </w:r>
          </w:p>
        </w:tc>
        <w:tc>
          <w:tcPr>
            <w:tcW w:w="6026" w:type="dxa"/>
            <w:vAlign w:val="center"/>
          </w:tcPr>
          <w:p w14:paraId="5A8B637C"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 eventos especiales</w:t>
            </w:r>
          </w:p>
        </w:tc>
      </w:tr>
      <w:tr w:rsidR="004D2CCA" w:rsidRPr="000D1C0B" w14:paraId="6EF13183" w14:textId="77777777" w:rsidTr="00220440">
        <w:trPr>
          <w:trHeight w:val="300"/>
        </w:trPr>
        <w:tc>
          <w:tcPr>
            <w:tcW w:w="3116" w:type="dxa"/>
            <w:vAlign w:val="center"/>
          </w:tcPr>
          <w:p w14:paraId="00079E04"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43 (modificada por la Circular 104)</w:t>
            </w:r>
          </w:p>
        </w:tc>
        <w:tc>
          <w:tcPr>
            <w:tcW w:w="6026" w:type="dxa"/>
            <w:vAlign w:val="center"/>
          </w:tcPr>
          <w:p w14:paraId="3F45AC56"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 bases y/o procedimientos de promociones de casinos de juego</w:t>
            </w:r>
          </w:p>
        </w:tc>
      </w:tr>
      <w:tr w:rsidR="004D2CCA" w:rsidRPr="000D1C0B" w14:paraId="16C14481" w14:textId="77777777" w:rsidTr="00220440">
        <w:trPr>
          <w:trHeight w:val="300"/>
        </w:trPr>
        <w:tc>
          <w:tcPr>
            <w:tcW w:w="3116" w:type="dxa"/>
            <w:vAlign w:val="center"/>
          </w:tcPr>
          <w:p w14:paraId="36056700"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57 (modificada por la Circular 60)</w:t>
            </w:r>
          </w:p>
        </w:tc>
        <w:tc>
          <w:tcPr>
            <w:tcW w:w="6026" w:type="dxa"/>
            <w:vAlign w:val="center"/>
          </w:tcPr>
          <w:p w14:paraId="084D40F2" w14:textId="77777777" w:rsidR="004D2CCA" w:rsidRPr="000D1C0B" w:rsidRDefault="004D2CCA" w:rsidP="00220440">
            <w:pPr>
              <w:spacing w:after="0" w:line="240" w:lineRule="auto"/>
              <w:jc w:val="both"/>
              <w:rPr>
                <w:rFonts w:ascii="Arial" w:hAnsi="Arial" w:cs="Arial"/>
                <w:sz w:val="18"/>
                <w:szCs w:val="18"/>
              </w:rPr>
            </w:pPr>
            <w:r w:rsidRPr="000D1C0B">
              <w:rPr>
                <w:rFonts w:ascii="Arial" w:hAnsi="Arial" w:cs="Arial"/>
                <w:sz w:val="18"/>
                <w:szCs w:val="18"/>
              </w:rPr>
              <w:t>Notificación de prevención de lavado de activos</w:t>
            </w:r>
          </w:p>
        </w:tc>
      </w:tr>
      <w:tr w:rsidR="004D2CCA" w:rsidRPr="000D1C0B" w14:paraId="53D04409" w14:textId="77777777" w:rsidTr="00220440">
        <w:trPr>
          <w:trHeight w:val="300"/>
        </w:trPr>
        <w:tc>
          <w:tcPr>
            <w:tcW w:w="3116" w:type="dxa"/>
            <w:vAlign w:val="center"/>
          </w:tcPr>
          <w:p w14:paraId="0F6DD25F"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86</w:t>
            </w:r>
          </w:p>
        </w:tc>
        <w:tc>
          <w:tcPr>
            <w:tcW w:w="6026" w:type="dxa"/>
            <w:vAlign w:val="center"/>
          </w:tcPr>
          <w:p w14:paraId="032C4142" w14:textId="77777777" w:rsidR="004D2CCA" w:rsidRPr="000D1C0B" w:rsidRDefault="004D2CCA" w:rsidP="00220440">
            <w:pPr>
              <w:spacing w:after="0" w:line="240" w:lineRule="auto"/>
              <w:jc w:val="both"/>
              <w:rPr>
                <w:rFonts w:ascii="Arial" w:hAnsi="Arial" w:cs="Arial"/>
                <w:sz w:val="18"/>
                <w:szCs w:val="18"/>
              </w:rPr>
            </w:pPr>
            <w:r w:rsidRPr="000D1C0B">
              <w:rPr>
                <w:rFonts w:ascii="Arial" w:hAnsi="Arial" w:cs="Arial"/>
                <w:sz w:val="18"/>
                <w:szCs w:val="18"/>
              </w:rPr>
              <w:t>Notificación de responsable de billetes falsos</w:t>
            </w:r>
          </w:p>
        </w:tc>
      </w:tr>
      <w:tr w:rsidR="004D2CCA" w:rsidRPr="000D1C0B" w14:paraId="7F488456" w14:textId="77777777" w:rsidTr="00220440">
        <w:trPr>
          <w:trHeight w:val="300"/>
        </w:trPr>
        <w:tc>
          <w:tcPr>
            <w:tcW w:w="3116" w:type="dxa"/>
            <w:vMerge w:val="restart"/>
            <w:vAlign w:val="center"/>
          </w:tcPr>
          <w:p w14:paraId="77CEFCE9"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94</w:t>
            </w:r>
          </w:p>
        </w:tc>
        <w:tc>
          <w:tcPr>
            <w:tcW w:w="6026" w:type="dxa"/>
            <w:vAlign w:val="center"/>
          </w:tcPr>
          <w:p w14:paraId="5AC98036" w14:textId="77777777" w:rsidR="004D2CCA" w:rsidRPr="000D1C0B" w:rsidRDefault="004D2CCA" w:rsidP="00220440">
            <w:pPr>
              <w:spacing w:after="0" w:line="240" w:lineRule="auto"/>
              <w:jc w:val="both"/>
              <w:rPr>
                <w:rFonts w:ascii="Arial" w:hAnsi="Arial" w:cs="Arial"/>
                <w:sz w:val="18"/>
                <w:szCs w:val="18"/>
              </w:rPr>
            </w:pPr>
            <w:r w:rsidRPr="000D1C0B">
              <w:rPr>
                <w:rFonts w:ascii="Arial" w:hAnsi="Arial" w:cs="Arial"/>
                <w:sz w:val="18"/>
                <w:szCs w:val="18"/>
              </w:rPr>
              <w:t>Notificación de sistema CCTV</w:t>
            </w:r>
          </w:p>
        </w:tc>
      </w:tr>
      <w:tr w:rsidR="004D2CCA" w:rsidRPr="000D1C0B" w14:paraId="29CE8DBA" w14:textId="77777777" w:rsidTr="00220440">
        <w:trPr>
          <w:trHeight w:val="300"/>
        </w:trPr>
        <w:tc>
          <w:tcPr>
            <w:tcW w:w="3116" w:type="dxa"/>
            <w:vMerge/>
            <w:vAlign w:val="center"/>
          </w:tcPr>
          <w:p w14:paraId="1C09C697"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p>
        </w:tc>
        <w:tc>
          <w:tcPr>
            <w:tcW w:w="6026" w:type="dxa"/>
            <w:vAlign w:val="center"/>
          </w:tcPr>
          <w:p w14:paraId="3E143F56" w14:textId="77777777" w:rsidR="004D2CCA" w:rsidRPr="000D1C0B" w:rsidRDefault="004D2CCA" w:rsidP="00220440">
            <w:pPr>
              <w:spacing w:after="0" w:line="240" w:lineRule="auto"/>
              <w:jc w:val="both"/>
              <w:rPr>
                <w:rFonts w:ascii="Arial" w:hAnsi="Arial" w:cs="Arial"/>
                <w:sz w:val="18"/>
                <w:szCs w:val="18"/>
              </w:rPr>
            </w:pPr>
            <w:r w:rsidRPr="000D1C0B">
              <w:rPr>
                <w:rFonts w:ascii="Arial" w:eastAsia="Times New Roman" w:hAnsi="Arial" w:cs="Arial"/>
                <w:sz w:val="18"/>
                <w:szCs w:val="18"/>
                <w:lang w:eastAsia="es-CL"/>
              </w:rPr>
              <w:t>Notificación de procedimientos operativos</w:t>
            </w:r>
          </w:p>
        </w:tc>
      </w:tr>
      <w:tr w:rsidR="004D2CCA" w:rsidRPr="000D1C0B" w14:paraId="598D0255" w14:textId="77777777" w:rsidTr="00220440">
        <w:trPr>
          <w:trHeight w:val="300"/>
        </w:trPr>
        <w:tc>
          <w:tcPr>
            <w:tcW w:w="3116" w:type="dxa"/>
            <w:vAlign w:val="center"/>
          </w:tcPr>
          <w:p w14:paraId="741FD6FC"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96</w:t>
            </w:r>
          </w:p>
        </w:tc>
        <w:tc>
          <w:tcPr>
            <w:tcW w:w="6026" w:type="dxa"/>
            <w:vAlign w:val="center"/>
          </w:tcPr>
          <w:p w14:paraId="04876727" w14:textId="77777777" w:rsidR="004D2CCA" w:rsidRPr="000D1C0B" w:rsidRDefault="004D2CCA" w:rsidP="00220440">
            <w:pPr>
              <w:spacing w:after="0" w:line="240" w:lineRule="auto"/>
              <w:jc w:val="both"/>
              <w:rPr>
                <w:rFonts w:ascii="Arial" w:hAnsi="Arial" w:cs="Arial"/>
                <w:sz w:val="18"/>
                <w:szCs w:val="18"/>
              </w:rPr>
            </w:pPr>
            <w:r w:rsidRPr="000D1C0B">
              <w:rPr>
                <w:rFonts w:ascii="Arial" w:hAnsi="Arial" w:cs="Arial"/>
                <w:sz w:val="18"/>
                <w:szCs w:val="18"/>
              </w:rPr>
              <w:t>Notificación de coordinador/a de casino municipal</w:t>
            </w:r>
          </w:p>
        </w:tc>
      </w:tr>
      <w:tr w:rsidR="004D2CCA" w:rsidRPr="000D1C0B" w14:paraId="3F1ED474" w14:textId="77777777" w:rsidTr="00220440">
        <w:trPr>
          <w:trHeight w:val="300"/>
        </w:trPr>
        <w:tc>
          <w:tcPr>
            <w:tcW w:w="3116" w:type="dxa"/>
            <w:vMerge w:val="restart"/>
            <w:vAlign w:val="center"/>
          </w:tcPr>
          <w:p w14:paraId="119F5571"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102 (modificada por la Circular 122)</w:t>
            </w:r>
          </w:p>
        </w:tc>
        <w:tc>
          <w:tcPr>
            <w:tcW w:w="6026" w:type="dxa"/>
            <w:vAlign w:val="center"/>
          </w:tcPr>
          <w:p w14:paraId="289D8C5F" w14:textId="77777777" w:rsidR="004D2CCA" w:rsidRPr="000D1C0B" w:rsidRDefault="004D2CCA" w:rsidP="00220440">
            <w:pPr>
              <w:spacing w:after="0" w:line="240" w:lineRule="auto"/>
              <w:jc w:val="both"/>
              <w:rPr>
                <w:rFonts w:ascii="Arial" w:eastAsia="Times New Roman" w:hAnsi="Arial" w:cs="Arial"/>
                <w:sz w:val="18"/>
                <w:szCs w:val="18"/>
                <w:lang w:eastAsia="es-CL"/>
              </w:rPr>
            </w:pPr>
            <w:r w:rsidRPr="000D1C0B">
              <w:rPr>
                <w:rFonts w:ascii="Arial" w:eastAsia="Times New Roman" w:hAnsi="Arial" w:cs="Arial"/>
                <w:sz w:val="18"/>
                <w:szCs w:val="18"/>
                <w:lang w:eastAsia="es-CL"/>
              </w:rPr>
              <w:t>Notificación de coordinador/a y/o usuarios/as del sistema de autoexclusión voluntaria de jugadores/as</w:t>
            </w:r>
          </w:p>
        </w:tc>
      </w:tr>
      <w:tr w:rsidR="004D2CCA" w:rsidRPr="000D1C0B" w14:paraId="135B4675" w14:textId="77777777" w:rsidTr="00220440">
        <w:trPr>
          <w:trHeight w:val="300"/>
        </w:trPr>
        <w:tc>
          <w:tcPr>
            <w:tcW w:w="3116" w:type="dxa"/>
            <w:vMerge/>
            <w:vAlign w:val="center"/>
          </w:tcPr>
          <w:p w14:paraId="1CC94BF8"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p>
        </w:tc>
        <w:tc>
          <w:tcPr>
            <w:tcW w:w="6026" w:type="dxa"/>
            <w:vAlign w:val="center"/>
          </w:tcPr>
          <w:p w14:paraId="71743D29" w14:textId="77777777" w:rsidR="004D2CCA" w:rsidRPr="000D1C0B" w:rsidRDefault="004D2CCA" w:rsidP="00220440">
            <w:pPr>
              <w:spacing w:after="0" w:line="240" w:lineRule="auto"/>
              <w:jc w:val="both"/>
              <w:rPr>
                <w:rFonts w:ascii="Arial" w:eastAsia="Times New Roman" w:hAnsi="Arial" w:cs="Arial"/>
                <w:sz w:val="18"/>
                <w:szCs w:val="18"/>
                <w:lang w:eastAsia="es-CL"/>
              </w:rPr>
            </w:pPr>
            <w:r w:rsidRPr="000D1C0B">
              <w:rPr>
                <w:rFonts w:ascii="Arial" w:eastAsia="Times New Roman" w:hAnsi="Arial" w:cs="Arial"/>
                <w:sz w:val="18"/>
                <w:szCs w:val="18"/>
                <w:lang w:eastAsia="es-CL"/>
              </w:rPr>
              <w:t>Notificación de procedimientos operativos</w:t>
            </w:r>
          </w:p>
        </w:tc>
      </w:tr>
      <w:tr w:rsidR="004D2CCA" w:rsidRPr="000D1C0B" w14:paraId="3472BF4C" w14:textId="77777777" w:rsidTr="00220440">
        <w:trPr>
          <w:trHeight w:val="300"/>
        </w:trPr>
        <w:tc>
          <w:tcPr>
            <w:tcW w:w="3116" w:type="dxa"/>
            <w:vAlign w:val="center"/>
          </w:tcPr>
          <w:p w14:paraId="2FAAB405"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103</w:t>
            </w:r>
          </w:p>
        </w:tc>
        <w:tc>
          <w:tcPr>
            <w:tcW w:w="6026" w:type="dxa"/>
            <w:vAlign w:val="center"/>
          </w:tcPr>
          <w:p w14:paraId="42C90287" w14:textId="77777777" w:rsidR="004D2CCA" w:rsidRPr="000D1C0B" w:rsidRDefault="004D2CCA" w:rsidP="00220440">
            <w:pPr>
              <w:spacing w:after="0" w:line="240" w:lineRule="auto"/>
              <w:jc w:val="both"/>
              <w:rPr>
                <w:rFonts w:ascii="Arial" w:hAnsi="Arial" w:cs="Arial"/>
                <w:sz w:val="18"/>
                <w:szCs w:val="18"/>
              </w:rPr>
            </w:pPr>
            <w:r w:rsidRPr="000D1C0B">
              <w:rPr>
                <w:rFonts w:ascii="Arial" w:hAnsi="Arial" w:cs="Arial"/>
                <w:sz w:val="18"/>
                <w:szCs w:val="18"/>
              </w:rPr>
              <w:t>Notificación de cumplimiento normativo</w:t>
            </w:r>
          </w:p>
        </w:tc>
      </w:tr>
      <w:tr w:rsidR="004D2CCA" w:rsidRPr="000D1C0B" w14:paraId="7C50ABD6" w14:textId="77777777" w:rsidTr="00220440">
        <w:trPr>
          <w:trHeight w:val="300"/>
        </w:trPr>
        <w:tc>
          <w:tcPr>
            <w:tcW w:w="3116" w:type="dxa"/>
            <w:vMerge w:val="restart"/>
            <w:vAlign w:val="center"/>
          </w:tcPr>
          <w:p w14:paraId="3121A0AD"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105 (modificada por la Circular 109)</w:t>
            </w:r>
          </w:p>
        </w:tc>
        <w:tc>
          <w:tcPr>
            <w:tcW w:w="6026" w:type="dxa"/>
            <w:vAlign w:val="center"/>
          </w:tcPr>
          <w:p w14:paraId="721DCD0F" w14:textId="77777777" w:rsidR="004D2CCA" w:rsidRPr="000D1C0B" w:rsidRDefault="004D2CCA" w:rsidP="00220440">
            <w:pPr>
              <w:spacing w:after="0" w:line="240" w:lineRule="auto"/>
              <w:jc w:val="both"/>
              <w:rPr>
                <w:rFonts w:ascii="Arial" w:hAnsi="Arial" w:cs="Arial"/>
                <w:sz w:val="18"/>
                <w:szCs w:val="18"/>
              </w:rPr>
            </w:pPr>
            <w:r w:rsidRPr="000D1C0B">
              <w:rPr>
                <w:rFonts w:ascii="Arial" w:hAnsi="Arial" w:cs="Arial"/>
                <w:sz w:val="18"/>
                <w:szCs w:val="18"/>
              </w:rPr>
              <w:t>Notificación de procedimientos operativos</w:t>
            </w:r>
          </w:p>
        </w:tc>
      </w:tr>
      <w:tr w:rsidR="004D2CCA" w:rsidRPr="000D1C0B" w14:paraId="25B19C10" w14:textId="77777777" w:rsidTr="00220440">
        <w:trPr>
          <w:trHeight w:val="300"/>
        </w:trPr>
        <w:tc>
          <w:tcPr>
            <w:tcW w:w="3116" w:type="dxa"/>
            <w:vMerge/>
            <w:vAlign w:val="center"/>
          </w:tcPr>
          <w:p w14:paraId="3DDD2674"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p>
        </w:tc>
        <w:tc>
          <w:tcPr>
            <w:tcW w:w="6026" w:type="dxa"/>
            <w:vAlign w:val="center"/>
          </w:tcPr>
          <w:p w14:paraId="681917C4" w14:textId="77777777" w:rsidR="004D2CCA" w:rsidRPr="000D1C0B" w:rsidRDefault="004D2CCA" w:rsidP="00220440">
            <w:pPr>
              <w:spacing w:after="0" w:line="240" w:lineRule="auto"/>
              <w:jc w:val="both"/>
              <w:rPr>
                <w:rFonts w:ascii="Arial" w:hAnsi="Arial" w:cs="Arial"/>
                <w:sz w:val="18"/>
                <w:szCs w:val="18"/>
              </w:rPr>
            </w:pPr>
            <w:r w:rsidRPr="000D1C0B">
              <w:rPr>
                <w:rFonts w:ascii="Arial" w:eastAsia="Times New Roman" w:hAnsi="Arial" w:cs="Arial"/>
                <w:color w:val="000000"/>
                <w:sz w:val="18"/>
                <w:szCs w:val="18"/>
                <w:lang w:eastAsia="es-CL"/>
              </w:rPr>
              <w:t>Notificación de baja definitiva de máquinas de azar</w:t>
            </w:r>
          </w:p>
        </w:tc>
      </w:tr>
      <w:tr w:rsidR="004D2CCA" w:rsidRPr="000D1C0B" w14:paraId="38443D83" w14:textId="77777777" w:rsidTr="00220440">
        <w:trPr>
          <w:trHeight w:val="300"/>
        </w:trPr>
        <w:tc>
          <w:tcPr>
            <w:tcW w:w="3116" w:type="dxa"/>
            <w:vMerge w:val="restart"/>
            <w:vAlign w:val="center"/>
          </w:tcPr>
          <w:p w14:paraId="29BCCDD5"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106</w:t>
            </w:r>
          </w:p>
        </w:tc>
        <w:tc>
          <w:tcPr>
            <w:tcW w:w="6026" w:type="dxa"/>
            <w:vAlign w:val="center"/>
          </w:tcPr>
          <w:p w14:paraId="4B312AD0" w14:textId="77777777" w:rsidR="004D2CCA" w:rsidRPr="000D1C0B" w:rsidRDefault="004D2CCA" w:rsidP="00220440">
            <w:pPr>
              <w:spacing w:after="0" w:line="240" w:lineRule="auto"/>
              <w:jc w:val="both"/>
              <w:rPr>
                <w:rFonts w:ascii="Arial" w:hAnsi="Arial" w:cs="Arial"/>
                <w:sz w:val="18"/>
                <w:szCs w:val="18"/>
              </w:rPr>
            </w:pPr>
            <w:r w:rsidRPr="000D1C0B">
              <w:rPr>
                <w:rFonts w:ascii="Arial" w:hAnsi="Arial" w:cs="Arial"/>
                <w:sz w:val="18"/>
                <w:szCs w:val="18"/>
              </w:rPr>
              <w:t>Notificación de actualización o cambios del SMC</w:t>
            </w:r>
          </w:p>
        </w:tc>
      </w:tr>
      <w:tr w:rsidR="004D2CCA" w:rsidRPr="000D1C0B" w14:paraId="41D6BDD9" w14:textId="77777777" w:rsidTr="00220440">
        <w:trPr>
          <w:trHeight w:val="300"/>
        </w:trPr>
        <w:tc>
          <w:tcPr>
            <w:tcW w:w="3116" w:type="dxa"/>
            <w:vMerge/>
            <w:vAlign w:val="center"/>
          </w:tcPr>
          <w:p w14:paraId="2CF89D2A"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p>
        </w:tc>
        <w:tc>
          <w:tcPr>
            <w:tcW w:w="6026" w:type="dxa"/>
            <w:vAlign w:val="center"/>
          </w:tcPr>
          <w:p w14:paraId="58B20E2D" w14:textId="77777777" w:rsidR="004D2CCA" w:rsidRPr="000D1C0B" w:rsidRDefault="004D2CCA" w:rsidP="00220440">
            <w:pPr>
              <w:spacing w:after="0" w:line="240" w:lineRule="auto"/>
              <w:jc w:val="both"/>
              <w:rPr>
                <w:rFonts w:ascii="Arial" w:hAnsi="Arial" w:cs="Arial"/>
                <w:sz w:val="18"/>
                <w:szCs w:val="18"/>
              </w:rPr>
            </w:pPr>
            <w:r w:rsidRPr="000D1C0B">
              <w:rPr>
                <w:rFonts w:ascii="Arial" w:hAnsi="Arial" w:cs="Arial"/>
                <w:sz w:val="18"/>
                <w:szCs w:val="18"/>
              </w:rPr>
              <w:t>Notificación de inventario de repuestos del SMC</w:t>
            </w:r>
          </w:p>
        </w:tc>
      </w:tr>
      <w:tr w:rsidR="004D2CCA" w:rsidRPr="000D1C0B" w14:paraId="5A519CEA" w14:textId="77777777" w:rsidTr="00220440">
        <w:trPr>
          <w:trHeight w:val="300"/>
        </w:trPr>
        <w:tc>
          <w:tcPr>
            <w:tcW w:w="3116" w:type="dxa"/>
            <w:vMerge w:val="restart"/>
            <w:vAlign w:val="center"/>
          </w:tcPr>
          <w:p w14:paraId="663DFE14"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107</w:t>
            </w:r>
          </w:p>
        </w:tc>
        <w:tc>
          <w:tcPr>
            <w:tcW w:w="6026" w:type="dxa"/>
            <w:vAlign w:val="center"/>
          </w:tcPr>
          <w:p w14:paraId="734933B5" w14:textId="77777777" w:rsidR="004D2CCA" w:rsidRPr="000D1C0B" w:rsidRDefault="004D2CCA" w:rsidP="00220440">
            <w:pPr>
              <w:spacing w:after="0" w:line="240" w:lineRule="auto"/>
              <w:jc w:val="both"/>
              <w:rPr>
                <w:rFonts w:ascii="Arial" w:hAnsi="Arial" w:cs="Arial"/>
                <w:sz w:val="18"/>
                <w:szCs w:val="18"/>
              </w:rPr>
            </w:pPr>
            <w:r w:rsidRPr="000D1C0B">
              <w:rPr>
                <w:rFonts w:ascii="Arial" w:hAnsi="Arial" w:cs="Arial"/>
                <w:sz w:val="18"/>
                <w:szCs w:val="18"/>
              </w:rPr>
              <w:t>Notificación de entrega, reemplazo o renovación de póliza de seguro y boleta de garantía de laboratorios</w:t>
            </w:r>
            <w:r w:rsidRPr="000D1C0B">
              <w:rPr>
                <w:rFonts w:ascii="Arial" w:hAnsi="Arial" w:cs="Arial"/>
                <w:sz w:val="18"/>
                <w:szCs w:val="18"/>
              </w:rPr>
              <w:tab/>
            </w:r>
          </w:p>
        </w:tc>
      </w:tr>
      <w:tr w:rsidR="004D2CCA" w:rsidRPr="000D1C0B" w14:paraId="3078551B" w14:textId="77777777" w:rsidTr="00220440">
        <w:trPr>
          <w:trHeight w:val="300"/>
        </w:trPr>
        <w:tc>
          <w:tcPr>
            <w:tcW w:w="3116" w:type="dxa"/>
            <w:vMerge/>
            <w:vAlign w:val="center"/>
          </w:tcPr>
          <w:p w14:paraId="07FDA816"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p>
        </w:tc>
        <w:tc>
          <w:tcPr>
            <w:tcW w:w="6026" w:type="dxa"/>
            <w:vAlign w:val="center"/>
          </w:tcPr>
          <w:p w14:paraId="2925F6C3" w14:textId="77777777" w:rsidR="004D2CCA" w:rsidRPr="000D1C0B" w:rsidRDefault="004D2CCA" w:rsidP="00220440">
            <w:pPr>
              <w:spacing w:after="0" w:line="240" w:lineRule="auto"/>
              <w:jc w:val="both"/>
              <w:rPr>
                <w:rFonts w:ascii="Arial" w:hAnsi="Arial" w:cs="Arial"/>
                <w:sz w:val="18"/>
                <w:szCs w:val="18"/>
              </w:rPr>
            </w:pPr>
            <w:r w:rsidRPr="000D1C0B">
              <w:rPr>
                <w:rFonts w:ascii="Arial" w:hAnsi="Arial" w:cs="Arial"/>
                <w:sz w:val="18"/>
                <w:szCs w:val="18"/>
              </w:rPr>
              <w:t>Notificación de personal y otras condiciones de laboratorio</w:t>
            </w:r>
          </w:p>
        </w:tc>
      </w:tr>
      <w:tr w:rsidR="004D2CCA" w:rsidRPr="000D1C0B" w14:paraId="2A461462" w14:textId="77777777" w:rsidTr="00220440">
        <w:trPr>
          <w:trHeight w:val="300"/>
        </w:trPr>
        <w:tc>
          <w:tcPr>
            <w:tcW w:w="3116" w:type="dxa"/>
            <w:vAlign w:val="center"/>
          </w:tcPr>
          <w:p w14:paraId="1365C47A"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108</w:t>
            </w:r>
          </w:p>
        </w:tc>
        <w:tc>
          <w:tcPr>
            <w:tcW w:w="6026" w:type="dxa"/>
            <w:vAlign w:val="center"/>
          </w:tcPr>
          <w:p w14:paraId="422F43BA" w14:textId="77777777" w:rsidR="004D2CCA" w:rsidRPr="000D1C0B" w:rsidRDefault="004D2CCA" w:rsidP="00220440">
            <w:pPr>
              <w:spacing w:after="0" w:line="240" w:lineRule="auto"/>
              <w:jc w:val="both"/>
              <w:rPr>
                <w:rFonts w:ascii="Arial" w:eastAsia="Times New Roman" w:hAnsi="Arial" w:cs="Arial"/>
                <w:color w:val="FF0000"/>
                <w:sz w:val="18"/>
                <w:szCs w:val="18"/>
                <w:lang w:eastAsia="es-CL"/>
              </w:rPr>
            </w:pPr>
            <w:r w:rsidRPr="000D1C0B">
              <w:rPr>
                <w:rFonts w:ascii="Arial" w:hAnsi="Arial" w:cs="Arial"/>
                <w:sz w:val="18"/>
                <w:szCs w:val="18"/>
              </w:rPr>
              <w:t>Notificación de restricción temporal de ingreso o permanencia en casinos de juego</w:t>
            </w:r>
          </w:p>
        </w:tc>
      </w:tr>
      <w:tr w:rsidR="004D2CCA" w:rsidRPr="000D1C0B" w14:paraId="07B53067" w14:textId="77777777" w:rsidTr="00220440">
        <w:trPr>
          <w:trHeight w:val="300"/>
        </w:trPr>
        <w:tc>
          <w:tcPr>
            <w:tcW w:w="3116" w:type="dxa"/>
            <w:vAlign w:val="center"/>
          </w:tcPr>
          <w:p w14:paraId="5D88B6F6"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110</w:t>
            </w:r>
          </w:p>
        </w:tc>
        <w:tc>
          <w:tcPr>
            <w:tcW w:w="6026" w:type="dxa"/>
            <w:vAlign w:val="center"/>
          </w:tcPr>
          <w:p w14:paraId="60DFE085"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 actividades de demostración y/o enseñanza en el casino de juego</w:t>
            </w:r>
          </w:p>
        </w:tc>
      </w:tr>
      <w:tr w:rsidR="004D2CCA" w:rsidRPr="000D1C0B" w14:paraId="67D8BAAF" w14:textId="77777777" w:rsidTr="00220440">
        <w:trPr>
          <w:trHeight w:val="300"/>
        </w:trPr>
        <w:tc>
          <w:tcPr>
            <w:tcW w:w="3116" w:type="dxa"/>
            <w:vAlign w:val="center"/>
          </w:tcPr>
          <w:p w14:paraId="4D0E89FA"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lastRenderedPageBreak/>
              <w:t>Circular 111</w:t>
            </w:r>
          </w:p>
        </w:tc>
        <w:tc>
          <w:tcPr>
            <w:tcW w:w="6026" w:type="dxa"/>
            <w:vAlign w:val="center"/>
          </w:tcPr>
          <w:p w14:paraId="41D01C41"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 cesación de gerente general y/o revocación de apoderado o representante y/o vacancia de director de una sociedad operadora de casinos de juego</w:t>
            </w:r>
          </w:p>
        </w:tc>
      </w:tr>
      <w:tr w:rsidR="004D2CCA" w:rsidRPr="000D1C0B" w14:paraId="3CD70525" w14:textId="77777777" w:rsidTr="00220440">
        <w:trPr>
          <w:trHeight w:val="300"/>
        </w:trPr>
        <w:tc>
          <w:tcPr>
            <w:tcW w:w="3116" w:type="dxa"/>
            <w:vMerge w:val="restart"/>
            <w:vAlign w:val="center"/>
          </w:tcPr>
          <w:p w14:paraId="007EB9F3"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113</w:t>
            </w:r>
          </w:p>
        </w:tc>
        <w:tc>
          <w:tcPr>
            <w:tcW w:w="6026" w:type="dxa"/>
            <w:vAlign w:val="center"/>
          </w:tcPr>
          <w:p w14:paraId="18B041BF"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 información para determinar el monto de la oferta económica del año 1 y 15,</w:t>
            </w:r>
            <w:r w:rsidRPr="000D1C0B">
              <w:rPr>
                <w:rFonts w:ascii="Arial" w:hAnsi="Arial" w:cs="Arial"/>
                <w:sz w:val="18"/>
                <w:szCs w:val="18"/>
              </w:rPr>
              <w:t xml:space="preserve"> </w:t>
            </w:r>
            <w:r w:rsidRPr="000D1C0B">
              <w:rPr>
                <w:rFonts w:ascii="Arial" w:eastAsia="Times New Roman" w:hAnsi="Arial" w:cs="Arial"/>
                <w:color w:val="000000"/>
                <w:sz w:val="18"/>
                <w:szCs w:val="18"/>
                <w:lang w:eastAsia="es-CL"/>
              </w:rPr>
              <w:t>sobre permisos de operación de casinos de juego</w:t>
            </w:r>
          </w:p>
        </w:tc>
      </w:tr>
      <w:tr w:rsidR="004D2CCA" w:rsidRPr="000D1C0B" w14:paraId="48CB9AC9" w14:textId="77777777" w:rsidTr="00220440">
        <w:trPr>
          <w:trHeight w:val="300"/>
        </w:trPr>
        <w:tc>
          <w:tcPr>
            <w:tcW w:w="3116" w:type="dxa"/>
            <w:vMerge/>
            <w:vAlign w:val="center"/>
          </w:tcPr>
          <w:p w14:paraId="1FED29BB"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p>
        </w:tc>
        <w:tc>
          <w:tcPr>
            <w:tcW w:w="6026" w:type="dxa"/>
            <w:vAlign w:val="center"/>
          </w:tcPr>
          <w:p w14:paraId="6866BF73"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del pago anual de la oferta económica,</w:t>
            </w:r>
            <w:r w:rsidRPr="000D1C0B">
              <w:rPr>
                <w:rFonts w:ascii="Arial" w:hAnsi="Arial" w:cs="Arial"/>
                <w:sz w:val="18"/>
                <w:szCs w:val="18"/>
              </w:rPr>
              <w:t xml:space="preserve"> </w:t>
            </w:r>
            <w:r w:rsidRPr="000D1C0B">
              <w:rPr>
                <w:rFonts w:ascii="Arial" w:eastAsia="Times New Roman" w:hAnsi="Arial" w:cs="Arial"/>
                <w:color w:val="000000"/>
                <w:sz w:val="18"/>
                <w:szCs w:val="18"/>
                <w:lang w:eastAsia="es-CL"/>
              </w:rPr>
              <w:t>sobre permisos de operación de casinos de juego</w:t>
            </w:r>
          </w:p>
        </w:tc>
      </w:tr>
      <w:tr w:rsidR="004D2CCA" w:rsidRPr="000D1C0B" w14:paraId="6A8AE325" w14:textId="77777777" w:rsidTr="00220440">
        <w:trPr>
          <w:trHeight w:val="300"/>
        </w:trPr>
        <w:tc>
          <w:tcPr>
            <w:tcW w:w="3116" w:type="dxa"/>
            <w:vMerge w:val="restart"/>
            <w:vAlign w:val="center"/>
          </w:tcPr>
          <w:p w14:paraId="45FDDC19"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119</w:t>
            </w:r>
          </w:p>
        </w:tc>
        <w:tc>
          <w:tcPr>
            <w:tcW w:w="6026" w:type="dxa"/>
            <w:vAlign w:val="center"/>
          </w:tcPr>
          <w:p w14:paraId="36F18512"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 ciberseguridad</w:t>
            </w:r>
            <w:r w:rsidRPr="000D1C0B">
              <w:rPr>
                <w:rFonts w:ascii="Arial" w:eastAsia="Times New Roman" w:hAnsi="Arial" w:cs="Arial"/>
                <w:color w:val="000000"/>
                <w:sz w:val="18"/>
                <w:szCs w:val="18"/>
                <w:lang w:eastAsia="es-CL"/>
              </w:rPr>
              <w:tab/>
            </w:r>
          </w:p>
        </w:tc>
      </w:tr>
      <w:tr w:rsidR="004D2CCA" w:rsidRPr="000D1C0B" w14:paraId="68BE7641" w14:textId="77777777" w:rsidTr="00220440">
        <w:trPr>
          <w:trHeight w:val="300"/>
        </w:trPr>
        <w:tc>
          <w:tcPr>
            <w:tcW w:w="3116" w:type="dxa"/>
            <w:vMerge/>
            <w:vAlign w:val="center"/>
          </w:tcPr>
          <w:p w14:paraId="6D38F9F3"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p>
        </w:tc>
        <w:tc>
          <w:tcPr>
            <w:tcW w:w="6026" w:type="dxa"/>
            <w:vAlign w:val="center"/>
          </w:tcPr>
          <w:p w14:paraId="3DD9D49E" w14:textId="77777777" w:rsidR="004D2CCA" w:rsidRPr="000D1C0B" w:rsidRDefault="004D2CCA" w:rsidP="00220440">
            <w:pPr>
              <w:spacing w:after="0" w:line="240" w:lineRule="auto"/>
              <w:jc w:val="both"/>
              <w:rPr>
                <w:rFonts w:ascii="Arial" w:hAnsi="Arial" w:cs="Arial"/>
                <w:sz w:val="18"/>
                <w:szCs w:val="18"/>
              </w:rPr>
            </w:pPr>
            <w:r w:rsidRPr="000D1C0B">
              <w:rPr>
                <w:rFonts w:ascii="Arial" w:hAnsi="Arial" w:cs="Arial"/>
                <w:sz w:val="18"/>
                <w:szCs w:val="18"/>
              </w:rPr>
              <w:t xml:space="preserve">Notificación de reportes de </w:t>
            </w:r>
            <w:proofErr w:type="spellStart"/>
            <w:r w:rsidRPr="000D1C0B">
              <w:rPr>
                <w:rFonts w:ascii="Arial" w:hAnsi="Arial" w:cs="Arial"/>
                <w:sz w:val="18"/>
                <w:szCs w:val="18"/>
              </w:rPr>
              <w:t>ciberincidentes</w:t>
            </w:r>
            <w:proofErr w:type="spellEnd"/>
          </w:p>
        </w:tc>
      </w:tr>
      <w:tr w:rsidR="004D2CCA" w:rsidRPr="000D1C0B" w14:paraId="427CE318" w14:textId="77777777" w:rsidTr="00220440">
        <w:trPr>
          <w:trHeight w:val="237"/>
        </w:trPr>
        <w:tc>
          <w:tcPr>
            <w:tcW w:w="3116" w:type="dxa"/>
            <w:vAlign w:val="center"/>
          </w:tcPr>
          <w:p w14:paraId="6DCB990A"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121</w:t>
            </w:r>
          </w:p>
        </w:tc>
        <w:tc>
          <w:tcPr>
            <w:tcW w:w="6026" w:type="dxa"/>
            <w:vAlign w:val="center"/>
          </w:tcPr>
          <w:p w14:paraId="36BB1762" w14:textId="77777777" w:rsidR="004D2CCA" w:rsidRPr="000D1C0B" w:rsidRDefault="004D2CCA" w:rsidP="00220440">
            <w:pPr>
              <w:spacing w:after="0" w:line="240" w:lineRule="auto"/>
              <w:jc w:val="both"/>
              <w:rPr>
                <w:rFonts w:ascii="Arial" w:hAnsi="Arial" w:cs="Arial"/>
                <w:sz w:val="18"/>
                <w:szCs w:val="18"/>
              </w:rPr>
            </w:pPr>
            <w:r w:rsidRPr="000D1C0B">
              <w:rPr>
                <w:rFonts w:ascii="Arial" w:hAnsi="Arial" w:cs="Arial"/>
                <w:sz w:val="18"/>
                <w:szCs w:val="18"/>
              </w:rPr>
              <w:t>Notificación de cambios societarios</w:t>
            </w:r>
            <w:r w:rsidRPr="000D1C0B">
              <w:rPr>
                <w:rFonts w:ascii="Arial" w:eastAsia="Times New Roman" w:hAnsi="Arial" w:cs="Arial"/>
                <w:color w:val="000000"/>
                <w:sz w:val="18"/>
                <w:szCs w:val="18"/>
                <w:lang w:eastAsia="es-CL"/>
              </w:rPr>
              <w:t xml:space="preserve"> de una sociedad operadora de casino de juego que se notifican</w:t>
            </w:r>
          </w:p>
        </w:tc>
      </w:tr>
      <w:tr w:rsidR="004D2CCA" w:rsidRPr="000D1C0B" w14:paraId="0EDB5629" w14:textId="77777777" w:rsidTr="00220440">
        <w:trPr>
          <w:trHeight w:val="390"/>
        </w:trPr>
        <w:tc>
          <w:tcPr>
            <w:tcW w:w="3116" w:type="dxa"/>
            <w:vMerge w:val="restart"/>
            <w:vAlign w:val="center"/>
          </w:tcPr>
          <w:p w14:paraId="4C20D70D"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125</w:t>
            </w:r>
          </w:p>
        </w:tc>
        <w:tc>
          <w:tcPr>
            <w:tcW w:w="6026" w:type="dxa"/>
            <w:vAlign w:val="center"/>
          </w:tcPr>
          <w:p w14:paraId="22E6E491"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 información de entrega de valores entre el casino y jugadores</w:t>
            </w:r>
          </w:p>
        </w:tc>
      </w:tr>
      <w:tr w:rsidR="004D2CCA" w:rsidRPr="000D1C0B" w14:paraId="36E0A480" w14:textId="77777777" w:rsidTr="00220440">
        <w:trPr>
          <w:trHeight w:val="390"/>
        </w:trPr>
        <w:tc>
          <w:tcPr>
            <w:tcW w:w="3116" w:type="dxa"/>
            <w:vMerge/>
            <w:vAlign w:val="center"/>
          </w:tcPr>
          <w:p w14:paraId="0F852150"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p>
        </w:tc>
        <w:tc>
          <w:tcPr>
            <w:tcW w:w="6026" w:type="dxa"/>
            <w:vAlign w:val="center"/>
          </w:tcPr>
          <w:p w14:paraId="015BB94E"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hAnsi="Arial" w:cs="Arial"/>
                <w:sz w:val="18"/>
                <w:szCs w:val="18"/>
              </w:rPr>
              <w:t>Notificación de procedimientos operativos</w:t>
            </w:r>
          </w:p>
        </w:tc>
      </w:tr>
      <w:tr w:rsidR="00AF0362" w:rsidRPr="000D1C0B" w14:paraId="208F4E56" w14:textId="77777777" w:rsidTr="00220440">
        <w:trPr>
          <w:trHeight w:val="390"/>
        </w:trPr>
        <w:tc>
          <w:tcPr>
            <w:tcW w:w="3116" w:type="dxa"/>
            <w:vAlign w:val="center"/>
          </w:tcPr>
          <w:p w14:paraId="68E14CDA" w14:textId="0D2FC2EC" w:rsidR="00AF0362" w:rsidRPr="000D1C0B" w:rsidRDefault="00AF0362"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126</w:t>
            </w:r>
          </w:p>
        </w:tc>
        <w:tc>
          <w:tcPr>
            <w:tcW w:w="6026" w:type="dxa"/>
            <w:vAlign w:val="center"/>
          </w:tcPr>
          <w:p w14:paraId="264E2FDF" w14:textId="18A0644D" w:rsidR="00AF0362" w:rsidRPr="000D1C0B" w:rsidRDefault="00AF0362" w:rsidP="00220440">
            <w:pPr>
              <w:spacing w:after="0" w:line="240" w:lineRule="auto"/>
              <w:jc w:val="both"/>
              <w:rPr>
                <w:rFonts w:ascii="Arial" w:hAnsi="Arial" w:cs="Arial"/>
                <w:sz w:val="18"/>
                <w:szCs w:val="18"/>
              </w:rPr>
            </w:pPr>
            <w:r w:rsidRPr="000D1C0B">
              <w:rPr>
                <w:rFonts w:ascii="Arial" w:hAnsi="Arial" w:cs="Arial"/>
                <w:sz w:val="18"/>
                <w:szCs w:val="18"/>
              </w:rPr>
              <w:t>Notificación de infraestructura</w:t>
            </w:r>
          </w:p>
        </w:tc>
      </w:tr>
      <w:tr w:rsidR="004D2CCA" w:rsidRPr="000D1C0B" w14:paraId="179B6383" w14:textId="77777777" w:rsidTr="00220440">
        <w:trPr>
          <w:trHeight w:val="390"/>
        </w:trPr>
        <w:tc>
          <w:tcPr>
            <w:tcW w:w="3116" w:type="dxa"/>
            <w:vMerge w:val="restart"/>
            <w:vAlign w:val="center"/>
          </w:tcPr>
          <w:p w14:paraId="6313A10F" w14:textId="77777777" w:rsidR="004D2CCA" w:rsidRPr="000D1C0B" w:rsidRDefault="004D2CCA" w:rsidP="00220440">
            <w:pPr>
              <w:numPr>
                <w:ilvl w:val="0"/>
                <w:numId w:val="20"/>
              </w:numPr>
              <w:spacing w:after="0" w:line="240" w:lineRule="auto"/>
              <w:ind w:left="360"/>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127</w:t>
            </w:r>
          </w:p>
        </w:tc>
        <w:tc>
          <w:tcPr>
            <w:tcW w:w="6026" w:type="dxa"/>
            <w:vAlign w:val="center"/>
          </w:tcPr>
          <w:p w14:paraId="0316AA99"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 información financiera de sociedades operadoras</w:t>
            </w:r>
          </w:p>
        </w:tc>
      </w:tr>
      <w:tr w:rsidR="004D2CCA" w:rsidRPr="000D1C0B" w14:paraId="22333C69" w14:textId="77777777" w:rsidTr="00220440">
        <w:trPr>
          <w:trHeight w:val="390"/>
        </w:trPr>
        <w:tc>
          <w:tcPr>
            <w:tcW w:w="3116" w:type="dxa"/>
            <w:vMerge/>
            <w:vAlign w:val="center"/>
          </w:tcPr>
          <w:p w14:paraId="3F454759" w14:textId="77777777" w:rsidR="004D2CCA" w:rsidRPr="000D1C0B" w:rsidRDefault="004D2CCA" w:rsidP="00220440">
            <w:pPr>
              <w:numPr>
                <w:ilvl w:val="0"/>
                <w:numId w:val="20"/>
              </w:numPr>
              <w:spacing w:after="0" w:line="240" w:lineRule="auto"/>
              <w:ind w:left="360"/>
              <w:rPr>
                <w:rFonts w:ascii="Arial" w:eastAsia="Times New Roman" w:hAnsi="Arial" w:cs="Arial"/>
                <w:color w:val="000000"/>
                <w:sz w:val="18"/>
                <w:szCs w:val="18"/>
                <w:lang w:eastAsia="es-CL"/>
              </w:rPr>
            </w:pPr>
          </w:p>
        </w:tc>
        <w:tc>
          <w:tcPr>
            <w:tcW w:w="6026" w:type="dxa"/>
            <w:vAlign w:val="center"/>
          </w:tcPr>
          <w:p w14:paraId="5FCEF8FF" w14:textId="77777777" w:rsidR="004D2CCA" w:rsidRPr="000D1C0B" w:rsidRDefault="004D2CCA" w:rsidP="00220440">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Notificación de información financiera de sociedades concesionarias</w:t>
            </w:r>
          </w:p>
        </w:tc>
      </w:tr>
    </w:tbl>
    <w:p w14:paraId="66E5F580" w14:textId="77777777" w:rsidR="004D2CCA" w:rsidRPr="000D1C0B" w:rsidRDefault="004D2CCA" w:rsidP="004D2CCA">
      <w:pPr>
        <w:spacing w:line="240" w:lineRule="auto"/>
        <w:rPr>
          <w:rFonts w:ascii="Arial" w:hAnsi="Arial" w:cs="Arial"/>
          <w:spacing w:val="-3"/>
          <w:sz w:val="18"/>
          <w:szCs w:val="18"/>
          <w:u w:val="single"/>
        </w:rPr>
      </w:pPr>
    </w:p>
    <w:p w14:paraId="1DA661DF" w14:textId="1FE72641" w:rsidR="00281A8A" w:rsidRPr="000D1C0B" w:rsidRDefault="00281A8A" w:rsidP="00281A8A">
      <w:pPr>
        <w:spacing w:after="0" w:line="240" w:lineRule="auto"/>
        <w:jc w:val="both"/>
        <w:rPr>
          <w:rFonts w:ascii="Arial" w:hAnsi="Arial" w:cs="Arial"/>
          <w:bCs/>
          <w:spacing w:val="-3"/>
          <w:sz w:val="18"/>
          <w:szCs w:val="18"/>
        </w:rPr>
      </w:pPr>
      <w:r w:rsidRPr="000D1C0B">
        <w:rPr>
          <w:rFonts w:ascii="Arial" w:hAnsi="Arial" w:cs="Arial"/>
          <w:bCs/>
          <w:spacing w:val="-3"/>
          <w:sz w:val="18"/>
          <w:szCs w:val="18"/>
        </w:rPr>
        <w:t>Además, se hace presente que, para las notificaciones</w:t>
      </w:r>
      <w:r w:rsidR="008849D7" w:rsidRPr="000D1C0B">
        <w:rPr>
          <w:rFonts w:ascii="Arial" w:hAnsi="Arial" w:cs="Arial"/>
          <w:bCs/>
          <w:spacing w:val="-3"/>
          <w:sz w:val="18"/>
          <w:szCs w:val="18"/>
        </w:rPr>
        <w:t xml:space="preserve"> individualizadas a continuación</w:t>
      </w:r>
      <w:r w:rsidRPr="000D1C0B">
        <w:rPr>
          <w:rFonts w:ascii="Arial" w:hAnsi="Arial" w:cs="Arial"/>
          <w:bCs/>
          <w:spacing w:val="-3"/>
          <w:sz w:val="18"/>
          <w:szCs w:val="18"/>
        </w:rPr>
        <w:t xml:space="preserve">, se elimina la instancia </w:t>
      </w:r>
      <w:r w:rsidR="008849D7" w:rsidRPr="000D1C0B">
        <w:rPr>
          <w:rFonts w:ascii="Arial" w:hAnsi="Arial" w:cs="Arial"/>
          <w:bCs/>
          <w:spacing w:val="-3"/>
          <w:sz w:val="18"/>
          <w:szCs w:val="18"/>
        </w:rPr>
        <w:t>de</w:t>
      </w:r>
      <w:r w:rsidRPr="000D1C0B">
        <w:rPr>
          <w:rFonts w:ascii="Arial" w:hAnsi="Arial" w:cs="Arial"/>
          <w:bCs/>
          <w:spacing w:val="-3"/>
          <w:sz w:val="18"/>
          <w:szCs w:val="18"/>
        </w:rPr>
        <w:t xml:space="preserve"> informa</w:t>
      </w:r>
      <w:r w:rsidR="008849D7" w:rsidRPr="000D1C0B">
        <w:rPr>
          <w:rFonts w:ascii="Arial" w:hAnsi="Arial" w:cs="Arial"/>
          <w:bCs/>
          <w:spacing w:val="-3"/>
          <w:sz w:val="18"/>
          <w:szCs w:val="18"/>
        </w:rPr>
        <w:t>r</w:t>
      </w:r>
      <w:r w:rsidRPr="000D1C0B">
        <w:rPr>
          <w:rFonts w:ascii="Arial" w:hAnsi="Arial" w:cs="Arial"/>
          <w:bCs/>
          <w:spacing w:val="-3"/>
          <w:sz w:val="18"/>
          <w:szCs w:val="18"/>
        </w:rPr>
        <w:t xml:space="preserve"> previamente los cambios que se pretend</w:t>
      </w:r>
      <w:r w:rsidR="00FE447A" w:rsidRPr="000D1C0B">
        <w:rPr>
          <w:rFonts w:ascii="Arial" w:hAnsi="Arial" w:cs="Arial"/>
          <w:bCs/>
          <w:spacing w:val="-3"/>
          <w:sz w:val="18"/>
          <w:szCs w:val="18"/>
        </w:rPr>
        <w:t>e</w:t>
      </w:r>
      <w:r w:rsidRPr="000D1C0B">
        <w:rPr>
          <w:rFonts w:ascii="Arial" w:hAnsi="Arial" w:cs="Arial"/>
          <w:bCs/>
          <w:spacing w:val="-3"/>
          <w:sz w:val="18"/>
          <w:szCs w:val="18"/>
        </w:rPr>
        <w:t xml:space="preserve"> implementar, por lo que solo se </w:t>
      </w:r>
      <w:r w:rsidR="00FE447A" w:rsidRPr="000D1C0B">
        <w:rPr>
          <w:rFonts w:ascii="Arial" w:hAnsi="Arial" w:cs="Arial"/>
          <w:bCs/>
          <w:spacing w:val="-3"/>
          <w:sz w:val="18"/>
          <w:szCs w:val="18"/>
        </w:rPr>
        <w:t xml:space="preserve">debe </w:t>
      </w:r>
      <w:r w:rsidRPr="000D1C0B">
        <w:rPr>
          <w:rFonts w:ascii="Arial" w:hAnsi="Arial" w:cs="Arial"/>
          <w:bCs/>
          <w:spacing w:val="-3"/>
          <w:sz w:val="18"/>
          <w:szCs w:val="18"/>
        </w:rPr>
        <w:t>realiza</w:t>
      </w:r>
      <w:r w:rsidR="00FE447A" w:rsidRPr="000D1C0B">
        <w:rPr>
          <w:rFonts w:ascii="Arial" w:hAnsi="Arial" w:cs="Arial"/>
          <w:bCs/>
          <w:spacing w:val="-3"/>
          <w:sz w:val="18"/>
          <w:szCs w:val="18"/>
        </w:rPr>
        <w:t>r</w:t>
      </w:r>
      <w:r w:rsidRPr="000D1C0B">
        <w:rPr>
          <w:rFonts w:ascii="Arial" w:hAnsi="Arial" w:cs="Arial"/>
          <w:bCs/>
          <w:spacing w:val="-3"/>
          <w:sz w:val="18"/>
          <w:szCs w:val="18"/>
        </w:rPr>
        <w:t xml:space="preserve"> la notificación una vez materializadas las modificaciones:</w:t>
      </w:r>
    </w:p>
    <w:p w14:paraId="4D685E66" w14:textId="77777777" w:rsidR="004F055B" w:rsidRPr="000D1C0B" w:rsidRDefault="004F055B" w:rsidP="00281A8A">
      <w:pPr>
        <w:spacing w:after="0" w:line="240" w:lineRule="auto"/>
        <w:jc w:val="both"/>
        <w:rPr>
          <w:rFonts w:ascii="Arial" w:hAnsi="Arial" w:cs="Arial"/>
          <w:bCs/>
          <w:spacing w:val="-3"/>
          <w:sz w:val="18"/>
          <w:szCs w:val="18"/>
        </w:rPr>
      </w:pPr>
    </w:p>
    <w:p w14:paraId="3BB07D0D" w14:textId="004BF9D0" w:rsidR="00FE447A" w:rsidRPr="000D1C0B" w:rsidRDefault="00FE447A" w:rsidP="00FE447A">
      <w:pPr>
        <w:spacing w:after="0" w:line="240" w:lineRule="auto"/>
        <w:jc w:val="center"/>
        <w:rPr>
          <w:rFonts w:ascii="Arial" w:hAnsi="Arial" w:cs="Arial"/>
          <w:spacing w:val="-3"/>
          <w:sz w:val="18"/>
          <w:szCs w:val="18"/>
          <w:u w:val="single"/>
        </w:rPr>
      </w:pPr>
      <w:r w:rsidRPr="000D1C0B">
        <w:rPr>
          <w:rFonts w:ascii="Arial" w:hAnsi="Arial" w:cs="Arial"/>
          <w:spacing w:val="-3"/>
          <w:sz w:val="18"/>
          <w:szCs w:val="18"/>
          <w:u w:val="single"/>
        </w:rPr>
        <w:t>Cuadro N°</w:t>
      </w:r>
      <w:r w:rsidR="007509D6" w:rsidRPr="000D1C0B">
        <w:rPr>
          <w:rFonts w:ascii="Arial" w:hAnsi="Arial" w:cs="Arial"/>
          <w:spacing w:val="-3"/>
          <w:sz w:val="18"/>
          <w:szCs w:val="18"/>
          <w:u w:val="single"/>
        </w:rPr>
        <w:t>2</w:t>
      </w:r>
      <w:r w:rsidRPr="000D1C0B">
        <w:rPr>
          <w:rFonts w:ascii="Arial" w:hAnsi="Arial" w:cs="Arial"/>
          <w:spacing w:val="-3"/>
          <w:sz w:val="18"/>
          <w:szCs w:val="18"/>
          <w:u w:val="single"/>
        </w:rPr>
        <w:t>: Lista de circulares y notificaciones – casos especiales</w:t>
      </w:r>
    </w:p>
    <w:p w14:paraId="05729AA7" w14:textId="77777777" w:rsidR="00FE447A" w:rsidRPr="000D1C0B" w:rsidRDefault="00FE447A" w:rsidP="00281A8A">
      <w:pPr>
        <w:spacing w:after="0" w:line="240" w:lineRule="auto"/>
        <w:jc w:val="both"/>
        <w:rPr>
          <w:rFonts w:ascii="Arial" w:hAnsi="Arial" w:cs="Arial"/>
          <w:spacing w:val="-3"/>
          <w:sz w:val="18"/>
          <w:szCs w:val="18"/>
          <w:u w:val="single"/>
        </w:rPr>
      </w:pPr>
    </w:p>
    <w:tbl>
      <w:tblPr>
        <w:tblStyle w:val="Tablaconcuadrcula1"/>
        <w:tblW w:w="9142"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ook w:val="04A0" w:firstRow="1" w:lastRow="0" w:firstColumn="1" w:lastColumn="0" w:noHBand="0" w:noVBand="1"/>
      </w:tblPr>
      <w:tblGrid>
        <w:gridCol w:w="1980"/>
        <w:gridCol w:w="7162"/>
      </w:tblGrid>
      <w:tr w:rsidR="00FE447A" w:rsidRPr="000D1C0B" w14:paraId="56FD4196" w14:textId="77777777" w:rsidTr="002564DD">
        <w:trPr>
          <w:trHeight w:val="300"/>
          <w:tblHeader/>
        </w:trPr>
        <w:tc>
          <w:tcPr>
            <w:tcW w:w="1980" w:type="dxa"/>
            <w:shd w:val="clear" w:color="auto" w:fill="D9E2F3" w:themeFill="accent1" w:themeFillTint="33"/>
            <w:vAlign w:val="center"/>
          </w:tcPr>
          <w:p w14:paraId="78ECDCCA" w14:textId="77777777" w:rsidR="00FE447A" w:rsidRPr="000D1C0B" w:rsidRDefault="00FE447A" w:rsidP="002564DD">
            <w:pPr>
              <w:spacing w:after="0" w:line="240" w:lineRule="auto"/>
              <w:ind w:left="360"/>
              <w:rPr>
                <w:rFonts w:ascii="Arial" w:eastAsia="Times New Roman" w:hAnsi="Arial" w:cs="Arial"/>
                <w:b/>
                <w:bCs/>
                <w:sz w:val="18"/>
                <w:szCs w:val="18"/>
                <w:lang w:eastAsia="es-CL"/>
              </w:rPr>
            </w:pPr>
            <w:r w:rsidRPr="000D1C0B">
              <w:rPr>
                <w:rFonts w:ascii="Arial" w:eastAsia="Times New Roman" w:hAnsi="Arial" w:cs="Arial"/>
                <w:b/>
                <w:bCs/>
                <w:sz w:val="18"/>
                <w:szCs w:val="18"/>
                <w:lang w:eastAsia="es-CL"/>
              </w:rPr>
              <w:t xml:space="preserve">Circular </w:t>
            </w:r>
          </w:p>
        </w:tc>
        <w:tc>
          <w:tcPr>
            <w:tcW w:w="7162" w:type="dxa"/>
            <w:shd w:val="clear" w:color="auto" w:fill="D9E2F3" w:themeFill="accent1" w:themeFillTint="33"/>
            <w:vAlign w:val="center"/>
          </w:tcPr>
          <w:p w14:paraId="31DF1A35" w14:textId="77777777" w:rsidR="00FE447A" w:rsidRPr="000D1C0B" w:rsidRDefault="00FE447A" w:rsidP="002564DD">
            <w:pPr>
              <w:spacing w:after="0" w:line="240" w:lineRule="auto"/>
              <w:rPr>
                <w:rFonts w:ascii="Arial" w:hAnsi="Arial" w:cs="Arial"/>
                <w:b/>
                <w:bCs/>
                <w:sz w:val="18"/>
                <w:szCs w:val="18"/>
              </w:rPr>
            </w:pPr>
            <w:r w:rsidRPr="000D1C0B">
              <w:rPr>
                <w:rFonts w:ascii="Arial" w:hAnsi="Arial" w:cs="Arial"/>
                <w:b/>
                <w:bCs/>
                <w:sz w:val="18"/>
                <w:szCs w:val="18"/>
              </w:rPr>
              <w:t>Notificaciones</w:t>
            </w:r>
          </w:p>
        </w:tc>
      </w:tr>
      <w:tr w:rsidR="00FE447A" w:rsidRPr="000D1C0B" w14:paraId="2184F93D" w14:textId="77777777" w:rsidTr="00473025">
        <w:trPr>
          <w:trHeight w:val="300"/>
        </w:trPr>
        <w:tc>
          <w:tcPr>
            <w:tcW w:w="1980" w:type="dxa"/>
          </w:tcPr>
          <w:p w14:paraId="4CCA0BA1" w14:textId="631FF581" w:rsidR="00E91C36" w:rsidRPr="000D1C0B" w:rsidRDefault="00E91C36" w:rsidP="00FE447A">
            <w:pPr>
              <w:numPr>
                <w:ilvl w:val="0"/>
                <w:numId w:val="20"/>
              </w:numPr>
              <w:spacing w:after="0" w:line="240" w:lineRule="auto"/>
              <w:ind w:left="360"/>
              <w:rPr>
                <w:rFonts w:ascii="Arial" w:hAnsi="Arial" w:cs="Arial"/>
                <w:sz w:val="18"/>
                <w:szCs w:val="18"/>
              </w:rPr>
            </w:pPr>
            <w:r w:rsidRPr="000D1C0B">
              <w:rPr>
                <w:rFonts w:ascii="Arial" w:eastAsia="Times New Roman" w:hAnsi="Arial" w:cs="Arial"/>
                <w:color w:val="000000"/>
                <w:sz w:val="18"/>
                <w:szCs w:val="18"/>
                <w:lang w:eastAsia="es-CL"/>
              </w:rPr>
              <w:t>Circular 33 (modificada por la Circular 104)</w:t>
            </w:r>
          </w:p>
        </w:tc>
        <w:tc>
          <w:tcPr>
            <w:tcW w:w="7162" w:type="dxa"/>
          </w:tcPr>
          <w:p w14:paraId="16AE515D" w14:textId="5826F8BA" w:rsidR="00FE447A" w:rsidRPr="000D1C0B" w:rsidRDefault="00FE447A" w:rsidP="00FE447A">
            <w:pPr>
              <w:spacing w:after="0" w:line="240" w:lineRule="auto"/>
              <w:rPr>
                <w:rFonts w:ascii="Arial" w:hAnsi="Arial" w:cs="Arial"/>
                <w:sz w:val="18"/>
                <w:szCs w:val="18"/>
              </w:rPr>
            </w:pPr>
          </w:p>
          <w:p w14:paraId="7E2D0E27" w14:textId="7C0B4AD9" w:rsidR="00D80A49" w:rsidRPr="000D1C0B" w:rsidRDefault="00D80A49" w:rsidP="00FE447A">
            <w:pPr>
              <w:spacing w:after="0" w:line="240" w:lineRule="auto"/>
              <w:rPr>
                <w:rFonts w:ascii="Arial" w:eastAsia="Times New Roman" w:hAnsi="Arial" w:cs="Arial"/>
                <w:sz w:val="18"/>
                <w:szCs w:val="18"/>
                <w:lang w:eastAsia="es-CL"/>
              </w:rPr>
            </w:pPr>
            <w:r w:rsidRPr="000D1C0B">
              <w:rPr>
                <w:rFonts w:ascii="Arial" w:eastAsia="Times New Roman" w:hAnsi="Arial" w:cs="Arial"/>
                <w:color w:val="000000"/>
                <w:sz w:val="18"/>
                <w:szCs w:val="18"/>
                <w:lang w:eastAsia="es-CL"/>
              </w:rPr>
              <w:t>Notificación de máquinas de azar, mesas y bingo del parque de juego</w:t>
            </w:r>
            <w:r w:rsidRPr="000D1C0B">
              <w:rPr>
                <w:rStyle w:val="Refdenotaalpie"/>
                <w:rFonts w:ascii="Arial" w:eastAsia="Times New Roman" w:hAnsi="Arial" w:cs="Arial"/>
                <w:color w:val="000000"/>
                <w:sz w:val="18"/>
                <w:szCs w:val="18"/>
                <w:lang w:eastAsia="es-CL"/>
              </w:rPr>
              <w:footnoteReference w:id="3"/>
            </w:r>
          </w:p>
        </w:tc>
      </w:tr>
      <w:tr w:rsidR="00D80A49" w:rsidRPr="000D1C0B" w14:paraId="78330F79" w14:textId="77777777" w:rsidTr="00473025">
        <w:trPr>
          <w:trHeight w:val="300"/>
        </w:trPr>
        <w:tc>
          <w:tcPr>
            <w:tcW w:w="1980" w:type="dxa"/>
          </w:tcPr>
          <w:p w14:paraId="51FD0B4D" w14:textId="4E3F09F8" w:rsidR="00D80A49" w:rsidRPr="000D1C0B" w:rsidRDefault="00D80A49" w:rsidP="00D80A49">
            <w:pPr>
              <w:numPr>
                <w:ilvl w:val="0"/>
                <w:numId w:val="20"/>
              </w:numPr>
              <w:spacing w:after="0" w:line="240" w:lineRule="auto"/>
              <w:ind w:left="360"/>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94</w:t>
            </w:r>
          </w:p>
        </w:tc>
        <w:tc>
          <w:tcPr>
            <w:tcW w:w="7162" w:type="dxa"/>
          </w:tcPr>
          <w:p w14:paraId="73A7674E" w14:textId="636E5512" w:rsidR="00D80A49" w:rsidRPr="000D1C0B" w:rsidRDefault="00D80A49" w:rsidP="00D80A49">
            <w:pPr>
              <w:spacing w:after="0" w:line="240" w:lineRule="auto"/>
              <w:rPr>
                <w:rFonts w:ascii="Arial" w:hAnsi="Arial" w:cs="Arial"/>
                <w:sz w:val="18"/>
                <w:szCs w:val="18"/>
              </w:rPr>
            </w:pPr>
            <w:r w:rsidRPr="000D1C0B">
              <w:rPr>
                <w:rFonts w:ascii="Arial" w:hAnsi="Arial" w:cs="Arial"/>
                <w:sz w:val="18"/>
                <w:szCs w:val="18"/>
              </w:rPr>
              <w:t>Notificación de sistema CCTV</w:t>
            </w:r>
          </w:p>
        </w:tc>
      </w:tr>
      <w:tr w:rsidR="00D80A49" w:rsidRPr="000D1C0B" w14:paraId="228688DC" w14:textId="77777777" w:rsidTr="00473025">
        <w:trPr>
          <w:trHeight w:val="300"/>
        </w:trPr>
        <w:tc>
          <w:tcPr>
            <w:tcW w:w="1980" w:type="dxa"/>
          </w:tcPr>
          <w:p w14:paraId="055A516F" w14:textId="273B21B1" w:rsidR="00D80A49" w:rsidRPr="000D1C0B" w:rsidRDefault="00D80A49" w:rsidP="00D80A49">
            <w:pPr>
              <w:numPr>
                <w:ilvl w:val="0"/>
                <w:numId w:val="20"/>
              </w:numPr>
              <w:spacing w:after="0" w:line="240" w:lineRule="auto"/>
              <w:ind w:left="360"/>
              <w:rPr>
                <w:rFonts w:ascii="Arial" w:eastAsia="Times New Roman" w:hAnsi="Arial" w:cs="Arial"/>
                <w:sz w:val="18"/>
                <w:szCs w:val="18"/>
                <w:lang w:eastAsia="es-CL"/>
              </w:rPr>
            </w:pPr>
            <w:r w:rsidRPr="000D1C0B">
              <w:rPr>
                <w:rFonts w:ascii="Arial" w:eastAsia="Times New Roman" w:hAnsi="Arial" w:cs="Arial"/>
                <w:color w:val="000000"/>
                <w:sz w:val="18"/>
                <w:szCs w:val="18"/>
                <w:lang w:eastAsia="es-CL"/>
              </w:rPr>
              <w:t>Circular</w:t>
            </w:r>
            <w:r w:rsidRPr="000D1C0B">
              <w:rPr>
                <w:rFonts w:ascii="Arial" w:hAnsi="Arial" w:cs="Arial"/>
                <w:sz w:val="18"/>
                <w:szCs w:val="18"/>
              </w:rPr>
              <w:t xml:space="preserve"> 106</w:t>
            </w:r>
          </w:p>
        </w:tc>
        <w:tc>
          <w:tcPr>
            <w:tcW w:w="7162" w:type="dxa"/>
          </w:tcPr>
          <w:p w14:paraId="74F2D29B" w14:textId="60762D45" w:rsidR="00D80A49" w:rsidRPr="000D1C0B" w:rsidRDefault="00D80A49" w:rsidP="00D80A49">
            <w:pPr>
              <w:spacing w:after="0" w:line="240" w:lineRule="auto"/>
              <w:rPr>
                <w:rFonts w:ascii="Arial" w:eastAsia="Times New Roman" w:hAnsi="Arial" w:cs="Arial"/>
                <w:sz w:val="18"/>
                <w:szCs w:val="18"/>
                <w:lang w:eastAsia="es-CL"/>
              </w:rPr>
            </w:pPr>
            <w:r w:rsidRPr="000D1C0B">
              <w:rPr>
                <w:rFonts w:ascii="Arial" w:eastAsia="Times New Roman" w:hAnsi="Arial" w:cs="Arial"/>
                <w:color w:val="000000"/>
                <w:sz w:val="18"/>
                <w:szCs w:val="18"/>
                <w:lang w:eastAsia="es-CL"/>
              </w:rPr>
              <w:t>Notificación de actualización o cambios del SMC</w:t>
            </w:r>
          </w:p>
        </w:tc>
      </w:tr>
    </w:tbl>
    <w:p w14:paraId="021FF402" w14:textId="77777777" w:rsidR="00C7575E" w:rsidRPr="000D1C0B" w:rsidRDefault="00C7575E" w:rsidP="003D7623">
      <w:pPr>
        <w:spacing w:after="0" w:line="240" w:lineRule="auto"/>
        <w:jc w:val="both"/>
        <w:rPr>
          <w:rFonts w:ascii="Arial" w:hAnsi="Arial" w:cs="Arial"/>
          <w:b/>
          <w:spacing w:val="-3"/>
          <w:sz w:val="18"/>
          <w:szCs w:val="18"/>
        </w:rPr>
        <w:sectPr w:rsidR="00C7575E" w:rsidRPr="000D1C0B" w:rsidSect="00FE3E9B">
          <w:footerReference w:type="default" r:id="rId8"/>
          <w:pgSz w:w="12242" w:h="18722" w:code="14"/>
          <w:pgMar w:top="1644" w:right="1644" w:bottom="1644" w:left="1644" w:header="709" w:footer="709" w:gutter="0"/>
          <w:cols w:space="708"/>
          <w:docGrid w:linePitch="360"/>
        </w:sectPr>
      </w:pPr>
    </w:p>
    <w:p w14:paraId="055459FC" w14:textId="393251F8" w:rsidR="00CA7C46" w:rsidRPr="000D1C0B" w:rsidRDefault="00CA7C46" w:rsidP="00C033AD">
      <w:pPr>
        <w:pStyle w:val="Ttulo1"/>
        <w:numPr>
          <w:ilvl w:val="0"/>
          <w:numId w:val="43"/>
        </w:numPr>
        <w:jc w:val="left"/>
        <w:rPr>
          <w:b w:val="0"/>
          <w:bCs/>
          <w:sz w:val="18"/>
          <w:szCs w:val="18"/>
        </w:rPr>
      </w:pPr>
      <w:r w:rsidRPr="000D1C0B">
        <w:rPr>
          <w:sz w:val="18"/>
          <w:szCs w:val="18"/>
        </w:rPr>
        <w:lastRenderedPageBreak/>
        <w:t>PLAZOS</w:t>
      </w:r>
    </w:p>
    <w:p w14:paraId="5A7F67A4" w14:textId="6A1F481E" w:rsidR="00CA7C46" w:rsidRPr="000D1C0B" w:rsidRDefault="00CA7C46" w:rsidP="00CA7C46">
      <w:pPr>
        <w:spacing w:after="0" w:line="240" w:lineRule="auto"/>
        <w:jc w:val="both"/>
        <w:rPr>
          <w:rFonts w:ascii="Arial" w:hAnsi="Arial" w:cs="Arial"/>
          <w:b/>
          <w:spacing w:val="-3"/>
          <w:sz w:val="18"/>
          <w:szCs w:val="18"/>
        </w:rPr>
      </w:pPr>
    </w:p>
    <w:p w14:paraId="5C9CD490" w14:textId="3E923AB5" w:rsidR="00353266" w:rsidRPr="000D1C0B" w:rsidRDefault="00353266" w:rsidP="00353266">
      <w:pPr>
        <w:spacing w:after="0" w:line="240" w:lineRule="auto"/>
        <w:jc w:val="both"/>
        <w:rPr>
          <w:rFonts w:ascii="Arial" w:hAnsi="Arial" w:cs="Arial"/>
          <w:bCs/>
          <w:spacing w:val="-3"/>
          <w:sz w:val="18"/>
          <w:szCs w:val="18"/>
        </w:rPr>
      </w:pPr>
      <w:r w:rsidRPr="000D1C0B">
        <w:rPr>
          <w:rFonts w:ascii="Arial" w:hAnsi="Arial" w:cs="Arial"/>
          <w:spacing w:val="-3"/>
          <w:sz w:val="18"/>
          <w:szCs w:val="18"/>
        </w:rPr>
        <w:t xml:space="preserve">Que, para efecto de unificar la normativa en materia de notificaciones, </w:t>
      </w:r>
      <w:r w:rsidR="003222AB" w:rsidRPr="000D1C0B">
        <w:rPr>
          <w:rFonts w:ascii="Arial" w:hAnsi="Arial" w:cs="Arial"/>
          <w:spacing w:val="-3"/>
          <w:sz w:val="18"/>
          <w:szCs w:val="18"/>
        </w:rPr>
        <w:t xml:space="preserve">a partir de la vigencia de la presente circular, </w:t>
      </w:r>
      <w:r w:rsidRPr="000D1C0B">
        <w:rPr>
          <w:rFonts w:ascii="Arial" w:hAnsi="Arial" w:cs="Arial"/>
          <w:spacing w:val="-3"/>
          <w:sz w:val="18"/>
          <w:szCs w:val="18"/>
        </w:rPr>
        <w:t xml:space="preserve">los plazos serán de días hábiles, </w:t>
      </w:r>
      <w:r w:rsidR="00B43CAE" w:rsidRPr="000D1C0B">
        <w:rPr>
          <w:rFonts w:ascii="Arial" w:hAnsi="Arial" w:cs="Arial"/>
          <w:spacing w:val="-3"/>
          <w:sz w:val="18"/>
          <w:szCs w:val="18"/>
        </w:rPr>
        <w:t>según las reglas</w:t>
      </w:r>
      <w:r w:rsidR="007704CF" w:rsidRPr="000D1C0B">
        <w:rPr>
          <w:rFonts w:ascii="Arial" w:hAnsi="Arial" w:cs="Arial"/>
          <w:spacing w:val="-3"/>
          <w:sz w:val="18"/>
          <w:szCs w:val="18"/>
        </w:rPr>
        <w:t xml:space="preserve"> contenidas en la Ley </w:t>
      </w:r>
      <w:proofErr w:type="spellStart"/>
      <w:r w:rsidR="00EA43EF" w:rsidRPr="000D1C0B">
        <w:rPr>
          <w:rFonts w:ascii="Arial" w:hAnsi="Arial" w:cs="Arial"/>
          <w:spacing w:val="-3"/>
          <w:sz w:val="18"/>
          <w:szCs w:val="18"/>
        </w:rPr>
        <w:t>N°</w:t>
      </w:r>
      <w:proofErr w:type="spellEnd"/>
      <w:r w:rsidR="00EA43EF" w:rsidRPr="000D1C0B">
        <w:rPr>
          <w:rFonts w:ascii="Arial" w:hAnsi="Arial" w:cs="Arial"/>
          <w:spacing w:val="-3"/>
          <w:sz w:val="18"/>
          <w:szCs w:val="18"/>
        </w:rPr>
        <w:t xml:space="preserve"> 19.880</w:t>
      </w:r>
      <w:r w:rsidR="00A76EFB" w:rsidRPr="000D1C0B">
        <w:rPr>
          <w:rFonts w:ascii="Arial" w:hAnsi="Arial" w:cs="Arial"/>
          <w:spacing w:val="-3"/>
          <w:sz w:val="18"/>
          <w:szCs w:val="18"/>
        </w:rPr>
        <w:t>, que establece las bases de los procedimientos administrativos que rigen los actos de los órganos de la administración del Estado</w:t>
      </w:r>
      <w:r w:rsidRPr="000D1C0B">
        <w:rPr>
          <w:rFonts w:ascii="Arial" w:hAnsi="Arial" w:cs="Arial"/>
          <w:spacing w:val="-3"/>
          <w:sz w:val="18"/>
          <w:szCs w:val="18"/>
        </w:rPr>
        <w:t>. En consecuencia,</w:t>
      </w:r>
      <w:r w:rsidRPr="000D1C0B">
        <w:rPr>
          <w:rFonts w:ascii="Arial" w:hAnsi="Arial" w:cs="Arial"/>
          <w:bCs/>
          <w:spacing w:val="-3"/>
          <w:sz w:val="18"/>
          <w:szCs w:val="18"/>
        </w:rPr>
        <w:t xml:space="preserve"> las notificaciones deberán ser presentadas en los siguientes términos:</w:t>
      </w:r>
    </w:p>
    <w:p w14:paraId="7FC6EA07" w14:textId="77777777" w:rsidR="007509D6" w:rsidRPr="000D1C0B" w:rsidRDefault="007509D6" w:rsidP="007509D6">
      <w:pPr>
        <w:spacing w:after="0" w:line="240" w:lineRule="auto"/>
        <w:jc w:val="center"/>
        <w:rPr>
          <w:rFonts w:ascii="Arial" w:hAnsi="Arial" w:cs="Arial"/>
          <w:spacing w:val="-3"/>
          <w:sz w:val="18"/>
          <w:szCs w:val="18"/>
          <w:u w:val="single"/>
        </w:rPr>
      </w:pPr>
    </w:p>
    <w:p w14:paraId="51FD0963" w14:textId="317E3863" w:rsidR="007509D6" w:rsidRPr="000D1C0B" w:rsidRDefault="007509D6" w:rsidP="007509D6">
      <w:pPr>
        <w:spacing w:after="0" w:line="240" w:lineRule="auto"/>
        <w:jc w:val="center"/>
        <w:rPr>
          <w:rFonts w:ascii="Arial" w:hAnsi="Arial" w:cs="Arial"/>
          <w:spacing w:val="-3"/>
          <w:sz w:val="18"/>
          <w:szCs w:val="18"/>
          <w:u w:val="single"/>
        </w:rPr>
      </w:pPr>
      <w:r w:rsidRPr="000D1C0B">
        <w:rPr>
          <w:rFonts w:ascii="Arial" w:hAnsi="Arial" w:cs="Arial"/>
          <w:spacing w:val="-3"/>
          <w:sz w:val="18"/>
          <w:szCs w:val="18"/>
          <w:u w:val="single"/>
        </w:rPr>
        <w:t>Cuadro N°3: Plazos para la presentación de notificaciones</w:t>
      </w:r>
      <w:r w:rsidR="00BA4DFE" w:rsidRPr="000D1C0B">
        <w:rPr>
          <w:rStyle w:val="Refdenotaalpie"/>
          <w:rFonts w:ascii="Arial" w:hAnsi="Arial" w:cs="Arial"/>
          <w:spacing w:val="-3"/>
          <w:sz w:val="18"/>
          <w:szCs w:val="18"/>
          <w:u w:val="single"/>
        </w:rPr>
        <w:footnoteReference w:id="4"/>
      </w:r>
    </w:p>
    <w:p w14:paraId="5245F2D3" w14:textId="77777777" w:rsidR="000D49FF" w:rsidRPr="000D1C0B" w:rsidRDefault="000D49FF" w:rsidP="007509D6">
      <w:pPr>
        <w:spacing w:after="0" w:line="240" w:lineRule="auto"/>
        <w:jc w:val="center"/>
        <w:rPr>
          <w:rFonts w:ascii="Arial" w:hAnsi="Arial" w:cs="Arial"/>
          <w:spacing w:val="-3"/>
          <w:sz w:val="18"/>
          <w:szCs w:val="18"/>
          <w:u w:val="single"/>
        </w:rPr>
      </w:pPr>
    </w:p>
    <w:tbl>
      <w:tblPr>
        <w:tblW w:w="13178" w:type="dxa"/>
        <w:tblCellMar>
          <w:left w:w="70" w:type="dxa"/>
          <w:right w:w="70" w:type="dxa"/>
        </w:tblCellMar>
        <w:tblLook w:val="04A0" w:firstRow="1" w:lastRow="0" w:firstColumn="1" w:lastColumn="0" w:noHBand="0" w:noVBand="1"/>
      </w:tblPr>
      <w:tblGrid>
        <w:gridCol w:w="2547"/>
        <w:gridCol w:w="10631"/>
      </w:tblGrid>
      <w:tr w:rsidR="00032E26" w:rsidRPr="000D1C0B" w14:paraId="34142D5C" w14:textId="77777777" w:rsidTr="00840810">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8EAADB"/>
            <w:vAlign w:val="center"/>
            <w:hideMark/>
          </w:tcPr>
          <w:p w14:paraId="168E806E" w14:textId="77777777" w:rsidR="00032E26" w:rsidRPr="000D1C0B" w:rsidRDefault="00032E26" w:rsidP="00032E26">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Plazos</w:t>
            </w:r>
          </w:p>
        </w:tc>
        <w:tc>
          <w:tcPr>
            <w:tcW w:w="10631" w:type="dxa"/>
            <w:tcBorders>
              <w:top w:val="single" w:sz="4" w:space="0" w:color="auto"/>
              <w:left w:val="nil"/>
              <w:bottom w:val="single" w:sz="4" w:space="0" w:color="auto"/>
              <w:right w:val="single" w:sz="4" w:space="0" w:color="auto"/>
            </w:tcBorders>
            <w:shd w:val="clear" w:color="000000" w:fill="8EAADB"/>
            <w:vAlign w:val="center"/>
            <w:hideMark/>
          </w:tcPr>
          <w:p w14:paraId="73E1AF6F" w14:textId="77777777" w:rsidR="00032E26" w:rsidRPr="000D1C0B" w:rsidRDefault="00032E26" w:rsidP="00032E26">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Notificaciones</w:t>
            </w:r>
          </w:p>
        </w:tc>
      </w:tr>
      <w:tr w:rsidR="00D52E11" w:rsidRPr="000D1C0B" w14:paraId="27B56C31" w14:textId="77777777" w:rsidTr="00D52E11">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8EAADB"/>
            <w:vAlign w:val="center"/>
          </w:tcPr>
          <w:p w14:paraId="5B385082" w14:textId="5BC7991E" w:rsidR="00D52E11" w:rsidRPr="000D1C0B" w:rsidRDefault="0095728F" w:rsidP="00D52E11">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Al menos 10 días hábiles anteriores</w:t>
            </w:r>
          </w:p>
        </w:tc>
        <w:tc>
          <w:tcPr>
            <w:tcW w:w="10631" w:type="dxa"/>
            <w:tcBorders>
              <w:top w:val="nil"/>
              <w:left w:val="nil"/>
              <w:bottom w:val="single" w:sz="4" w:space="0" w:color="auto"/>
              <w:right w:val="single" w:sz="4" w:space="0" w:color="auto"/>
            </w:tcBorders>
            <w:shd w:val="clear" w:color="auto" w:fill="auto"/>
            <w:vAlign w:val="center"/>
          </w:tcPr>
          <w:p w14:paraId="1A757926" w14:textId="56484A4F" w:rsidR="00D52E11" w:rsidRPr="000D1C0B" w:rsidRDefault="0095728F" w:rsidP="00A74791">
            <w:pPr>
              <w:spacing w:after="0" w:line="240" w:lineRule="auto"/>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113 - Notificación de información para determinar el monto de la oferta económica del año 1 y 15, sobre permisos de operación de casinos de juego</w:t>
            </w:r>
          </w:p>
        </w:tc>
      </w:tr>
      <w:tr w:rsidR="006071A5" w:rsidRPr="000D1C0B" w14:paraId="7F9AF012" w14:textId="77777777" w:rsidTr="006A1880">
        <w:trPr>
          <w:trHeight w:val="300"/>
        </w:trPr>
        <w:tc>
          <w:tcPr>
            <w:tcW w:w="2547" w:type="dxa"/>
            <w:vMerge w:val="restart"/>
            <w:tcBorders>
              <w:top w:val="single" w:sz="4" w:space="0" w:color="auto"/>
              <w:left w:val="single" w:sz="4" w:space="0" w:color="auto"/>
              <w:right w:val="single" w:sz="4" w:space="0" w:color="auto"/>
            </w:tcBorders>
            <w:shd w:val="clear" w:color="000000" w:fill="8EAADB"/>
            <w:vAlign w:val="center"/>
          </w:tcPr>
          <w:p w14:paraId="388F8B73" w14:textId="24AD31B4" w:rsidR="006071A5" w:rsidRPr="000D1C0B" w:rsidRDefault="006071A5" w:rsidP="0095728F">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 xml:space="preserve">Al menos 5 días hábiles anteriores </w:t>
            </w:r>
          </w:p>
        </w:tc>
        <w:tc>
          <w:tcPr>
            <w:tcW w:w="10631" w:type="dxa"/>
            <w:tcBorders>
              <w:top w:val="nil"/>
              <w:left w:val="nil"/>
              <w:bottom w:val="single" w:sz="4" w:space="0" w:color="auto"/>
              <w:right w:val="single" w:sz="4" w:space="0" w:color="auto"/>
            </w:tcBorders>
            <w:shd w:val="clear" w:color="auto" w:fill="auto"/>
            <w:vAlign w:val="center"/>
          </w:tcPr>
          <w:p w14:paraId="75E57A8A" w14:textId="0EA48B8F" w:rsidR="006071A5" w:rsidRPr="000D1C0B" w:rsidRDefault="006071A5" w:rsidP="0095728F">
            <w:pPr>
              <w:spacing w:after="0" w:line="240" w:lineRule="auto"/>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43 - Notificación de bases y/o procedimientos de promociones de casinos de juego</w:t>
            </w:r>
          </w:p>
        </w:tc>
      </w:tr>
      <w:tr w:rsidR="006071A5" w:rsidRPr="000D1C0B" w14:paraId="2C141424" w14:textId="77777777" w:rsidTr="006A1880">
        <w:trPr>
          <w:trHeight w:val="300"/>
        </w:trPr>
        <w:tc>
          <w:tcPr>
            <w:tcW w:w="2547" w:type="dxa"/>
            <w:vMerge/>
            <w:tcBorders>
              <w:left w:val="single" w:sz="4" w:space="0" w:color="auto"/>
              <w:bottom w:val="single" w:sz="4" w:space="0" w:color="auto"/>
              <w:right w:val="single" w:sz="4" w:space="0" w:color="auto"/>
            </w:tcBorders>
            <w:shd w:val="clear" w:color="000000" w:fill="8EAADB"/>
            <w:vAlign w:val="center"/>
          </w:tcPr>
          <w:p w14:paraId="533ED14A" w14:textId="77777777" w:rsidR="006071A5" w:rsidRPr="000D1C0B" w:rsidRDefault="006071A5" w:rsidP="0095728F">
            <w:pPr>
              <w:spacing w:after="0" w:line="240" w:lineRule="auto"/>
              <w:jc w:val="center"/>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vAlign w:val="center"/>
          </w:tcPr>
          <w:p w14:paraId="2BEFDD93" w14:textId="41EB7DD1" w:rsidR="006071A5" w:rsidRPr="000D1C0B" w:rsidRDefault="006071A5" w:rsidP="0095728F">
            <w:pPr>
              <w:spacing w:after="0" w:line="240" w:lineRule="auto"/>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126 - Notificación de infraestructura</w:t>
            </w:r>
          </w:p>
        </w:tc>
      </w:tr>
      <w:tr w:rsidR="0095728F" w:rsidRPr="000D1C0B" w14:paraId="0BB76CEC" w14:textId="77777777" w:rsidTr="00840810">
        <w:trPr>
          <w:trHeight w:val="300"/>
        </w:trPr>
        <w:tc>
          <w:tcPr>
            <w:tcW w:w="2547" w:type="dxa"/>
            <w:vMerge w:val="restart"/>
            <w:tcBorders>
              <w:top w:val="nil"/>
              <w:left w:val="single" w:sz="4" w:space="0" w:color="auto"/>
              <w:bottom w:val="single" w:sz="4" w:space="0" w:color="000000"/>
              <w:right w:val="single" w:sz="4" w:space="0" w:color="auto"/>
            </w:tcBorders>
            <w:shd w:val="clear" w:color="auto" w:fill="D9E2F3" w:themeFill="accent1" w:themeFillTint="33"/>
            <w:vAlign w:val="center"/>
            <w:hideMark/>
          </w:tcPr>
          <w:p w14:paraId="051CFBF7" w14:textId="0AE30108" w:rsidR="0095728F" w:rsidRPr="000D1C0B" w:rsidRDefault="0095728F" w:rsidP="0095728F">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 xml:space="preserve">Al menos 1 día hábil anterior </w:t>
            </w:r>
          </w:p>
        </w:tc>
        <w:tc>
          <w:tcPr>
            <w:tcW w:w="10631" w:type="dxa"/>
            <w:tcBorders>
              <w:top w:val="nil"/>
              <w:left w:val="nil"/>
              <w:bottom w:val="single" w:sz="4" w:space="0" w:color="auto"/>
              <w:right w:val="single" w:sz="4" w:space="0" w:color="auto"/>
            </w:tcBorders>
            <w:shd w:val="clear" w:color="auto" w:fill="auto"/>
            <w:noWrap/>
            <w:vAlign w:val="center"/>
            <w:hideMark/>
          </w:tcPr>
          <w:p w14:paraId="43FAE887" w14:textId="77777777" w:rsidR="0095728F" w:rsidRPr="000D1C0B" w:rsidRDefault="0095728F" w:rsidP="0095728F">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18 - Notificación por modificaciones en el horario de funcionamiento del casino de juego</w:t>
            </w:r>
          </w:p>
        </w:tc>
      </w:tr>
      <w:tr w:rsidR="0095728F" w:rsidRPr="000D1C0B" w14:paraId="3963A768" w14:textId="77777777" w:rsidTr="00840810">
        <w:trPr>
          <w:trHeight w:val="300"/>
        </w:trPr>
        <w:tc>
          <w:tcPr>
            <w:tcW w:w="2547" w:type="dxa"/>
            <w:vMerge/>
            <w:tcBorders>
              <w:top w:val="nil"/>
              <w:left w:val="single" w:sz="4" w:space="0" w:color="auto"/>
              <w:bottom w:val="single" w:sz="4" w:space="0" w:color="000000"/>
              <w:right w:val="single" w:sz="4" w:space="0" w:color="auto"/>
            </w:tcBorders>
            <w:shd w:val="clear" w:color="auto" w:fill="D9E2F3" w:themeFill="accent1" w:themeFillTint="33"/>
            <w:vAlign w:val="center"/>
            <w:hideMark/>
          </w:tcPr>
          <w:p w14:paraId="16DA401A" w14:textId="77777777" w:rsidR="0095728F" w:rsidRPr="000D1C0B" w:rsidRDefault="0095728F" w:rsidP="0095728F">
            <w:pPr>
              <w:spacing w:after="0" w:line="240" w:lineRule="auto"/>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hideMark/>
          </w:tcPr>
          <w:p w14:paraId="4DD9D8EC" w14:textId="77777777" w:rsidR="0095728F" w:rsidRPr="000D1C0B" w:rsidRDefault="0095728F" w:rsidP="0095728F">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27 - Notificación de valor de entrada a las salas de juego de los casinos de juego</w:t>
            </w:r>
          </w:p>
        </w:tc>
      </w:tr>
      <w:tr w:rsidR="0095728F" w:rsidRPr="000D1C0B" w14:paraId="63A35A0B" w14:textId="77777777" w:rsidTr="00840810">
        <w:trPr>
          <w:trHeight w:val="300"/>
        </w:trPr>
        <w:tc>
          <w:tcPr>
            <w:tcW w:w="2547" w:type="dxa"/>
            <w:vMerge/>
            <w:tcBorders>
              <w:top w:val="nil"/>
              <w:left w:val="single" w:sz="4" w:space="0" w:color="auto"/>
              <w:bottom w:val="single" w:sz="4" w:space="0" w:color="000000"/>
              <w:right w:val="single" w:sz="4" w:space="0" w:color="auto"/>
            </w:tcBorders>
            <w:shd w:val="clear" w:color="auto" w:fill="D9E2F3" w:themeFill="accent1" w:themeFillTint="33"/>
            <w:vAlign w:val="center"/>
          </w:tcPr>
          <w:p w14:paraId="6478F988" w14:textId="77777777" w:rsidR="0095728F" w:rsidRPr="000D1C0B" w:rsidRDefault="0095728F" w:rsidP="0095728F">
            <w:pPr>
              <w:spacing w:after="0" w:line="240" w:lineRule="auto"/>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1009D0FE" w14:textId="7E162F61" w:rsidR="0095728F" w:rsidRPr="000D1C0B" w:rsidRDefault="0095728F" w:rsidP="0095728F">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33 - Notificación de máquinas de azar, mesas y bingo del parque de juego</w:t>
            </w:r>
          </w:p>
        </w:tc>
      </w:tr>
      <w:tr w:rsidR="0095728F" w:rsidRPr="000D1C0B" w14:paraId="08F55B60" w14:textId="77777777" w:rsidTr="00840810">
        <w:trPr>
          <w:trHeight w:val="300"/>
        </w:trPr>
        <w:tc>
          <w:tcPr>
            <w:tcW w:w="2547" w:type="dxa"/>
            <w:vMerge/>
            <w:tcBorders>
              <w:top w:val="nil"/>
              <w:left w:val="single" w:sz="4" w:space="0" w:color="auto"/>
              <w:bottom w:val="single" w:sz="4" w:space="0" w:color="000000"/>
              <w:right w:val="single" w:sz="4" w:space="0" w:color="auto"/>
            </w:tcBorders>
            <w:shd w:val="clear" w:color="auto" w:fill="D9E2F3" w:themeFill="accent1" w:themeFillTint="33"/>
            <w:vAlign w:val="center"/>
          </w:tcPr>
          <w:p w14:paraId="3F1A1A2C" w14:textId="77777777" w:rsidR="0095728F" w:rsidRPr="000D1C0B" w:rsidRDefault="0095728F" w:rsidP="0095728F">
            <w:pPr>
              <w:spacing w:after="0" w:line="240" w:lineRule="auto"/>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676AD835" w14:textId="77777777" w:rsidR="0095728F" w:rsidRPr="000D1C0B" w:rsidRDefault="0095728F" w:rsidP="0095728F">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37 - Notificación de bases de torneos de casinos de juego</w:t>
            </w:r>
          </w:p>
        </w:tc>
      </w:tr>
      <w:tr w:rsidR="0095728F" w:rsidRPr="000D1C0B" w14:paraId="38BFCCC4" w14:textId="77777777" w:rsidTr="00840810">
        <w:trPr>
          <w:trHeight w:val="300"/>
        </w:trPr>
        <w:tc>
          <w:tcPr>
            <w:tcW w:w="2547" w:type="dxa"/>
            <w:vMerge/>
            <w:tcBorders>
              <w:top w:val="nil"/>
              <w:left w:val="single" w:sz="4" w:space="0" w:color="auto"/>
              <w:bottom w:val="single" w:sz="4" w:space="0" w:color="000000"/>
              <w:right w:val="single" w:sz="4" w:space="0" w:color="auto"/>
            </w:tcBorders>
            <w:shd w:val="clear" w:color="auto" w:fill="D9E2F3" w:themeFill="accent1" w:themeFillTint="33"/>
            <w:vAlign w:val="center"/>
          </w:tcPr>
          <w:p w14:paraId="47BF177D" w14:textId="77777777" w:rsidR="0095728F" w:rsidRPr="000D1C0B" w:rsidRDefault="0095728F" w:rsidP="0095728F">
            <w:pPr>
              <w:spacing w:after="0" w:line="240" w:lineRule="auto"/>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08F4F74C" w14:textId="77777777" w:rsidR="0095728F" w:rsidRPr="000D1C0B" w:rsidRDefault="0095728F" w:rsidP="0095728F">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37 - Notificación de reglamentos de torneos de casinos de juego</w:t>
            </w:r>
          </w:p>
        </w:tc>
      </w:tr>
      <w:tr w:rsidR="0095728F" w:rsidRPr="000D1C0B" w14:paraId="6A245E81" w14:textId="77777777" w:rsidTr="00085318">
        <w:trPr>
          <w:trHeight w:val="300"/>
        </w:trPr>
        <w:tc>
          <w:tcPr>
            <w:tcW w:w="2547" w:type="dxa"/>
            <w:vMerge w:val="restart"/>
            <w:tcBorders>
              <w:top w:val="single" w:sz="4" w:space="0" w:color="000000"/>
              <w:left w:val="single" w:sz="4" w:space="0" w:color="auto"/>
              <w:bottom w:val="single" w:sz="4" w:space="0" w:color="auto"/>
              <w:right w:val="single" w:sz="4" w:space="0" w:color="auto"/>
            </w:tcBorders>
            <w:shd w:val="clear" w:color="000000" w:fill="8EAADB"/>
            <w:vAlign w:val="center"/>
          </w:tcPr>
          <w:p w14:paraId="22FE2C49" w14:textId="63478CA2" w:rsidR="0095728F" w:rsidRPr="000D1C0B" w:rsidRDefault="0095728F" w:rsidP="0095728F">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Día hábil siguiente de ocurridos los hechos</w:t>
            </w:r>
          </w:p>
        </w:tc>
        <w:tc>
          <w:tcPr>
            <w:tcW w:w="10631" w:type="dxa"/>
            <w:tcBorders>
              <w:top w:val="nil"/>
              <w:left w:val="nil"/>
              <w:bottom w:val="single" w:sz="4" w:space="0" w:color="auto"/>
              <w:right w:val="single" w:sz="4" w:space="0" w:color="auto"/>
            </w:tcBorders>
            <w:shd w:val="clear" w:color="auto" w:fill="auto"/>
            <w:noWrap/>
            <w:vAlign w:val="center"/>
          </w:tcPr>
          <w:p w14:paraId="0BF5A76B" w14:textId="48338EBF" w:rsidR="0095728F" w:rsidRPr="000D1C0B" w:rsidRDefault="0095728F" w:rsidP="0095728F">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33 - Notificación de máquinas de azar, mesas y bingo del parque de juego</w:t>
            </w:r>
          </w:p>
        </w:tc>
      </w:tr>
      <w:tr w:rsidR="0095728F" w:rsidRPr="000D1C0B" w14:paraId="2A2F752D" w14:textId="77777777" w:rsidTr="00085318">
        <w:trPr>
          <w:trHeight w:val="300"/>
        </w:trPr>
        <w:tc>
          <w:tcPr>
            <w:tcW w:w="2547" w:type="dxa"/>
            <w:vMerge/>
            <w:tcBorders>
              <w:left w:val="single" w:sz="4" w:space="0" w:color="auto"/>
              <w:bottom w:val="single" w:sz="4" w:space="0" w:color="auto"/>
              <w:right w:val="single" w:sz="4" w:space="0" w:color="auto"/>
            </w:tcBorders>
            <w:vAlign w:val="center"/>
            <w:hideMark/>
          </w:tcPr>
          <w:p w14:paraId="4F8DA86C" w14:textId="77777777" w:rsidR="0095728F" w:rsidRPr="000D1C0B" w:rsidRDefault="0095728F" w:rsidP="0095728F">
            <w:pPr>
              <w:spacing w:after="0" w:line="240" w:lineRule="auto"/>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hideMark/>
          </w:tcPr>
          <w:p w14:paraId="08832502" w14:textId="77777777" w:rsidR="0095728F" w:rsidRPr="000D1C0B" w:rsidRDefault="0095728F" w:rsidP="0095728F">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102 - Notificación de coordinador/a y/o usuarios/as del sistema de autoexclusión voluntaria de jugadores/as</w:t>
            </w:r>
          </w:p>
        </w:tc>
      </w:tr>
      <w:tr w:rsidR="0095728F" w:rsidRPr="000D1C0B" w14:paraId="0E4D6323" w14:textId="77777777" w:rsidTr="00085318">
        <w:trPr>
          <w:trHeight w:val="300"/>
        </w:trPr>
        <w:tc>
          <w:tcPr>
            <w:tcW w:w="2547" w:type="dxa"/>
            <w:vMerge/>
            <w:tcBorders>
              <w:left w:val="single" w:sz="4" w:space="0" w:color="auto"/>
              <w:bottom w:val="single" w:sz="4" w:space="0" w:color="auto"/>
              <w:right w:val="single" w:sz="4" w:space="0" w:color="auto"/>
            </w:tcBorders>
            <w:vAlign w:val="center"/>
          </w:tcPr>
          <w:p w14:paraId="72D67BAE" w14:textId="77777777" w:rsidR="0095728F" w:rsidRPr="000D1C0B" w:rsidRDefault="0095728F" w:rsidP="0095728F">
            <w:pPr>
              <w:spacing w:after="0" w:line="240" w:lineRule="auto"/>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2953C8DC" w14:textId="2B48922C" w:rsidR="0095728F" w:rsidRPr="000D1C0B" w:rsidRDefault="0095728F" w:rsidP="0095728F">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108 - Notificación de restricción temporal de ingreso o permanencia en casinos de juego</w:t>
            </w:r>
          </w:p>
        </w:tc>
      </w:tr>
      <w:tr w:rsidR="0095728F" w:rsidRPr="000D1C0B" w14:paraId="1857BEEB" w14:textId="77777777" w:rsidTr="00085318">
        <w:trPr>
          <w:trHeight w:val="300"/>
        </w:trPr>
        <w:tc>
          <w:tcPr>
            <w:tcW w:w="2547" w:type="dxa"/>
            <w:vMerge/>
            <w:tcBorders>
              <w:left w:val="single" w:sz="4" w:space="0" w:color="auto"/>
              <w:bottom w:val="single" w:sz="4" w:space="0" w:color="auto"/>
              <w:right w:val="single" w:sz="4" w:space="0" w:color="auto"/>
            </w:tcBorders>
            <w:vAlign w:val="center"/>
          </w:tcPr>
          <w:p w14:paraId="276DFC73" w14:textId="77777777" w:rsidR="0095728F" w:rsidRPr="000D1C0B" w:rsidRDefault="0095728F" w:rsidP="0095728F">
            <w:pPr>
              <w:spacing w:after="0" w:line="240" w:lineRule="auto"/>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417A9FF8" w14:textId="75231687" w:rsidR="0095728F" w:rsidRPr="000D1C0B" w:rsidRDefault="0095728F" w:rsidP="0095728F">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110 - Notificación de actividades de demostración y/o enseñanza en el casino de juego</w:t>
            </w:r>
          </w:p>
        </w:tc>
      </w:tr>
      <w:tr w:rsidR="0095728F" w:rsidRPr="000D1C0B" w14:paraId="411EF577" w14:textId="77777777" w:rsidTr="00085318">
        <w:trPr>
          <w:trHeight w:val="329"/>
        </w:trPr>
        <w:tc>
          <w:tcPr>
            <w:tcW w:w="2547" w:type="dxa"/>
            <w:vMerge w:val="restart"/>
            <w:tcBorders>
              <w:top w:val="single" w:sz="4" w:space="0" w:color="auto"/>
              <w:left w:val="single" w:sz="4" w:space="0" w:color="auto"/>
              <w:right w:val="single" w:sz="4" w:space="0" w:color="auto"/>
            </w:tcBorders>
            <w:shd w:val="clear" w:color="000000" w:fill="8EAADB"/>
            <w:vAlign w:val="center"/>
            <w:hideMark/>
          </w:tcPr>
          <w:p w14:paraId="49339C14" w14:textId="77777777" w:rsidR="0095728F" w:rsidRPr="000D1C0B" w:rsidRDefault="0095728F" w:rsidP="0095728F">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3 días hábiles siguientes de ocurridos los hechos</w:t>
            </w:r>
          </w:p>
        </w:tc>
        <w:tc>
          <w:tcPr>
            <w:tcW w:w="10631" w:type="dxa"/>
            <w:tcBorders>
              <w:top w:val="nil"/>
              <w:left w:val="nil"/>
              <w:bottom w:val="single" w:sz="4" w:space="0" w:color="auto"/>
              <w:right w:val="single" w:sz="4" w:space="0" w:color="auto"/>
            </w:tcBorders>
            <w:shd w:val="clear" w:color="auto" w:fill="auto"/>
            <w:noWrap/>
            <w:vAlign w:val="center"/>
            <w:hideMark/>
          </w:tcPr>
          <w:p w14:paraId="5BF7810F" w14:textId="77777777" w:rsidR="0095728F" w:rsidRPr="000D1C0B" w:rsidRDefault="0095728F" w:rsidP="0095728F">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 xml:space="preserve">Circular 14 - Notificación de personal de juego </w:t>
            </w:r>
          </w:p>
        </w:tc>
      </w:tr>
      <w:tr w:rsidR="0095728F" w:rsidRPr="000D1C0B" w14:paraId="22C64B9A" w14:textId="77777777" w:rsidTr="00C94F9D">
        <w:trPr>
          <w:trHeight w:val="329"/>
        </w:trPr>
        <w:tc>
          <w:tcPr>
            <w:tcW w:w="2547" w:type="dxa"/>
            <w:vMerge/>
            <w:tcBorders>
              <w:left w:val="single" w:sz="4" w:space="0" w:color="auto"/>
              <w:bottom w:val="single" w:sz="4" w:space="0" w:color="auto"/>
              <w:right w:val="single" w:sz="4" w:space="0" w:color="auto"/>
            </w:tcBorders>
            <w:shd w:val="clear" w:color="000000" w:fill="8EAADB"/>
            <w:vAlign w:val="center"/>
          </w:tcPr>
          <w:p w14:paraId="3EFB78E6" w14:textId="77777777" w:rsidR="0095728F" w:rsidRPr="000D1C0B" w:rsidRDefault="0095728F" w:rsidP="0095728F">
            <w:pPr>
              <w:spacing w:after="0" w:line="240" w:lineRule="auto"/>
              <w:jc w:val="center"/>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5059DED4" w14:textId="573CE859" w:rsidR="0095728F" w:rsidRPr="000D1C0B" w:rsidRDefault="0095728F" w:rsidP="0095728F">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 xml:space="preserve">Circular 111 - Notificación de cesación de gerente general y/o revocación de apoderado o representante y/o vacancia de director </w:t>
            </w:r>
          </w:p>
        </w:tc>
      </w:tr>
      <w:tr w:rsidR="0095728F" w:rsidRPr="000D1C0B" w14:paraId="1EE868D1" w14:textId="77777777" w:rsidTr="00DC2E17">
        <w:trPr>
          <w:trHeight w:val="323"/>
        </w:trPr>
        <w:tc>
          <w:tcPr>
            <w:tcW w:w="2547" w:type="dxa"/>
            <w:vMerge w:val="restart"/>
            <w:tcBorders>
              <w:top w:val="single" w:sz="4" w:space="0" w:color="auto"/>
              <w:left w:val="single" w:sz="4" w:space="0" w:color="auto"/>
              <w:right w:val="single" w:sz="4" w:space="0" w:color="auto"/>
            </w:tcBorders>
            <w:shd w:val="clear" w:color="000000" w:fill="8EAADB"/>
            <w:vAlign w:val="center"/>
          </w:tcPr>
          <w:p w14:paraId="5BBBA7FA" w14:textId="77777777" w:rsidR="0095728F" w:rsidRPr="000D1C0B" w:rsidRDefault="0095728F" w:rsidP="0095728F">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5 días hábiles siguientes de ocurridos los hechos</w:t>
            </w:r>
          </w:p>
        </w:tc>
        <w:tc>
          <w:tcPr>
            <w:tcW w:w="10631" w:type="dxa"/>
            <w:tcBorders>
              <w:top w:val="single" w:sz="4" w:space="0" w:color="auto"/>
              <w:left w:val="nil"/>
              <w:bottom w:val="single" w:sz="4" w:space="0" w:color="auto"/>
              <w:right w:val="single" w:sz="4" w:space="0" w:color="auto"/>
            </w:tcBorders>
            <w:shd w:val="clear" w:color="auto" w:fill="auto"/>
            <w:noWrap/>
            <w:vAlign w:val="center"/>
          </w:tcPr>
          <w:p w14:paraId="4928022E" w14:textId="4D9CE85C" w:rsidR="0095728F" w:rsidRPr="000D1C0B" w:rsidRDefault="0095728F" w:rsidP="0095728F">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42 - Notificación de eventos especiales</w:t>
            </w:r>
          </w:p>
        </w:tc>
      </w:tr>
      <w:tr w:rsidR="0095728F" w:rsidRPr="000D1C0B" w14:paraId="5282F3C6" w14:textId="77777777" w:rsidTr="00DC2E17">
        <w:trPr>
          <w:trHeight w:val="271"/>
        </w:trPr>
        <w:tc>
          <w:tcPr>
            <w:tcW w:w="2547" w:type="dxa"/>
            <w:vMerge/>
            <w:tcBorders>
              <w:left w:val="single" w:sz="4" w:space="0" w:color="auto"/>
              <w:right w:val="single" w:sz="4" w:space="0" w:color="auto"/>
            </w:tcBorders>
            <w:shd w:val="clear" w:color="000000" w:fill="8EAADB"/>
            <w:vAlign w:val="center"/>
          </w:tcPr>
          <w:p w14:paraId="5509E60D" w14:textId="77777777" w:rsidR="0095728F" w:rsidRPr="000D1C0B" w:rsidRDefault="0095728F" w:rsidP="0095728F">
            <w:pPr>
              <w:spacing w:after="0" w:line="240" w:lineRule="auto"/>
              <w:jc w:val="center"/>
              <w:rPr>
                <w:rFonts w:ascii="Arial" w:eastAsia="Times New Roman" w:hAnsi="Arial" w:cs="Arial"/>
                <w:b/>
                <w:bCs/>
                <w:color w:val="000000"/>
                <w:sz w:val="18"/>
                <w:szCs w:val="18"/>
                <w:lang w:eastAsia="es-CL"/>
              </w:rPr>
            </w:pPr>
          </w:p>
        </w:tc>
        <w:tc>
          <w:tcPr>
            <w:tcW w:w="10631" w:type="dxa"/>
            <w:tcBorders>
              <w:top w:val="single" w:sz="4" w:space="0" w:color="auto"/>
              <w:left w:val="nil"/>
              <w:bottom w:val="single" w:sz="4" w:space="0" w:color="auto"/>
              <w:right w:val="single" w:sz="4" w:space="0" w:color="auto"/>
            </w:tcBorders>
            <w:shd w:val="clear" w:color="auto" w:fill="auto"/>
            <w:noWrap/>
            <w:vAlign w:val="center"/>
          </w:tcPr>
          <w:p w14:paraId="77CB6F8A" w14:textId="77777777" w:rsidR="0095728F" w:rsidRPr="000D1C0B" w:rsidRDefault="0095728F" w:rsidP="0095728F">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106 - Notificación de actualización o cambios del SMC</w:t>
            </w:r>
          </w:p>
        </w:tc>
      </w:tr>
      <w:tr w:rsidR="0095728F" w:rsidRPr="000D1C0B" w14:paraId="7541915C" w14:textId="77777777" w:rsidTr="00F35623">
        <w:trPr>
          <w:trHeight w:val="275"/>
        </w:trPr>
        <w:tc>
          <w:tcPr>
            <w:tcW w:w="2547" w:type="dxa"/>
            <w:vMerge/>
            <w:tcBorders>
              <w:left w:val="single" w:sz="4" w:space="0" w:color="auto"/>
              <w:bottom w:val="single" w:sz="4" w:space="0" w:color="auto"/>
              <w:right w:val="single" w:sz="4" w:space="0" w:color="auto"/>
            </w:tcBorders>
            <w:shd w:val="clear" w:color="000000" w:fill="8EAADB"/>
            <w:vAlign w:val="center"/>
          </w:tcPr>
          <w:p w14:paraId="04CEC97A" w14:textId="77777777" w:rsidR="0095728F" w:rsidRPr="000D1C0B" w:rsidRDefault="0095728F" w:rsidP="0095728F">
            <w:pPr>
              <w:spacing w:after="0" w:line="240" w:lineRule="auto"/>
              <w:jc w:val="center"/>
              <w:rPr>
                <w:rFonts w:ascii="Arial" w:eastAsia="Times New Roman" w:hAnsi="Arial" w:cs="Arial"/>
                <w:b/>
                <w:bCs/>
                <w:color w:val="000000"/>
                <w:sz w:val="18"/>
                <w:szCs w:val="18"/>
                <w:lang w:eastAsia="es-CL"/>
              </w:rPr>
            </w:pPr>
          </w:p>
        </w:tc>
        <w:tc>
          <w:tcPr>
            <w:tcW w:w="10631" w:type="dxa"/>
            <w:tcBorders>
              <w:top w:val="single" w:sz="4" w:space="0" w:color="auto"/>
              <w:left w:val="nil"/>
              <w:bottom w:val="single" w:sz="4" w:space="0" w:color="auto"/>
              <w:right w:val="single" w:sz="4" w:space="0" w:color="auto"/>
            </w:tcBorders>
            <w:shd w:val="clear" w:color="auto" w:fill="auto"/>
            <w:noWrap/>
            <w:vAlign w:val="center"/>
          </w:tcPr>
          <w:p w14:paraId="0C13F8EF" w14:textId="77777777" w:rsidR="0095728F" w:rsidRPr="000D1C0B" w:rsidRDefault="0095728F" w:rsidP="0095728F">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107 - Notificación de personal y otras condiciones de laboratorio</w:t>
            </w:r>
          </w:p>
        </w:tc>
      </w:tr>
      <w:tr w:rsidR="00157AD6" w:rsidRPr="000D1C0B" w14:paraId="56E2BEBA" w14:textId="77777777" w:rsidTr="00F35623">
        <w:trPr>
          <w:trHeight w:val="421"/>
        </w:trPr>
        <w:tc>
          <w:tcPr>
            <w:tcW w:w="2547" w:type="dxa"/>
            <w:vMerge w:val="restart"/>
            <w:tcBorders>
              <w:top w:val="single" w:sz="4" w:space="0" w:color="auto"/>
              <w:left w:val="single" w:sz="4" w:space="0" w:color="auto"/>
              <w:right w:val="single" w:sz="4" w:space="0" w:color="auto"/>
            </w:tcBorders>
            <w:shd w:val="clear" w:color="000000" w:fill="8EAADB"/>
            <w:vAlign w:val="center"/>
          </w:tcPr>
          <w:p w14:paraId="49DB7C41" w14:textId="04095D39"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10 días hábiles de ocurridos los hechos</w:t>
            </w:r>
          </w:p>
        </w:tc>
        <w:tc>
          <w:tcPr>
            <w:tcW w:w="10631" w:type="dxa"/>
            <w:tcBorders>
              <w:top w:val="single" w:sz="4" w:space="0" w:color="auto"/>
              <w:left w:val="nil"/>
              <w:bottom w:val="single" w:sz="4" w:space="0" w:color="auto"/>
              <w:right w:val="single" w:sz="4" w:space="0" w:color="auto"/>
            </w:tcBorders>
            <w:shd w:val="clear" w:color="auto" w:fill="auto"/>
            <w:noWrap/>
            <w:vAlign w:val="center"/>
          </w:tcPr>
          <w:p w14:paraId="043A97EB" w14:textId="1162E11A"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13- Notificación de modificación del/a coordinador/a de reclamos y/o representantes habilitados para tramitar reclamos casino de juego</w:t>
            </w:r>
          </w:p>
        </w:tc>
      </w:tr>
      <w:tr w:rsidR="00157AD6" w:rsidRPr="000D1C0B" w14:paraId="247056F9" w14:textId="77777777" w:rsidTr="007D4F78">
        <w:trPr>
          <w:trHeight w:val="421"/>
        </w:trPr>
        <w:tc>
          <w:tcPr>
            <w:tcW w:w="2547" w:type="dxa"/>
            <w:vMerge/>
            <w:tcBorders>
              <w:left w:val="single" w:sz="4" w:space="0" w:color="auto"/>
              <w:right w:val="single" w:sz="4" w:space="0" w:color="auto"/>
            </w:tcBorders>
            <w:shd w:val="clear" w:color="000000" w:fill="8EAADB"/>
            <w:vAlign w:val="center"/>
          </w:tcPr>
          <w:p w14:paraId="7A350C20" w14:textId="77777777"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601F1B8A" w14:textId="1F67D227"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13- Notificación de modificación del/a coordinador/a de reclamos y/o representantes habilitados para tramitar reclamos casino de juego municipal</w:t>
            </w:r>
          </w:p>
        </w:tc>
      </w:tr>
      <w:tr w:rsidR="00157AD6" w:rsidRPr="000D1C0B" w14:paraId="64370600" w14:textId="77777777" w:rsidTr="007D4F78">
        <w:trPr>
          <w:trHeight w:val="283"/>
        </w:trPr>
        <w:tc>
          <w:tcPr>
            <w:tcW w:w="2547" w:type="dxa"/>
            <w:vMerge/>
            <w:tcBorders>
              <w:left w:val="single" w:sz="4" w:space="0" w:color="auto"/>
              <w:right w:val="single" w:sz="4" w:space="0" w:color="auto"/>
            </w:tcBorders>
            <w:shd w:val="clear" w:color="000000" w:fill="8EAADB"/>
            <w:vAlign w:val="center"/>
          </w:tcPr>
          <w:p w14:paraId="55F3EBFB" w14:textId="77777777"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09B0F1C0" w14:textId="137A31D8"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25 - Notificación del reglamento interno de propinas</w:t>
            </w:r>
          </w:p>
        </w:tc>
      </w:tr>
      <w:tr w:rsidR="00157AD6" w:rsidRPr="000D1C0B" w14:paraId="79802FAC" w14:textId="77777777" w:rsidTr="007D4F78">
        <w:trPr>
          <w:trHeight w:val="273"/>
        </w:trPr>
        <w:tc>
          <w:tcPr>
            <w:tcW w:w="2547" w:type="dxa"/>
            <w:vMerge/>
            <w:tcBorders>
              <w:left w:val="single" w:sz="4" w:space="0" w:color="auto"/>
              <w:right w:val="single" w:sz="4" w:space="0" w:color="auto"/>
            </w:tcBorders>
            <w:shd w:val="clear" w:color="000000" w:fill="8EAADB"/>
            <w:vAlign w:val="center"/>
          </w:tcPr>
          <w:p w14:paraId="706AC650" w14:textId="60B46812"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4B46E306" w14:textId="581F34B0"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33 - Notificación de máquinas de azar, mesas y bingo del parque de juego</w:t>
            </w:r>
          </w:p>
        </w:tc>
      </w:tr>
      <w:tr w:rsidR="00157AD6" w:rsidRPr="000D1C0B" w14:paraId="75EF096C" w14:textId="77777777" w:rsidTr="007D4F78">
        <w:trPr>
          <w:trHeight w:val="258"/>
        </w:trPr>
        <w:tc>
          <w:tcPr>
            <w:tcW w:w="2547" w:type="dxa"/>
            <w:vMerge/>
            <w:tcBorders>
              <w:left w:val="single" w:sz="4" w:space="0" w:color="auto"/>
              <w:right w:val="single" w:sz="4" w:space="0" w:color="auto"/>
            </w:tcBorders>
            <w:shd w:val="clear" w:color="000000" w:fill="8EAADB"/>
            <w:vAlign w:val="center"/>
          </w:tcPr>
          <w:p w14:paraId="74B6F3CD" w14:textId="77777777"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29B3E899" w14:textId="67ACCFD7"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86 - Notificación de responsable de billetes falsos</w:t>
            </w:r>
          </w:p>
        </w:tc>
      </w:tr>
      <w:tr w:rsidR="00157AD6" w:rsidRPr="000D1C0B" w14:paraId="5752ADC5" w14:textId="77777777" w:rsidTr="007D4F78">
        <w:trPr>
          <w:trHeight w:val="275"/>
        </w:trPr>
        <w:tc>
          <w:tcPr>
            <w:tcW w:w="2547" w:type="dxa"/>
            <w:vMerge/>
            <w:tcBorders>
              <w:left w:val="single" w:sz="4" w:space="0" w:color="auto"/>
              <w:right w:val="single" w:sz="4" w:space="0" w:color="auto"/>
            </w:tcBorders>
            <w:shd w:val="clear" w:color="000000" w:fill="8EAADB"/>
            <w:vAlign w:val="center"/>
          </w:tcPr>
          <w:p w14:paraId="2615984E" w14:textId="77777777"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2580C001" w14:textId="6BAE4F22"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94 - Notificación de sistema CCTV</w:t>
            </w:r>
          </w:p>
        </w:tc>
      </w:tr>
      <w:tr w:rsidR="00157AD6" w:rsidRPr="000D1C0B" w14:paraId="7180343D" w14:textId="77777777" w:rsidTr="00266A60">
        <w:trPr>
          <w:trHeight w:val="275"/>
        </w:trPr>
        <w:tc>
          <w:tcPr>
            <w:tcW w:w="2547" w:type="dxa"/>
            <w:vMerge/>
            <w:tcBorders>
              <w:left w:val="single" w:sz="4" w:space="0" w:color="auto"/>
              <w:bottom w:val="single" w:sz="4" w:space="0" w:color="auto"/>
              <w:right w:val="single" w:sz="4" w:space="0" w:color="auto"/>
            </w:tcBorders>
            <w:shd w:val="clear" w:color="000000" w:fill="8EAADB"/>
            <w:vAlign w:val="center"/>
          </w:tcPr>
          <w:p w14:paraId="6B313B03" w14:textId="77777777"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5AB1C931" w14:textId="6FBFB8AB"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94, 102, 105 y 125 - Notificación de procedimientos operativos</w:t>
            </w:r>
          </w:p>
        </w:tc>
      </w:tr>
      <w:tr w:rsidR="00157AD6" w:rsidRPr="000D1C0B" w14:paraId="15595982" w14:textId="77777777" w:rsidTr="00B505ED">
        <w:trPr>
          <w:trHeight w:val="241"/>
        </w:trPr>
        <w:tc>
          <w:tcPr>
            <w:tcW w:w="2547" w:type="dxa"/>
            <w:vMerge w:val="restart"/>
            <w:tcBorders>
              <w:top w:val="nil"/>
              <w:left w:val="single" w:sz="4" w:space="0" w:color="auto"/>
              <w:right w:val="single" w:sz="4" w:space="0" w:color="auto"/>
            </w:tcBorders>
            <w:shd w:val="clear" w:color="000000" w:fill="8EAADB"/>
            <w:vAlign w:val="center"/>
          </w:tcPr>
          <w:p w14:paraId="0D5107D4" w14:textId="3231797C"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10 días hábiles de ocurridos los hechos</w:t>
            </w:r>
          </w:p>
        </w:tc>
        <w:tc>
          <w:tcPr>
            <w:tcW w:w="10631" w:type="dxa"/>
            <w:tcBorders>
              <w:top w:val="single" w:sz="4" w:space="0" w:color="auto"/>
              <w:left w:val="nil"/>
              <w:bottom w:val="single" w:sz="4" w:space="0" w:color="auto"/>
              <w:right w:val="single" w:sz="4" w:space="0" w:color="auto"/>
            </w:tcBorders>
            <w:shd w:val="clear" w:color="auto" w:fill="auto"/>
            <w:noWrap/>
            <w:vAlign w:val="center"/>
          </w:tcPr>
          <w:p w14:paraId="78A60D4E" w14:textId="5B9FBE11"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96 - Notificación de coordinador/a de casino municipal</w:t>
            </w:r>
          </w:p>
        </w:tc>
      </w:tr>
      <w:tr w:rsidR="00157AD6" w:rsidRPr="000D1C0B" w14:paraId="2B5684AE" w14:textId="77777777" w:rsidTr="00B505ED">
        <w:trPr>
          <w:trHeight w:val="131"/>
        </w:trPr>
        <w:tc>
          <w:tcPr>
            <w:tcW w:w="2547" w:type="dxa"/>
            <w:vMerge/>
            <w:tcBorders>
              <w:left w:val="single" w:sz="4" w:space="0" w:color="auto"/>
              <w:right w:val="single" w:sz="4" w:space="0" w:color="auto"/>
            </w:tcBorders>
            <w:shd w:val="clear" w:color="000000" w:fill="8EAADB"/>
            <w:vAlign w:val="center"/>
          </w:tcPr>
          <w:p w14:paraId="7922839B" w14:textId="77777777"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p>
        </w:tc>
        <w:tc>
          <w:tcPr>
            <w:tcW w:w="10631" w:type="dxa"/>
            <w:tcBorders>
              <w:top w:val="single" w:sz="4" w:space="0" w:color="auto"/>
              <w:left w:val="nil"/>
              <w:bottom w:val="single" w:sz="4" w:space="0" w:color="auto"/>
              <w:right w:val="single" w:sz="4" w:space="0" w:color="auto"/>
            </w:tcBorders>
            <w:shd w:val="clear" w:color="auto" w:fill="auto"/>
            <w:noWrap/>
            <w:vAlign w:val="center"/>
          </w:tcPr>
          <w:p w14:paraId="3C1FCF0A" w14:textId="7C2EE229"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105 - Notificación de baja definitiva de máquinas de azar</w:t>
            </w:r>
          </w:p>
        </w:tc>
      </w:tr>
      <w:tr w:rsidR="00157AD6" w:rsidRPr="000D1C0B" w14:paraId="5258A7A5" w14:textId="77777777" w:rsidTr="00B505ED">
        <w:trPr>
          <w:trHeight w:val="191"/>
        </w:trPr>
        <w:tc>
          <w:tcPr>
            <w:tcW w:w="2547" w:type="dxa"/>
            <w:vMerge/>
            <w:tcBorders>
              <w:left w:val="single" w:sz="4" w:space="0" w:color="auto"/>
              <w:right w:val="single" w:sz="4" w:space="0" w:color="auto"/>
            </w:tcBorders>
            <w:shd w:val="clear" w:color="000000" w:fill="8EAADB"/>
            <w:vAlign w:val="center"/>
            <w:hideMark/>
          </w:tcPr>
          <w:p w14:paraId="4A1F3162" w14:textId="239CB74A"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p>
        </w:tc>
        <w:tc>
          <w:tcPr>
            <w:tcW w:w="10631" w:type="dxa"/>
            <w:tcBorders>
              <w:top w:val="single" w:sz="4" w:space="0" w:color="auto"/>
              <w:left w:val="nil"/>
              <w:bottom w:val="single" w:sz="4" w:space="0" w:color="auto"/>
              <w:right w:val="single" w:sz="4" w:space="0" w:color="auto"/>
            </w:tcBorders>
            <w:shd w:val="clear" w:color="auto" w:fill="auto"/>
            <w:noWrap/>
            <w:vAlign w:val="center"/>
          </w:tcPr>
          <w:p w14:paraId="29B65146" w14:textId="7DB1C071"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107 - Notificación de entrega, reemplazo o renovación de póliza de seguro y boleta de garantía de laboratorios</w:t>
            </w:r>
          </w:p>
        </w:tc>
      </w:tr>
      <w:tr w:rsidR="00157AD6" w:rsidRPr="000D1C0B" w14:paraId="5FC737BD" w14:textId="77777777" w:rsidTr="00B505ED">
        <w:trPr>
          <w:trHeight w:val="152"/>
        </w:trPr>
        <w:tc>
          <w:tcPr>
            <w:tcW w:w="2547" w:type="dxa"/>
            <w:vMerge/>
            <w:tcBorders>
              <w:left w:val="single" w:sz="4" w:space="0" w:color="auto"/>
              <w:right w:val="single" w:sz="4" w:space="0" w:color="auto"/>
            </w:tcBorders>
            <w:vAlign w:val="center"/>
          </w:tcPr>
          <w:p w14:paraId="3826A646" w14:textId="77777777" w:rsidR="00157AD6" w:rsidRPr="000D1C0B" w:rsidRDefault="00157AD6" w:rsidP="00157AD6">
            <w:pPr>
              <w:spacing w:after="0" w:line="240" w:lineRule="auto"/>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3DC593E3" w14:textId="77777777"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107 - Notificación de personal y otras condiciones de laboratorio</w:t>
            </w:r>
          </w:p>
        </w:tc>
      </w:tr>
      <w:tr w:rsidR="00157AD6" w:rsidRPr="000D1C0B" w14:paraId="00B8BAF3" w14:textId="77777777" w:rsidTr="00B505ED">
        <w:trPr>
          <w:trHeight w:val="197"/>
        </w:trPr>
        <w:tc>
          <w:tcPr>
            <w:tcW w:w="2547" w:type="dxa"/>
            <w:vMerge/>
            <w:tcBorders>
              <w:left w:val="single" w:sz="4" w:space="0" w:color="auto"/>
              <w:right w:val="single" w:sz="4" w:space="0" w:color="auto"/>
            </w:tcBorders>
            <w:vAlign w:val="center"/>
          </w:tcPr>
          <w:p w14:paraId="6FEDFFA9" w14:textId="77777777" w:rsidR="00157AD6" w:rsidRPr="000D1C0B" w:rsidRDefault="00157AD6" w:rsidP="00157AD6">
            <w:pPr>
              <w:spacing w:after="0" w:line="240" w:lineRule="auto"/>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1875F806" w14:textId="77777777"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119 - Notificación de ciberseguridad</w:t>
            </w:r>
          </w:p>
        </w:tc>
      </w:tr>
      <w:tr w:rsidR="00157AD6" w:rsidRPr="000D1C0B" w14:paraId="0B02D87E" w14:textId="77777777" w:rsidTr="00B505ED">
        <w:trPr>
          <w:trHeight w:val="257"/>
        </w:trPr>
        <w:tc>
          <w:tcPr>
            <w:tcW w:w="2547" w:type="dxa"/>
            <w:vMerge/>
            <w:tcBorders>
              <w:left w:val="single" w:sz="4" w:space="0" w:color="auto"/>
              <w:right w:val="single" w:sz="4" w:space="0" w:color="auto"/>
            </w:tcBorders>
            <w:vAlign w:val="center"/>
          </w:tcPr>
          <w:p w14:paraId="49E8BBAB" w14:textId="77777777" w:rsidR="00157AD6" w:rsidRPr="000D1C0B" w:rsidRDefault="00157AD6" w:rsidP="00157AD6">
            <w:pPr>
              <w:spacing w:after="0" w:line="240" w:lineRule="auto"/>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00745C3A" w14:textId="77777777"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 xml:space="preserve">Circular 119 - Notificación de reportes de </w:t>
            </w:r>
            <w:proofErr w:type="spellStart"/>
            <w:r w:rsidRPr="000D1C0B">
              <w:rPr>
                <w:rFonts w:ascii="Arial" w:eastAsia="Times New Roman" w:hAnsi="Arial" w:cs="Arial"/>
                <w:color w:val="000000"/>
                <w:sz w:val="18"/>
                <w:szCs w:val="18"/>
                <w:lang w:eastAsia="es-CL"/>
              </w:rPr>
              <w:t>ciberincidentes</w:t>
            </w:r>
            <w:proofErr w:type="spellEnd"/>
          </w:p>
        </w:tc>
      </w:tr>
      <w:tr w:rsidR="00157AD6" w:rsidRPr="000D1C0B" w14:paraId="12DF1FFB" w14:textId="77777777" w:rsidTr="00B505ED">
        <w:trPr>
          <w:trHeight w:val="232"/>
        </w:trPr>
        <w:tc>
          <w:tcPr>
            <w:tcW w:w="2547" w:type="dxa"/>
            <w:vMerge/>
            <w:tcBorders>
              <w:left w:val="single" w:sz="4" w:space="0" w:color="auto"/>
              <w:right w:val="single" w:sz="4" w:space="0" w:color="auto"/>
            </w:tcBorders>
            <w:vAlign w:val="center"/>
            <w:hideMark/>
          </w:tcPr>
          <w:p w14:paraId="07380ED4" w14:textId="77777777" w:rsidR="00157AD6" w:rsidRPr="000D1C0B" w:rsidRDefault="00157AD6" w:rsidP="00157AD6">
            <w:pPr>
              <w:spacing w:after="0" w:line="240" w:lineRule="auto"/>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hideMark/>
          </w:tcPr>
          <w:p w14:paraId="0C9D8AB6" w14:textId="77777777"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121 - Notificación de cambios societarios en una sociedad operadora de casino de juego que se notifican</w:t>
            </w:r>
          </w:p>
        </w:tc>
      </w:tr>
      <w:tr w:rsidR="00157AD6" w:rsidRPr="000D1C0B" w14:paraId="614FD96E" w14:textId="77777777" w:rsidTr="00B505ED">
        <w:trPr>
          <w:trHeight w:val="178"/>
        </w:trPr>
        <w:tc>
          <w:tcPr>
            <w:tcW w:w="2547" w:type="dxa"/>
            <w:vMerge/>
            <w:tcBorders>
              <w:left w:val="single" w:sz="4" w:space="0" w:color="auto"/>
              <w:bottom w:val="single" w:sz="4" w:space="0" w:color="000000"/>
              <w:right w:val="single" w:sz="4" w:space="0" w:color="auto"/>
            </w:tcBorders>
            <w:vAlign w:val="center"/>
            <w:hideMark/>
          </w:tcPr>
          <w:p w14:paraId="14DA9054" w14:textId="77777777" w:rsidR="00157AD6" w:rsidRPr="000D1C0B" w:rsidRDefault="00157AD6" w:rsidP="00157AD6">
            <w:pPr>
              <w:spacing w:after="0" w:line="240" w:lineRule="auto"/>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hideMark/>
          </w:tcPr>
          <w:p w14:paraId="1FDFA1D3" w14:textId="77777777"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125 - Notificación de información de entrega de valores entre el casino y jugadores</w:t>
            </w:r>
          </w:p>
        </w:tc>
      </w:tr>
      <w:tr w:rsidR="00157AD6" w:rsidRPr="000D1C0B" w14:paraId="2B13D12C" w14:textId="77777777" w:rsidTr="00343204">
        <w:trPr>
          <w:trHeight w:val="300"/>
        </w:trPr>
        <w:tc>
          <w:tcPr>
            <w:tcW w:w="2547" w:type="dxa"/>
            <w:vMerge w:val="restart"/>
            <w:tcBorders>
              <w:left w:val="single" w:sz="4" w:space="0" w:color="auto"/>
              <w:right w:val="single" w:sz="4" w:space="0" w:color="auto"/>
            </w:tcBorders>
            <w:shd w:val="clear" w:color="auto" w:fill="8EAADB" w:themeFill="accent1" w:themeFillTint="99"/>
            <w:vAlign w:val="center"/>
          </w:tcPr>
          <w:p w14:paraId="04A9DCFB" w14:textId="22F798D0"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15 días hábiles de ocurridos los hechos</w:t>
            </w:r>
          </w:p>
        </w:tc>
        <w:tc>
          <w:tcPr>
            <w:tcW w:w="10631" w:type="dxa"/>
            <w:tcBorders>
              <w:top w:val="nil"/>
              <w:left w:val="nil"/>
              <w:bottom w:val="single" w:sz="4" w:space="0" w:color="auto"/>
              <w:right w:val="single" w:sz="4" w:space="0" w:color="auto"/>
            </w:tcBorders>
            <w:shd w:val="clear" w:color="auto" w:fill="auto"/>
            <w:noWrap/>
            <w:vAlign w:val="center"/>
          </w:tcPr>
          <w:p w14:paraId="038F49EE" w14:textId="18B1656E"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119 - Notificación de ciberseguridad</w:t>
            </w:r>
          </w:p>
        </w:tc>
      </w:tr>
      <w:tr w:rsidR="00157AD6" w:rsidRPr="000D1C0B" w14:paraId="4800C66F" w14:textId="77777777" w:rsidTr="00343204">
        <w:trPr>
          <w:trHeight w:val="300"/>
        </w:trPr>
        <w:tc>
          <w:tcPr>
            <w:tcW w:w="2547" w:type="dxa"/>
            <w:vMerge/>
            <w:tcBorders>
              <w:left w:val="single" w:sz="4" w:space="0" w:color="auto"/>
              <w:bottom w:val="single" w:sz="4" w:space="0" w:color="000000"/>
              <w:right w:val="single" w:sz="4" w:space="0" w:color="auto"/>
            </w:tcBorders>
            <w:shd w:val="clear" w:color="auto" w:fill="8EAADB" w:themeFill="accent1" w:themeFillTint="99"/>
            <w:vAlign w:val="center"/>
          </w:tcPr>
          <w:p w14:paraId="77A7B680" w14:textId="77777777"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78113A91" w14:textId="5C9532CF"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 xml:space="preserve">Circular 119 - Notificación de reportes de </w:t>
            </w:r>
            <w:proofErr w:type="spellStart"/>
            <w:r w:rsidRPr="000D1C0B">
              <w:rPr>
                <w:rFonts w:ascii="Arial" w:eastAsia="Times New Roman" w:hAnsi="Arial" w:cs="Arial"/>
                <w:color w:val="000000"/>
                <w:sz w:val="18"/>
                <w:szCs w:val="18"/>
                <w:lang w:eastAsia="es-CL"/>
              </w:rPr>
              <w:t>ciberincidentes</w:t>
            </w:r>
            <w:proofErr w:type="spellEnd"/>
          </w:p>
        </w:tc>
      </w:tr>
      <w:tr w:rsidR="00157AD6" w:rsidRPr="000D1C0B" w14:paraId="35F900C6" w14:textId="77777777" w:rsidTr="0019561E">
        <w:trPr>
          <w:trHeight w:val="300"/>
        </w:trPr>
        <w:tc>
          <w:tcPr>
            <w:tcW w:w="2547" w:type="dxa"/>
            <w:tcBorders>
              <w:top w:val="nil"/>
              <w:left w:val="single" w:sz="4" w:space="0" w:color="auto"/>
              <w:bottom w:val="single" w:sz="4" w:space="0" w:color="000000"/>
              <w:right w:val="single" w:sz="4" w:space="0" w:color="auto"/>
            </w:tcBorders>
            <w:shd w:val="clear" w:color="auto" w:fill="8EAADB" w:themeFill="accent1" w:themeFillTint="99"/>
            <w:vAlign w:val="center"/>
          </w:tcPr>
          <w:p w14:paraId="28E01EB0" w14:textId="2F9B23CD"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20 días hábiles de ocurridos los hechos</w:t>
            </w:r>
          </w:p>
        </w:tc>
        <w:tc>
          <w:tcPr>
            <w:tcW w:w="10631" w:type="dxa"/>
            <w:tcBorders>
              <w:top w:val="nil"/>
              <w:left w:val="nil"/>
              <w:bottom w:val="single" w:sz="4" w:space="0" w:color="auto"/>
              <w:right w:val="single" w:sz="4" w:space="0" w:color="auto"/>
            </w:tcBorders>
            <w:shd w:val="clear" w:color="auto" w:fill="auto"/>
            <w:noWrap/>
            <w:vAlign w:val="center"/>
          </w:tcPr>
          <w:p w14:paraId="3905FE49" w14:textId="6ECAB81E"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 xml:space="preserve">Circular 119 - Notificación de reportes de </w:t>
            </w:r>
            <w:proofErr w:type="spellStart"/>
            <w:r w:rsidRPr="000D1C0B">
              <w:rPr>
                <w:rFonts w:ascii="Arial" w:eastAsia="Times New Roman" w:hAnsi="Arial" w:cs="Arial"/>
                <w:color w:val="000000"/>
                <w:sz w:val="18"/>
                <w:szCs w:val="18"/>
                <w:lang w:eastAsia="es-CL"/>
              </w:rPr>
              <w:t>ciberincidentes</w:t>
            </w:r>
            <w:proofErr w:type="spellEnd"/>
          </w:p>
        </w:tc>
      </w:tr>
      <w:tr w:rsidR="00157AD6" w:rsidRPr="000D1C0B" w14:paraId="603CB330" w14:textId="77777777" w:rsidTr="0029030B">
        <w:trPr>
          <w:trHeight w:val="168"/>
        </w:trPr>
        <w:tc>
          <w:tcPr>
            <w:tcW w:w="2547" w:type="dxa"/>
            <w:vMerge w:val="restart"/>
            <w:tcBorders>
              <w:top w:val="nil"/>
              <w:left w:val="single" w:sz="4" w:space="0" w:color="auto"/>
              <w:right w:val="single" w:sz="4" w:space="0" w:color="auto"/>
            </w:tcBorders>
            <w:shd w:val="clear" w:color="000000" w:fill="8EAADB"/>
            <w:vAlign w:val="center"/>
          </w:tcPr>
          <w:p w14:paraId="4F5534E1" w14:textId="77777777"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30 días hábiles de ocurridos los hechos</w:t>
            </w:r>
          </w:p>
        </w:tc>
        <w:tc>
          <w:tcPr>
            <w:tcW w:w="10631" w:type="dxa"/>
            <w:tcBorders>
              <w:top w:val="nil"/>
              <w:left w:val="nil"/>
              <w:bottom w:val="single" w:sz="4" w:space="0" w:color="auto"/>
              <w:right w:val="single" w:sz="4" w:space="0" w:color="auto"/>
            </w:tcBorders>
            <w:shd w:val="clear" w:color="auto" w:fill="auto"/>
            <w:noWrap/>
            <w:vAlign w:val="center"/>
          </w:tcPr>
          <w:p w14:paraId="12DA6AB7" w14:textId="77777777"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103 - Notificación de cumplimiento normativo</w:t>
            </w:r>
          </w:p>
        </w:tc>
      </w:tr>
      <w:tr w:rsidR="00157AD6" w:rsidRPr="000D1C0B" w14:paraId="0562DC07" w14:textId="77777777" w:rsidTr="0029030B">
        <w:trPr>
          <w:trHeight w:val="143"/>
        </w:trPr>
        <w:tc>
          <w:tcPr>
            <w:tcW w:w="2547" w:type="dxa"/>
            <w:vMerge/>
            <w:tcBorders>
              <w:left w:val="single" w:sz="4" w:space="0" w:color="auto"/>
              <w:right w:val="single" w:sz="4" w:space="0" w:color="auto"/>
            </w:tcBorders>
            <w:shd w:val="clear" w:color="000000" w:fill="8EAADB"/>
            <w:vAlign w:val="center"/>
          </w:tcPr>
          <w:p w14:paraId="13B327EF" w14:textId="77777777"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5B0FBA17" w14:textId="77777777"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119 - Notificación de ciberseguridad</w:t>
            </w:r>
          </w:p>
        </w:tc>
      </w:tr>
      <w:tr w:rsidR="00157AD6" w:rsidRPr="000D1C0B" w14:paraId="4A438CB2" w14:textId="77777777" w:rsidTr="00B505ED">
        <w:trPr>
          <w:trHeight w:val="188"/>
        </w:trPr>
        <w:tc>
          <w:tcPr>
            <w:tcW w:w="2547" w:type="dxa"/>
            <w:vMerge/>
            <w:tcBorders>
              <w:left w:val="single" w:sz="4" w:space="0" w:color="auto"/>
              <w:bottom w:val="single" w:sz="4" w:space="0" w:color="000000"/>
              <w:right w:val="single" w:sz="4" w:space="0" w:color="auto"/>
            </w:tcBorders>
            <w:shd w:val="clear" w:color="000000" w:fill="8EAADB"/>
            <w:vAlign w:val="center"/>
          </w:tcPr>
          <w:p w14:paraId="3C9F9996" w14:textId="77777777"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51D3ED4D" w14:textId="033AD70D"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127 - Notificación de información financiera de sociedades operadoras</w:t>
            </w:r>
          </w:p>
        </w:tc>
      </w:tr>
      <w:tr w:rsidR="00157AD6" w:rsidRPr="000D1C0B" w14:paraId="6BCB5827" w14:textId="77777777" w:rsidTr="00414D29">
        <w:trPr>
          <w:trHeight w:val="289"/>
        </w:trPr>
        <w:tc>
          <w:tcPr>
            <w:tcW w:w="2547" w:type="dxa"/>
            <w:tcBorders>
              <w:left w:val="single" w:sz="4" w:space="0" w:color="auto"/>
              <w:bottom w:val="single" w:sz="4" w:space="0" w:color="auto"/>
              <w:right w:val="single" w:sz="4" w:space="0" w:color="auto"/>
            </w:tcBorders>
            <w:shd w:val="clear" w:color="000000" w:fill="8EAADB"/>
            <w:vAlign w:val="center"/>
          </w:tcPr>
          <w:p w14:paraId="2CC01DDE" w14:textId="15A5691C"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60 días hábiles de ocurridos los hechos</w:t>
            </w:r>
          </w:p>
        </w:tc>
        <w:tc>
          <w:tcPr>
            <w:tcW w:w="10631" w:type="dxa"/>
            <w:tcBorders>
              <w:top w:val="nil"/>
              <w:left w:val="nil"/>
              <w:bottom w:val="single" w:sz="4" w:space="0" w:color="auto"/>
              <w:right w:val="single" w:sz="4" w:space="0" w:color="auto"/>
            </w:tcBorders>
            <w:shd w:val="clear" w:color="auto" w:fill="auto"/>
            <w:noWrap/>
            <w:vAlign w:val="center"/>
          </w:tcPr>
          <w:p w14:paraId="614694E7" w14:textId="3F4D60A4" w:rsidR="00157AD6" w:rsidRPr="000D1C0B" w:rsidDel="00CD4C1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121 - Notificación de cambios societarios en una sociedad operadora de casino de juego que se notifican</w:t>
            </w:r>
          </w:p>
        </w:tc>
      </w:tr>
      <w:tr w:rsidR="00157AD6" w:rsidRPr="000D1C0B" w14:paraId="72B8932E" w14:textId="77777777" w:rsidTr="00414D29">
        <w:trPr>
          <w:trHeight w:val="289"/>
        </w:trPr>
        <w:tc>
          <w:tcPr>
            <w:tcW w:w="2547" w:type="dxa"/>
            <w:tcBorders>
              <w:left w:val="single" w:sz="4" w:space="0" w:color="auto"/>
              <w:bottom w:val="single" w:sz="4" w:space="0" w:color="auto"/>
              <w:right w:val="single" w:sz="4" w:space="0" w:color="auto"/>
            </w:tcBorders>
            <w:shd w:val="clear" w:color="000000" w:fill="8EAADB"/>
            <w:vAlign w:val="center"/>
          </w:tcPr>
          <w:p w14:paraId="7301C222" w14:textId="05218F84"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90 días hábiles de ocurridos los hechos</w:t>
            </w:r>
          </w:p>
        </w:tc>
        <w:tc>
          <w:tcPr>
            <w:tcW w:w="10631" w:type="dxa"/>
            <w:tcBorders>
              <w:top w:val="nil"/>
              <w:left w:val="nil"/>
              <w:bottom w:val="single" w:sz="4" w:space="0" w:color="auto"/>
              <w:right w:val="single" w:sz="4" w:space="0" w:color="auto"/>
            </w:tcBorders>
            <w:shd w:val="clear" w:color="auto" w:fill="auto"/>
            <w:noWrap/>
            <w:vAlign w:val="center"/>
          </w:tcPr>
          <w:p w14:paraId="258176D5" w14:textId="69859B9A" w:rsidR="00157AD6" w:rsidRPr="000D1C0B" w:rsidDel="00CD4C1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121 - Notificación de cambios societarios en una sociedad operadora de casino de juego que se notifican</w:t>
            </w:r>
          </w:p>
        </w:tc>
      </w:tr>
      <w:tr w:rsidR="00157AD6" w:rsidRPr="000D1C0B" w14:paraId="2FB66A78" w14:textId="77777777" w:rsidTr="00414D29">
        <w:trPr>
          <w:trHeight w:val="257"/>
        </w:trPr>
        <w:tc>
          <w:tcPr>
            <w:tcW w:w="2547" w:type="dxa"/>
            <w:vMerge w:val="restart"/>
            <w:tcBorders>
              <w:top w:val="nil"/>
              <w:left w:val="single" w:sz="4" w:space="0" w:color="auto"/>
              <w:right w:val="single" w:sz="4" w:space="0" w:color="auto"/>
            </w:tcBorders>
            <w:shd w:val="clear" w:color="000000" w:fill="8EAADB"/>
            <w:vAlign w:val="center"/>
          </w:tcPr>
          <w:p w14:paraId="23D0A174" w14:textId="77777777"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Una vez al año</w:t>
            </w:r>
          </w:p>
          <w:p w14:paraId="15CEA4C0" w14:textId="77777777"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 xml:space="preserve"> (fecha definida)</w:t>
            </w:r>
          </w:p>
        </w:tc>
        <w:tc>
          <w:tcPr>
            <w:tcW w:w="10631" w:type="dxa"/>
            <w:tcBorders>
              <w:top w:val="nil"/>
              <w:left w:val="nil"/>
              <w:bottom w:val="single" w:sz="4" w:space="0" w:color="auto"/>
              <w:right w:val="single" w:sz="4" w:space="0" w:color="auto"/>
            </w:tcBorders>
            <w:shd w:val="clear" w:color="auto" w:fill="auto"/>
            <w:noWrap/>
            <w:vAlign w:val="center"/>
          </w:tcPr>
          <w:p w14:paraId="339329C6" w14:textId="77777777"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103 - Notificación de cumplimiento normativo</w:t>
            </w:r>
          </w:p>
        </w:tc>
      </w:tr>
      <w:tr w:rsidR="00157AD6" w:rsidRPr="000D1C0B" w14:paraId="7754F8A2" w14:textId="77777777" w:rsidTr="00B505ED">
        <w:trPr>
          <w:trHeight w:val="187"/>
        </w:trPr>
        <w:tc>
          <w:tcPr>
            <w:tcW w:w="2547" w:type="dxa"/>
            <w:vMerge/>
            <w:tcBorders>
              <w:left w:val="single" w:sz="4" w:space="0" w:color="auto"/>
              <w:right w:val="single" w:sz="4" w:space="0" w:color="auto"/>
            </w:tcBorders>
            <w:shd w:val="clear" w:color="000000" w:fill="8EAADB"/>
            <w:vAlign w:val="center"/>
          </w:tcPr>
          <w:p w14:paraId="041F59C2" w14:textId="77777777"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41C32AFD" w14:textId="77777777"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106 - Notificación de inventario de repuestos del SMC</w:t>
            </w:r>
          </w:p>
        </w:tc>
      </w:tr>
      <w:tr w:rsidR="00157AD6" w:rsidRPr="000D1C0B" w14:paraId="136C64BD" w14:textId="77777777" w:rsidTr="00401613">
        <w:trPr>
          <w:trHeight w:val="265"/>
        </w:trPr>
        <w:tc>
          <w:tcPr>
            <w:tcW w:w="2547" w:type="dxa"/>
            <w:vMerge/>
            <w:tcBorders>
              <w:left w:val="single" w:sz="4" w:space="0" w:color="auto"/>
              <w:bottom w:val="single" w:sz="4" w:space="0" w:color="auto"/>
              <w:right w:val="single" w:sz="4" w:space="0" w:color="auto"/>
            </w:tcBorders>
            <w:shd w:val="clear" w:color="000000" w:fill="8EAADB"/>
            <w:vAlign w:val="center"/>
          </w:tcPr>
          <w:p w14:paraId="11D35F0F" w14:textId="77777777"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p>
        </w:tc>
        <w:tc>
          <w:tcPr>
            <w:tcW w:w="10631" w:type="dxa"/>
            <w:tcBorders>
              <w:top w:val="nil"/>
              <w:left w:val="nil"/>
              <w:bottom w:val="single" w:sz="4" w:space="0" w:color="auto"/>
              <w:right w:val="single" w:sz="4" w:space="0" w:color="auto"/>
            </w:tcBorders>
            <w:shd w:val="clear" w:color="auto" w:fill="auto"/>
            <w:noWrap/>
            <w:vAlign w:val="center"/>
          </w:tcPr>
          <w:p w14:paraId="74F26DD4" w14:textId="36F147C8" w:rsidR="00157AD6" w:rsidRPr="000D1C0B" w:rsidRDefault="00157AD6" w:rsidP="00157AD6">
            <w:pPr>
              <w:spacing w:after="0" w:line="240" w:lineRule="auto"/>
              <w:jc w:val="both"/>
              <w:rPr>
                <w:rFonts w:ascii="Arial" w:hAnsi="Arial" w:cs="Arial"/>
                <w:bCs/>
                <w:spacing w:val="-3"/>
                <w:sz w:val="18"/>
                <w:szCs w:val="18"/>
              </w:rPr>
            </w:pPr>
            <w:r w:rsidRPr="000D1C0B">
              <w:rPr>
                <w:rFonts w:ascii="Arial" w:eastAsia="Times New Roman" w:hAnsi="Arial" w:cs="Arial"/>
                <w:color w:val="000000"/>
                <w:sz w:val="18"/>
                <w:szCs w:val="18"/>
                <w:lang w:eastAsia="es-CL"/>
              </w:rPr>
              <w:t xml:space="preserve">Circular 127 - </w:t>
            </w:r>
            <w:r w:rsidRPr="000D1C0B">
              <w:rPr>
                <w:rFonts w:ascii="Arial" w:hAnsi="Arial" w:cs="Arial"/>
                <w:bCs/>
                <w:spacing w:val="-3"/>
                <w:sz w:val="18"/>
                <w:szCs w:val="18"/>
              </w:rPr>
              <w:t>Notificación de información financiera de sociedades concesionarias</w:t>
            </w:r>
          </w:p>
        </w:tc>
      </w:tr>
      <w:tr w:rsidR="00157AD6" w:rsidRPr="000D1C0B" w14:paraId="40079051" w14:textId="77777777" w:rsidTr="00DC1CD8">
        <w:trPr>
          <w:trHeight w:val="276"/>
        </w:trPr>
        <w:tc>
          <w:tcPr>
            <w:tcW w:w="2547" w:type="dxa"/>
            <w:tcBorders>
              <w:top w:val="nil"/>
              <w:left w:val="single" w:sz="4" w:space="0" w:color="auto"/>
              <w:bottom w:val="single" w:sz="4" w:space="0" w:color="000000"/>
              <w:right w:val="single" w:sz="4" w:space="0" w:color="auto"/>
            </w:tcBorders>
            <w:shd w:val="clear" w:color="000000" w:fill="8EAADB"/>
            <w:vAlign w:val="center"/>
            <w:hideMark/>
          </w:tcPr>
          <w:p w14:paraId="0DBBBFCF" w14:textId="77777777"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Una vez al año</w:t>
            </w:r>
          </w:p>
          <w:p w14:paraId="027B8F46" w14:textId="5AFB8215"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(año calendario)</w:t>
            </w:r>
          </w:p>
        </w:tc>
        <w:tc>
          <w:tcPr>
            <w:tcW w:w="10631" w:type="dxa"/>
            <w:tcBorders>
              <w:top w:val="nil"/>
              <w:left w:val="nil"/>
              <w:bottom w:val="single" w:sz="4" w:space="0" w:color="auto"/>
              <w:right w:val="single" w:sz="4" w:space="0" w:color="auto"/>
            </w:tcBorders>
            <w:shd w:val="clear" w:color="auto" w:fill="auto"/>
            <w:noWrap/>
            <w:vAlign w:val="center"/>
            <w:hideMark/>
          </w:tcPr>
          <w:p w14:paraId="593421F5" w14:textId="77777777"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113 - Notificación del pago anual de la oferta económica,</w:t>
            </w:r>
            <w:r w:rsidRPr="000D1C0B">
              <w:rPr>
                <w:rFonts w:ascii="Arial" w:hAnsi="Arial" w:cs="Arial"/>
                <w:sz w:val="18"/>
                <w:szCs w:val="18"/>
              </w:rPr>
              <w:t xml:space="preserve"> </w:t>
            </w:r>
            <w:r w:rsidRPr="000D1C0B">
              <w:rPr>
                <w:rFonts w:ascii="Arial" w:eastAsia="Times New Roman" w:hAnsi="Arial" w:cs="Arial"/>
                <w:color w:val="000000"/>
                <w:sz w:val="18"/>
                <w:szCs w:val="18"/>
                <w:lang w:eastAsia="es-CL"/>
              </w:rPr>
              <w:t>sobre permisos de operación de casinos de juego</w:t>
            </w:r>
          </w:p>
        </w:tc>
      </w:tr>
      <w:tr w:rsidR="00157AD6" w:rsidRPr="000D1C0B" w14:paraId="1E5A50F7" w14:textId="77777777" w:rsidTr="00DC1CD8">
        <w:trPr>
          <w:trHeight w:val="276"/>
        </w:trPr>
        <w:tc>
          <w:tcPr>
            <w:tcW w:w="2547" w:type="dxa"/>
            <w:tcBorders>
              <w:top w:val="nil"/>
              <w:left w:val="single" w:sz="4" w:space="0" w:color="auto"/>
              <w:bottom w:val="single" w:sz="4" w:space="0" w:color="000000"/>
              <w:right w:val="single" w:sz="4" w:space="0" w:color="auto"/>
            </w:tcBorders>
            <w:shd w:val="clear" w:color="000000" w:fill="8EAADB"/>
            <w:vAlign w:val="center"/>
          </w:tcPr>
          <w:p w14:paraId="24040D5E" w14:textId="481A128E"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 xml:space="preserve">Mas de una vez al año </w:t>
            </w:r>
          </w:p>
          <w:p w14:paraId="2C54F08F" w14:textId="26EB17FD" w:rsidR="00157AD6" w:rsidRPr="000D1C0B" w:rsidRDefault="00157AD6" w:rsidP="00157AD6">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(fecha definida)</w:t>
            </w:r>
          </w:p>
        </w:tc>
        <w:tc>
          <w:tcPr>
            <w:tcW w:w="10631" w:type="dxa"/>
            <w:tcBorders>
              <w:top w:val="nil"/>
              <w:left w:val="nil"/>
              <w:bottom w:val="single" w:sz="4" w:space="0" w:color="auto"/>
              <w:right w:val="single" w:sz="4" w:space="0" w:color="auto"/>
            </w:tcBorders>
            <w:shd w:val="clear" w:color="auto" w:fill="auto"/>
            <w:noWrap/>
            <w:vAlign w:val="center"/>
          </w:tcPr>
          <w:p w14:paraId="519D65E1" w14:textId="1634103C" w:rsidR="00157AD6" w:rsidRPr="000D1C0B" w:rsidRDefault="00157AD6" w:rsidP="00157AD6">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127 - Notificación de información financiera de sociedades operadoras</w:t>
            </w:r>
          </w:p>
        </w:tc>
      </w:tr>
    </w:tbl>
    <w:p w14:paraId="3AD0BAF9" w14:textId="74A1B360" w:rsidR="00F35623" w:rsidRPr="000D1C0B" w:rsidRDefault="00F35623" w:rsidP="00F35623">
      <w:pPr>
        <w:tabs>
          <w:tab w:val="left" w:pos="4536"/>
        </w:tabs>
        <w:spacing w:after="0" w:line="240" w:lineRule="auto"/>
        <w:ind w:right="49"/>
        <w:jc w:val="both"/>
        <w:rPr>
          <w:rFonts w:ascii="Arial" w:eastAsia="Times New Roman" w:hAnsi="Arial" w:cs="Arial"/>
          <w:b/>
          <w:bCs/>
          <w:sz w:val="18"/>
          <w:szCs w:val="18"/>
          <w:lang w:val="es-ES" w:eastAsia="es-ES"/>
        </w:rPr>
      </w:pPr>
    </w:p>
    <w:tbl>
      <w:tblPr>
        <w:tblW w:w="13178" w:type="dxa"/>
        <w:tblCellMar>
          <w:left w:w="70" w:type="dxa"/>
          <w:right w:w="70" w:type="dxa"/>
        </w:tblCellMar>
        <w:tblLook w:val="04A0" w:firstRow="1" w:lastRow="0" w:firstColumn="1" w:lastColumn="0" w:noHBand="0" w:noVBand="1"/>
      </w:tblPr>
      <w:tblGrid>
        <w:gridCol w:w="2547"/>
        <w:gridCol w:w="10631"/>
      </w:tblGrid>
      <w:tr w:rsidR="00F35623" w:rsidRPr="000D1C0B" w14:paraId="1426C999" w14:textId="77777777" w:rsidTr="00F35623">
        <w:trPr>
          <w:trHeight w:val="318"/>
        </w:trPr>
        <w:tc>
          <w:tcPr>
            <w:tcW w:w="2547" w:type="dxa"/>
            <w:vMerge w:val="restart"/>
            <w:tcBorders>
              <w:top w:val="single" w:sz="4" w:space="0" w:color="auto"/>
              <w:left w:val="single" w:sz="4" w:space="0" w:color="auto"/>
              <w:bottom w:val="single" w:sz="4" w:space="0" w:color="auto"/>
              <w:right w:val="single" w:sz="4" w:space="0" w:color="auto"/>
            </w:tcBorders>
            <w:shd w:val="clear" w:color="000000" w:fill="8EAADB"/>
            <w:vAlign w:val="center"/>
          </w:tcPr>
          <w:p w14:paraId="06CE47A3" w14:textId="77777777" w:rsidR="00F35623" w:rsidRPr="000D1C0B" w:rsidRDefault="00F35623" w:rsidP="009A336D">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t>Día 15 de cada mes</w:t>
            </w:r>
          </w:p>
        </w:tc>
        <w:tc>
          <w:tcPr>
            <w:tcW w:w="10631" w:type="dxa"/>
            <w:tcBorders>
              <w:top w:val="single" w:sz="4" w:space="0" w:color="auto"/>
              <w:left w:val="nil"/>
              <w:bottom w:val="single" w:sz="4" w:space="0" w:color="auto"/>
              <w:right w:val="single" w:sz="4" w:space="0" w:color="auto"/>
            </w:tcBorders>
            <w:shd w:val="clear" w:color="auto" w:fill="auto"/>
            <w:noWrap/>
            <w:vAlign w:val="center"/>
          </w:tcPr>
          <w:p w14:paraId="329EE0E7" w14:textId="77777777" w:rsidR="00F35623" w:rsidRPr="000D1C0B" w:rsidRDefault="00F35623" w:rsidP="009A336D">
            <w:pPr>
              <w:spacing w:after="0" w:line="240" w:lineRule="auto"/>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34 - Notificación de información operacional de casinos de juego</w:t>
            </w:r>
          </w:p>
        </w:tc>
      </w:tr>
      <w:tr w:rsidR="00F35623" w:rsidRPr="000D1C0B" w14:paraId="110DCC12" w14:textId="77777777" w:rsidTr="00F35623">
        <w:trPr>
          <w:trHeight w:val="318"/>
        </w:trPr>
        <w:tc>
          <w:tcPr>
            <w:tcW w:w="2547" w:type="dxa"/>
            <w:vMerge/>
            <w:tcBorders>
              <w:top w:val="single" w:sz="4" w:space="0" w:color="auto"/>
              <w:left w:val="single" w:sz="4" w:space="0" w:color="auto"/>
              <w:bottom w:val="single" w:sz="4" w:space="0" w:color="auto"/>
              <w:right w:val="single" w:sz="4" w:space="0" w:color="auto"/>
            </w:tcBorders>
            <w:shd w:val="clear" w:color="000000" w:fill="8EAADB"/>
            <w:vAlign w:val="center"/>
          </w:tcPr>
          <w:p w14:paraId="2F10B798" w14:textId="77777777" w:rsidR="00F35623" w:rsidRPr="000D1C0B" w:rsidRDefault="00F35623" w:rsidP="009A336D">
            <w:pPr>
              <w:spacing w:after="0" w:line="240" w:lineRule="auto"/>
              <w:rPr>
                <w:rFonts w:ascii="Arial" w:eastAsia="Times New Roman" w:hAnsi="Arial" w:cs="Arial"/>
                <w:b/>
                <w:bCs/>
                <w:color w:val="000000"/>
                <w:sz w:val="18"/>
                <w:szCs w:val="18"/>
                <w:lang w:eastAsia="es-CL"/>
              </w:rPr>
            </w:pPr>
          </w:p>
        </w:tc>
        <w:tc>
          <w:tcPr>
            <w:tcW w:w="10631" w:type="dxa"/>
            <w:tcBorders>
              <w:top w:val="single" w:sz="4" w:space="0" w:color="auto"/>
              <w:left w:val="nil"/>
              <w:bottom w:val="single" w:sz="4" w:space="0" w:color="auto"/>
              <w:right w:val="single" w:sz="4" w:space="0" w:color="auto"/>
            </w:tcBorders>
            <w:shd w:val="clear" w:color="auto" w:fill="auto"/>
            <w:noWrap/>
            <w:vAlign w:val="center"/>
          </w:tcPr>
          <w:p w14:paraId="2F6000DC" w14:textId="77777777" w:rsidR="00F35623" w:rsidRPr="000D1C0B" w:rsidRDefault="00F35623" w:rsidP="009A336D">
            <w:pPr>
              <w:spacing w:after="0" w:line="240" w:lineRule="auto"/>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13 y 34 - Notificación de reclamos a los casinos de juego</w:t>
            </w:r>
          </w:p>
        </w:tc>
      </w:tr>
      <w:tr w:rsidR="00F35623" w:rsidRPr="000D1C0B" w14:paraId="0463DD01" w14:textId="77777777" w:rsidTr="009A336D">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5A8157" w14:textId="77777777" w:rsidR="00F35623" w:rsidRPr="000D1C0B" w:rsidRDefault="00F35623" w:rsidP="009A336D">
            <w:pPr>
              <w:spacing w:after="0" w:line="240" w:lineRule="auto"/>
              <w:jc w:val="center"/>
              <w:rPr>
                <w:rFonts w:ascii="Arial" w:eastAsia="Times New Roman" w:hAnsi="Arial" w:cs="Arial"/>
                <w:b/>
                <w:bCs/>
                <w:color w:val="000000"/>
                <w:sz w:val="18"/>
                <w:szCs w:val="18"/>
                <w:lang w:eastAsia="es-CL"/>
              </w:rPr>
            </w:pPr>
            <w:r w:rsidRPr="000D1C0B">
              <w:rPr>
                <w:rFonts w:ascii="Arial" w:eastAsia="Times New Roman" w:hAnsi="Arial" w:cs="Arial"/>
                <w:b/>
                <w:bCs/>
                <w:color w:val="000000"/>
                <w:sz w:val="18"/>
                <w:szCs w:val="18"/>
                <w:lang w:eastAsia="es-CL"/>
              </w:rPr>
              <w:lastRenderedPageBreak/>
              <w:t>20 días corridos de ocurridos los hechos</w:t>
            </w:r>
            <w:r w:rsidRPr="000D1C0B">
              <w:rPr>
                <w:rFonts w:ascii="Arial" w:eastAsia="Times New Roman" w:hAnsi="Arial" w:cs="Arial"/>
                <w:b/>
                <w:bCs/>
                <w:color w:val="000000"/>
                <w:sz w:val="18"/>
                <w:szCs w:val="18"/>
                <w:vertAlign w:val="superscript"/>
                <w:lang w:eastAsia="es-CL"/>
              </w:rPr>
              <w:footnoteReference w:id="5"/>
            </w:r>
          </w:p>
        </w:tc>
        <w:tc>
          <w:tcPr>
            <w:tcW w:w="10631" w:type="dxa"/>
            <w:tcBorders>
              <w:top w:val="single" w:sz="4" w:space="0" w:color="auto"/>
              <w:left w:val="nil"/>
              <w:bottom w:val="single" w:sz="4" w:space="0" w:color="auto"/>
              <w:right w:val="single" w:sz="4" w:space="0" w:color="auto"/>
            </w:tcBorders>
            <w:shd w:val="clear" w:color="auto" w:fill="auto"/>
            <w:noWrap/>
            <w:vAlign w:val="center"/>
          </w:tcPr>
          <w:p w14:paraId="0020C64B" w14:textId="77777777" w:rsidR="00F35623" w:rsidRPr="000D1C0B" w:rsidRDefault="00F35623" w:rsidP="009A336D">
            <w:pPr>
              <w:spacing w:after="0" w:line="240" w:lineRule="auto"/>
              <w:jc w:val="both"/>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57 - Notificación de prevención de lavado de activos</w:t>
            </w:r>
          </w:p>
        </w:tc>
      </w:tr>
    </w:tbl>
    <w:p w14:paraId="7A6B70AB" w14:textId="77777777" w:rsidR="00F35623" w:rsidRPr="000D1C0B" w:rsidRDefault="00F35623" w:rsidP="00F35623">
      <w:pPr>
        <w:tabs>
          <w:tab w:val="left" w:pos="4536"/>
        </w:tabs>
        <w:spacing w:after="0" w:line="240" w:lineRule="auto"/>
        <w:ind w:right="49"/>
        <w:jc w:val="both"/>
        <w:rPr>
          <w:rFonts w:ascii="Arial" w:eastAsia="Times New Roman" w:hAnsi="Arial" w:cs="Arial"/>
          <w:b/>
          <w:bCs/>
          <w:sz w:val="18"/>
          <w:szCs w:val="18"/>
          <w:lang w:val="es-ES" w:eastAsia="es-ES"/>
        </w:rPr>
      </w:pPr>
    </w:p>
    <w:p w14:paraId="6C52D03C" w14:textId="092AA6E6" w:rsidR="00475F0D" w:rsidRPr="000D1C0B" w:rsidRDefault="00475F0D" w:rsidP="00C033AD">
      <w:pPr>
        <w:pStyle w:val="Ttulo1"/>
        <w:numPr>
          <w:ilvl w:val="0"/>
          <w:numId w:val="43"/>
        </w:numPr>
        <w:jc w:val="left"/>
        <w:rPr>
          <w:b w:val="0"/>
          <w:bCs/>
          <w:sz w:val="18"/>
          <w:szCs w:val="18"/>
        </w:rPr>
      </w:pPr>
      <w:r w:rsidRPr="000D1C0B">
        <w:rPr>
          <w:sz w:val="18"/>
          <w:szCs w:val="18"/>
        </w:rPr>
        <w:t>MODIFICACIONES</w:t>
      </w:r>
      <w:r w:rsidR="00840F35" w:rsidRPr="000D1C0B">
        <w:rPr>
          <w:rStyle w:val="Refdenotaalpie"/>
          <w:b w:val="0"/>
          <w:bCs/>
          <w:sz w:val="18"/>
          <w:szCs w:val="18"/>
        </w:rPr>
        <w:footnoteReference w:id="6"/>
      </w:r>
    </w:p>
    <w:p w14:paraId="10614A1D" w14:textId="327B6A36" w:rsidR="00475F0D" w:rsidRPr="000D1C0B" w:rsidRDefault="00475F0D" w:rsidP="00475F0D">
      <w:pPr>
        <w:spacing w:after="0" w:line="240" w:lineRule="auto"/>
        <w:ind w:left="284"/>
        <w:jc w:val="both"/>
        <w:rPr>
          <w:rFonts w:ascii="Arial" w:hAnsi="Arial" w:cs="Arial"/>
          <w:b/>
          <w:spacing w:val="-3"/>
          <w:sz w:val="18"/>
          <w:szCs w:val="18"/>
        </w:rPr>
      </w:pPr>
    </w:p>
    <w:p w14:paraId="35B3B572" w14:textId="166C1F41" w:rsidR="009B318A" w:rsidRPr="000D1C0B" w:rsidRDefault="008037AD" w:rsidP="00FA2832">
      <w:pPr>
        <w:spacing w:after="0" w:line="240" w:lineRule="auto"/>
        <w:jc w:val="both"/>
        <w:rPr>
          <w:rFonts w:ascii="Arial" w:hAnsi="Arial" w:cs="Arial"/>
          <w:bCs/>
          <w:spacing w:val="-3"/>
          <w:sz w:val="18"/>
          <w:szCs w:val="18"/>
        </w:rPr>
      </w:pPr>
      <w:r w:rsidRPr="000D1C0B">
        <w:rPr>
          <w:rFonts w:ascii="Arial" w:hAnsi="Arial" w:cs="Arial"/>
          <w:bCs/>
          <w:spacing w:val="-3"/>
          <w:sz w:val="18"/>
          <w:szCs w:val="18"/>
        </w:rPr>
        <w:t xml:space="preserve">Conforme a </w:t>
      </w:r>
      <w:r w:rsidR="00BA07E6" w:rsidRPr="000D1C0B">
        <w:rPr>
          <w:rFonts w:ascii="Arial" w:hAnsi="Arial" w:cs="Arial"/>
          <w:bCs/>
          <w:spacing w:val="-3"/>
          <w:sz w:val="18"/>
          <w:szCs w:val="18"/>
        </w:rPr>
        <w:t xml:space="preserve">lo expuesto en el numeral </w:t>
      </w:r>
      <w:r w:rsidR="007962D8" w:rsidRPr="000D1C0B">
        <w:rPr>
          <w:rFonts w:ascii="Arial" w:hAnsi="Arial" w:cs="Arial"/>
          <w:bCs/>
          <w:spacing w:val="-3"/>
          <w:sz w:val="18"/>
          <w:szCs w:val="18"/>
        </w:rPr>
        <w:t>3</w:t>
      </w:r>
      <w:r w:rsidR="00BA07E6" w:rsidRPr="000D1C0B">
        <w:rPr>
          <w:rFonts w:ascii="Arial" w:hAnsi="Arial" w:cs="Arial"/>
          <w:bCs/>
          <w:spacing w:val="-3"/>
          <w:sz w:val="18"/>
          <w:szCs w:val="18"/>
        </w:rPr>
        <w:t xml:space="preserve"> anterior,</w:t>
      </w:r>
      <w:r w:rsidR="007962D8" w:rsidRPr="000D1C0B">
        <w:rPr>
          <w:rFonts w:ascii="Arial" w:hAnsi="Arial" w:cs="Arial"/>
          <w:bCs/>
          <w:spacing w:val="-3"/>
          <w:sz w:val="18"/>
          <w:szCs w:val="18"/>
        </w:rPr>
        <w:t xml:space="preserve"> modifíquense</w:t>
      </w:r>
      <w:r w:rsidR="00A229B2" w:rsidRPr="000D1C0B">
        <w:rPr>
          <w:rFonts w:ascii="Arial" w:hAnsi="Arial" w:cs="Arial"/>
          <w:bCs/>
          <w:spacing w:val="-3"/>
          <w:sz w:val="18"/>
          <w:szCs w:val="18"/>
        </w:rPr>
        <w:t xml:space="preserve"> las circulares que se señalan a continuación, reemplazándose</w:t>
      </w:r>
      <w:r w:rsidR="00D529E2" w:rsidRPr="000D1C0B">
        <w:rPr>
          <w:rFonts w:ascii="Arial" w:hAnsi="Arial" w:cs="Arial"/>
          <w:bCs/>
          <w:spacing w:val="-3"/>
          <w:sz w:val="18"/>
          <w:szCs w:val="18"/>
        </w:rPr>
        <w:t xml:space="preserve"> y/o eliminándose</w:t>
      </w:r>
      <w:r w:rsidR="00A229B2" w:rsidRPr="000D1C0B">
        <w:rPr>
          <w:rFonts w:ascii="Arial" w:hAnsi="Arial" w:cs="Arial"/>
          <w:bCs/>
          <w:spacing w:val="-3"/>
          <w:sz w:val="18"/>
          <w:szCs w:val="18"/>
        </w:rPr>
        <w:t xml:space="preserve"> los párrafos</w:t>
      </w:r>
      <w:r w:rsidR="00BA07E6" w:rsidRPr="000D1C0B">
        <w:rPr>
          <w:rFonts w:ascii="Arial" w:hAnsi="Arial" w:cs="Arial"/>
          <w:bCs/>
          <w:spacing w:val="-3"/>
          <w:sz w:val="18"/>
          <w:szCs w:val="18"/>
        </w:rPr>
        <w:t xml:space="preserve"> y/o numerales</w:t>
      </w:r>
      <w:r w:rsidR="00A229B2" w:rsidRPr="000D1C0B">
        <w:rPr>
          <w:rFonts w:ascii="Arial" w:hAnsi="Arial" w:cs="Arial"/>
          <w:bCs/>
          <w:spacing w:val="-3"/>
          <w:sz w:val="18"/>
          <w:szCs w:val="18"/>
        </w:rPr>
        <w:t xml:space="preserve"> específicos que se indiquen para cada una de ellas:</w:t>
      </w:r>
    </w:p>
    <w:p w14:paraId="641E1A7B" w14:textId="77777777" w:rsidR="00A229B2" w:rsidRPr="000D1C0B" w:rsidRDefault="00A229B2" w:rsidP="00936F6F">
      <w:pPr>
        <w:spacing w:after="0" w:line="240" w:lineRule="auto"/>
        <w:jc w:val="center"/>
        <w:rPr>
          <w:rFonts w:ascii="Arial" w:hAnsi="Arial" w:cs="Arial"/>
          <w:spacing w:val="-3"/>
          <w:sz w:val="18"/>
          <w:szCs w:val="18"/>
          <w:u w:val="single"/>
        </w:rPr>
      </w:pPr>
    </w:p>
    <w:p w14:paraId="6B93C20D" w14:textId="2DD1C923" w:rsidR="007509D6" w:rsidRPr="000D1C0B" w:rsidRDefault="007509D6" w:rsidP="00936F6F">
      <w:pPr>
        <w:spacing w:after="0" w:line="240" w:lineRule="auto"/>
        <w:jc w:val="center"/>
        <w:rPr>
          <w:rFonts w:ascii="Arial" w:hAnsi="Arial" w:cs="Arial"/>
          <w:bCs/>
          <w:spacing w:val="-3"/>
          <w:sz w:val="18"/>
          <w:szCs w:val="18"/>
        </w:rPr>
      </w:pPr>
      <w:r w:rsidRPr="000D1C0B">
        <w:rPr>
          <w:rFonts w:ascii="Arial" w:hAnsi="Arial" w:cs="Arial"/>
          <w:spacing w:val="-3"/>
          <w:sz w:val="18"/>
          <w:szCs w:val="18"/>
          <w:u w:val="single"/>
        </w:rPr>
        <w:t xml:space="preserve">Cuadro N°4: </w:t>
      </w:r>
      <w:r w:rsidR="00936F6F" w:rsidRPr="000D1C0B">
        <w:rPr>
          <w:rFonts w:ascii="Arial" w:hAnsi="Arial" w:cs="Arial"/>
          <w:spacing w:val="-3"/>
          <w:sz w:val="18"/>
          <w:szCs w:val="18"/>
          <w:u w:val="single"/>
        </w:rPr>
        <w:t>Ajustes normativos notificaciones</w:t>
      </w:r>
    </w:p>
    <w:p w14:paraId="297616BA" w14:textId="71E36F80" w:rsidR="007509D6" w:rsidRPr="000D1C0B" w:rsidRDefault="007509D6" w:rsidP="00B837A7">
      <w:pPr>
        <w:spacing w:after="0" w:line="240" w:lineRule="auto"/>
        <w:jc w:val="both"/>
        <w:rPr>
          <w:rFonts w:ascii="Arial" w:hAnsi="Arial" w:cs="Arial"/>
          <w:bCs/>
          <w:spacing w:val="-3"/>
          <w:sz w:val="18"/>
          <w:szCs w:val="18"/>
        </w:rPr>
      </w:pPr>
    </w:p>
    <w:tbl>
      <w:tblPr>
        <w:tblStyle w:val="Tablaconcuadrcula"/>
        <w:tblW w:w="13178" w:type="dxa"/>
        <w:tblLook w:val="04A0" w:firstRow="1" w:lastRow="0" w:firstColumn="1" w:lastColumn="0" w:noHBand="0" w:noVBand="1"/>
      </w:tblPr>
      <w:tblGrid>
        <w:gridCol w:w="415"/>
        <w:gridCol w:w="1510"/>
        <w:gridCol w:w="2529"/>
        <w:gridCol w:w="3606"/>
        <w:gridCol w:w="5118"/>
      </w:tblGrid>
      <w:tr w:rsidR="00C033AD" w:rsidRPr="000D1C0B" w14:paraId="7FAA8DE4" w14:textId="77777777" w:rsidTr="00A74791">
        <w:trPr>
          <w:trHeight w:val="512"/>
          <w:tblHeader/>
        </w:trPr>
        <w:tc>
          <w:tcPr>
            <w:tcW w:w="416" w:type="dxa"/>
            <w:tcBorders>
              <w:bottom w:val="single" w:sz="4" w:space="0" w:color="auto"/>
            </w:tcBorders>
            <w:shd w:val="clear" w:color="auto" w:fill="8EAADB" w:themeFill="accent1" w:themeFillTint="99"/>
            <w:vAlign w:val="center"/>
          </w:tcPr>
          <w:p w14:paraId="51F31442" w14:textId="77777777" w:rsidR="00933500" w:rsidRPr="000D1C0B" w:rsidRDefault="00933500" w:rsidP="002564DD">
            <w:pPr>
              <w:spacing w:after="0" w:line="240" w:lineRule="auto"/>
              <w:jc w:val="center"/>
              <w:rPr>
                <w:rFonts w:ascii="Arial" w:hAnsi="Arial" w:cs="Arial"/>
                <w:b/>
                <w:bCs/>
                <w:spacing w:val="-3"/>
                <w:sz w:val="18"/>
                <w:szCs w:val="18"/>
              </w:rPr>
            </w:pPr>
            <w:proofErr w:type="spellStart"/>
            <w:r w:rsidRPr="000D1C0B">
              <w:rPr>
                <w:rFonts w:ascii="Arial" w:hAnsi="Arial" w:cs="Arial"/>
                <w:b/>
                <w:bCs/>
                <w:spacing w:val="-3"/>
                <w:sz w:val="18"/>
                <w:szCs w:val="18"/>
              </w:rPr>
              <w:t>N°</w:t>
            </w:r>
            <w:proofErr w:type="spellEnd"/>
          </w:p>
        </w:tc>
        <w:tc>
          <w:tcPr>
            <w:tcW w:w="1267" w:type="dxa"/>
            <w:tcBorders>
              <w:bottom w:val="single" w:sz="4" w:space="0" w:color="auto"/>
            </w:tcBorders>
            <w:shd w:val="clear" w:color="auto" w:fill="8EAADB" w:themeFill="accent1" w:themeFillTint="99"/>
            <w:vAlign w:val="center"/>
          </w:tcPr>
          <w:p w14:paraId="0E1119FF" w14:textId="2C502F2A" w:rsidR="00933500" w:rsidRPr="000D1C0B" w:rsidRDefault="00933500" w:rsidP="00EA6725">
            <w:pPr>
              <w:spacing w:after="0" w:line="240" w:lineRule="auto"/>
              <w:jc w:val="center"/>
              <w:rPr>
                <w:rFonts w:ascii="Arial" w:hAnsi="Arial" w:cs="Arial"/>
                <w:b/>
                <w:bCs/>
                <w:spacing w:val="-3"/>
                <w:sz w:val="18"/>
                <w:szCs w:val="18"/>
              </w:rPr>
            </w:pPr>
            <w:r w:rsidRPr="000D1C0B">
              <w:rPr>
                <w:rFonts w:ascii="Arial" w:hAnsi="Arial" w:cs="Arial"/>
                <w:b/>
                <w:bCs/>
                <w:spacing w:val="-3"/>
                <w:sz w:val="18"/>
                <w:szCs w:val="18"/>
              </w:rPr>
              <w:t>Circular</w:t>
            </w:r>
          </w:p>
        </w:tc>
        <w:tc>
          <w:tcPr>
            <w:tcW w:w="2582" w:type="dxa"/>
            <w:tcBorders>
              <w:bottom w:val="single" w:sz="4" w:space="0" w:color="auto"/>
            </w:tcBorders>
            <w:shd w:val="clear" w:color="auto" w:fill="8EAADB" w:themeFill="accent1" w:themeFillTint="99"/>
            <w:vAlign w:val="center"/>
          </w:tcPr>
          <w:p w14:paraId="411F051B" w14:textId="77777777" w:rsidR="00933500" w:rsidRPr="000D1C0B" w:rsidRDefault="00933500" w:rsidP="002564DD">
            <w:pPr>
              <w:spacing w:after="0" w:line="240" w:lineRule="auto"/>
              <w:jc w:val="center"/>
              <w:rPr>
                <w:rFonts w:ascii="Arial" w:hAnsi="Arial" w:cs="Arial"/>
                <w:b/>
                <w:bCs/>
                <w:spacing w:val="-3"/>
                <w:sz w:val="18"/>
                <w:szCs w:val="18"/>
              </w:rPr>
            </w:pPr>
            <w:r w:rsidRPr="000D1C0B">
              <w:rPr>
                <w:rFonts w:ascii="Arial" w:hAnsi="Arial" w:cs="Arial"/>
                <w:b/>
                <w:bCs/>
                <w:spacing w:val="-3"/>
                <w:sz w:val="18"/>
                <w:szCs w:val="18"/>
              </w:rPr>
              <w:t>Notificaciones relacionadas</w:t>
            </w:r>
          </w:p>
        </w:tc>
        <w:tc>
          <w:tcPr>
            <w:tcW w:w="3666" w:type="dxa"/>
            <w:tcBorders>
              <w:bottom w:val="single" w:sz="4" w:space="0" w:color="auto"/>
            </w:tcBorders>
            <w:shd w:val="clear" w:color="auto" w:fill="8EAADB" w:themeFill="accent1" w:themeFillTint="99"/>
            <w:vAlign w:val="center"/>
          </w:tcPr>
          <w:p w14:paraId="5E13C2DC" w14:textId="77777777" w:rsidR="00933500" w:rsidRPr="000D1C0B" w:rsidRDefault="00933500" w:rsidP="002564DD">
            <w:pPr>
              <w:spacing w:after="0" w:line="240" w:lineRule="auto"/>
              <w:jc w:val="center"/>
              <w:rPr>
                <w:rFonts w:ascii="Arial" w:hAnsi="Arial" w:cs="Arial"/>
                <w:b/>
                <w:bCs/>
                <w:spacing w:val="-3"/>
                <w:sz w:val="18"/>
                <w:szCs w:val="18"/>
              </w:rPr>
            </w:pPr>
            <w:r w:rsidRPr="000D1C0B">
              <w:rPr>
                <w:rFonts w:ascii="Arial" w:hAnsi="Arial" w:cs="Arial"/>
                <w:b/>
                <w:bCs/>
                <w:spacing w:val="-3"/>
                <w:sz w:val="18"/>
                <w:szCs w:val="18"/>
              </w:rPr>
              <w:t>Articulado actual</w:t>
            </w:r>
          </w:p>
        </w:tc>
        <w:tc>
          <w:tcPr>
            <w:tcW w:w="5247" w:type="dxa"/>
            <w:tcBorders>
              <w:bottom w:val="single" w:sz="4" w:space="0" w:color="auto"/>
            </w:tcBorders>
            <w:shd w:val="clear" w:color="auto" w:fill="8EAADB" w:themeFill="accent1" w:themeFillTint="99"/>
            <w:vAlign w:val="center"/>
          </w:tcPr>
          <w:p w14:paraId="7BD6EF62" w14:textId="77777777" w:rsidR="00933500" w:rsidRPr="000D1C0B" w:rsidRDefault="00933500" w:rsidP="002564DD">
            <w:pPr>
              <w:spacing w:after="0" w:line="240" w:lineRule="auto"/>
              <w:jc w:val="center"/>
              <w:rPr>
                <w:rFonts w:ascii="Arial" w:hAnsi="Arial" w:cs="Arial"/>
                <w:b/>
                <w:bCs/>
                <w:spacing w:val="-3"/>
                <w:sz w:val="18"/>
                <w:szCs w:val="18"/>
              </w:rPr>
            </w:pPr>
            <w:r w:rsidRPr="000D1C0B">
              <w:rPr>
                <w:rFonts w:ascii="Arial" w:hAnsi="Arial" w:cs="Arial"/>
                <w:b/>
                <w:bCs/>
                <w:spacing w:val="-3"/>
                <w:sz w:val="18"/>
                <w:szCs w:val="18"/>
              </w:rPr>
              <w:t>Modificación</w:t>
            </w:r>
          </w:p>
        </w:tc>
      </w:tr>
      <w:tr w:rsidR="00C033AD" w:rsidRPr="000D1C0B" w14:paraId="375BDD1C" w14:textId="77777777" w:rsidTr="00A74791">
        <w:trPr>
          <w:trHeight w:val="512"/>
        </w:trPr>
        <w:tc>
          <w:tcPr>
            <w:tcW w:w="416" w:type="dxa"/>
          </w:tcPr>
          <w:p w14:paraId="4D125771" w14:textId="49A7C70A" w:rsidR="005A0BC1" w:rsidRPr="000D1C0B" w:rsidRDefault="004C123A"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t>1</w:t>
            </w:r>
          </w:p>
        </w:tc>
        <w:tc>
          <w:tcPr>
            <w:tcW w:w="1267" w:type="dxa"/>
          </w:tcPr>
          <w:p w14:paraId="53B16E61" w14:textId="77777777" w:rsidR="005A0BC1" w:rsidRPr="000D1C0B" w:rsidRDefault="005A0BC1"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t xml:space="preserve">Circular N°14/2011 </w:t>
            </w:r>
          </w:p>
          <w:p w14:paraId="58E46165" w14:textId="77777777" w:rsidR="005A0BC1" w:rsidRPr="000D1C0B" w:rsidRDefault="005A0BC1"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t xml:space="preserve">modificada por la </w:t>
            </w:r>
          </w:p>
          <w:p w14:paraId="4C793795" w14:textId="77777777" w:rsidR="005A0BC1" w:rsidRPr="000D1C0B" w:rsidRDefault="005A0BC1" w:rsidP="005A0BC1">
            <w:pPr>
              <w:spacing w:line="240" w:lineRule="auto"/>
              <w:jc w:val="center"/>
              <w:rPr>
                <w:rFonts w:ascii="Arial" w:hAnsi="Arial" w:cs="Arial"/>
                <w:b/>
                <w:bCs/>
                <w:spacing w:val="-3"/>
                <w:sz w:val="18"/>
                <w:szCs w:val="18"/>
              </w:rPr>
            </w:pPr>
            <w:r w:rsidRPr="000D1C0B">
              <w:rPr>
                <w:rFonts w:ascii="Arial" w:hAnsi="Arial" w:cs="Arial"/>
                <w:bCs/>
                <w:spacing w:val="-3"/>
                <w:sz w:val="18"/>
                <w:szCs w:val="18"/>
              </w:rPr>
              <w:t>Circular N°22/2011</w:t>
            </w:r>
          </w:p>
        </w:tc>
        <w:tc>
          <w:tcPr>
            <w:tcW w:w="2582" w:type="dxa"/>
          </w:tcPr>
          <w:p w14:paraId="61562B70" w14:textId="77777777" w:rsidR="005A0BC1" w:rsidRPr="000D1C0B" w:rsidRDefault="005A0BC1" w:rsidP="005A0BC1">
            <w:pPr>
              <w:spacing w:after="0" w:line="240" w:lineRule="auto"/>
              <w:jc w:val="both"/>
              <w:rPr>
                <w:rFonts w:ascii="Arial" w:hAnsi="Arial" w:cs="Arial"/>
                <w:bCs/>
                <w:strike/>
                <w:spacing w:val="-3"/>
                <w:sz w:val="18"/>
                <w:szCs w:val="18"/>
              </w:rPr>
            </w:pPr>
            <w:r w:rsidRPr="000D1C0B">
              <w:rPr>
                <w:rFonts w:ascii="Arial" w:hAnsi="Arial" w:cs="Arial"/>
                <w:bCs/>
                <w:spacing w:val="-3"/>
                <w:sz w:val="18"/>
                <w:szCs w:val="18"/>
              </w:rPr>
              <w:t>Notificación de personal de juego</w:t>
            </w:r>
          </w:p>
          <w:p w14:paraId="41CD5F80" w14:textId="77777777" w:rsidR="005A0BC1" w:rsidRPr="000D1C0B" w:rsidRDefault="005A0BC1" w:rsidP="005A0BC1">
            <w:pPr>
              <w:spacing w:line="240" w:lineRule="auto"/>
              <w:jc w:val="center"/>
              <w:rPr>
                <w:rFonts w:ascii="Arial" w:hAnsi="Arial" w:cs="Arial"/>
                <w:b/>
                <w:bCs/>
                <w:spacing w:val="-3"/>
                <w:sz w:val="18"/>
                <w:szCs w:val="18"/>
              </w:rPr>
            </w:pPr>
          </w:p>
        </w:tc>
        <w:tc>
          <w:tcPr>
            <w:tcW w:w="3666" w:type="dxa"/>
          </w:tcPr>
          <w:p w14:paraId="10EF6ADF" w14:textId="33ED8426" w:rsidR="005A0BC1" w:rsidRPr="000D1C0B" w:rsidRDefault="00A65802"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Numeral 7 del t</w:t>
            </w:r>
            <w:r w:rsidR="005A0BC1" w:rsidRPr="000D1C0B">
              <w:rPr>
                <w:rFonts w:ascii="Arial" w:hAnsi="Arial" w:cs="Arial"/>
                <w:b/>
                <w:bCs/>
                <w:sz w:val="18"/>
                <w:szCs w:val="18"/>
              </w:rPr>
              <w:t>ítulo I</w:t>
            </w:r>
            <w:r w:rsidR="005A0BC1" w:rsidRPr="000D1C0B">
              <w:rPr>
                <w:rFonts w:ascii="Arial" w:hAnsi="Arial" w:cs="Arial"/>
                <w:sz w:val="18"/>
                <w:szCs w:val="18"/>
              </w:rPr>
              <w:t xml:space="preserve">: </w:t>
            </w:r>
          </w:p>
          <w:p w14:paraId="4BE3B71E"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680A827C" w14:textId="21AB3A6D" w:rsidR="005A0BC1" w:rsidRPr="000D1C0B" w:rsidRDefault="005A0BC1" w:rsidP="005A0BC1">
            <w:pPr>
              <w:autoSpaceDE w:val="0"/>
              <w:autoSpaceDN w:val="0"/>
              <w:adjustRightInd w:val="0"/>
              <w:spacing w:after="0" w:line="240" w:lineRule="auto"/>
              <w:jc w:val="both"/>
              <w:rPr>
                <w:rFonts w:ascii="Arial" w:hAnsi="Arial" w:cs="Arial"/>
                <w:b/>
                <w:bCs/>
                <w:spacing w:val="-3"/>
                <w:sz w:val="18"/>
                <w:szCs w:val="18"/>
              </w:rPr>
            </w:pPr>
            <w:r w:rsidRPr="000D1C0B">
              <w:rPr>
                <w:rFonts w:ascii="Arial" w:hAnsi="Arial" w:cs="Arial"/>
                <w:sz w:val="18"/>
                <w:szCs w:val="18"/>
              </w:rPr>
              <w:t xml:space="preserve">Por otra parte, en un </w:t>
            </w:r>
            <w:r w:rsidRPr="000D1C0B">
              <w:rPr>
                <w:rFonts w:ascii="Arial" w:hAnsi="Arial" w:cs="Arial"/>
                <w:b/>
                <w:bCs/>
                <w:sz w:val="18"/>
                <w:szCs w:val="18"/>
              </w:rPr>
              <w:t>plazo de 5 días hábiles</w:t>
            </w:r>
            <w:r w:rsidRPr="000D1C0B">
              <w:rPr>
                <w:rFonts w:ascii="Arial" w:hAnsi="Arial" w:cs="Arial"/>
                <w:sz w:val="18"/>
                <w:szCs w:val="18"/>
              </w:rPr>
              <w:t xml:space="preserve"> y por el mismo medio indicado en el número 1 anterior, se deberá informar a la Superintendencia respecto de aquellas personas que dejen de prestar servicios en calidad de personal de juego en la sociedad operadora. El plazo antes señalado se contará desde la respectiva desvinculación laboral.</w:t>
            </w:r>
          </w:p>
        </w:tc>
        <w:tc>
          <w:tcPr>
            <w:tcW w:w="5247" w:type="dxa"/>
          </w:tcPr>
          <w:p w14:paraId="1A907A77" w14:textId="04D7B6F2" w:rsidR="005A0BC1" w:rsidRPr="000D1C0B" w:rsidRDefault="005A0BC1" w:rsidP="005A0BC1">
            <w:pPr>
              <w:spacing w:after="0" w:line="240" w:lineRule="auto"/>
              <w:jc w:val="both"/>
              <w:rPr>
                <w:rFonts w:ascii="Arial" w:hAnsi="Arial" w:cs="Arial"/>
                <w:sz w:val="18"/>
                <w:szCs w:val="18"/>
              </w:rPr>
            </w:pPr>
            <w:r w:rsidRPr="000D1C0B">
              <w:rPr>
                <w:rFonts w:ascii="Arial" w:hAnsi="Arial" w:cs="Arial"/>
                <w:b/>
                <w:bCs/>
                <w:sz w:val="18"/>
                <w:szCs w:val="18"/>
              </w:rPr>
              <w:t xml:space="preserve">Reemplácese el </w:t>
            </w:r>
            <w:r w:rsidR="00A65802" w:rsidRPr="000D1C0B">
              <w:rPr>
                <w:rFonts w:ascii="Arial" w:hAnsi="Arial" w:cs="Arial"/>
                <w:b/>
                <w:bCs/>
                <w:sz w:val="18"/>
                <w:szCs w:val="18"/>
              </w:rPr>
              <w:t xml:space="preserve">numeral 7 del </w:t>
            </w:r>
            <w:r w:rsidRPr="000D1C0B">
              <w:rPr>
                <w:rFonts w:ascii="Arial" w:hAnsi="Arial" w:cs="Arial"/>
                <w:b/>
                <w:bCs/>
                <w:sz w:val="18"/>
                <w:szCs w:val="18"/>
              </w:rPr>
              <w:t>título I</w:t>
            </w:r>
            <w:r w:rsidRPr="000D1C0B">
              <w:rPr>
                <w:rFonts w:ascii="Arial" w:hAnsi="Arial" w:cs="Arial"/>
                <w:sz w:val="18"/>
                <w:szCs w:val="18"/>
              </w:rPr>
              <w:t>:</w:t>
            </w:r>
          </w:p>
          <w:p w14:paraId="33B6E8DE" w14:textId="77777777" w:rsidR="005A0BC1" w:rsidRPr="000D1C0B" w:rsidRDefault="005A0BC1" w:rsidP="005A0BC1">
            <w:pPr>
              <w:spacing w:after="0" w:line="240" w:lineRule="auto"/>
              <w:jc w:val="both"/>
              <w:rPr>
                <w:rFonts w:ascii="Arial" w:hAnsi="Arial" w:cs="Arial"/>
                <w:sz w:val="18"/>
                <w:szCs w:val="18"/>
              </w:rPr>
            </w:pPr>
          </w:p>
          <w:p w14:paraId="1B5C19F0" w14:textId="35153E96" w:rsidR="008325E9"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Por otra parte, en un </w:t>
            </w:r>
            <w:r w:rsidRPr="000D1C0B">
              <w:rPr>
                <w:rFonts w:ascii="Arial" w:hAnsi="Arial" w:cs="Arial"/>
                <w:b/>
                <w:bCs/>
                <w:sz w:val="18"/>
                <w:szCs w:val="18"/>
              </w:rPr>
              <w:t>plazo de 3 días hábiles</w:t>
            </w:r>
            <w:r w:rsidR="008325E9" w:rsidRPr="000D1C0B">
              <w:rPr>
                <w:rStyle w:val="Refdenotaalpie"/>
                <w:rFonts w:ascii="Arial" w:hAnsi="Arial" w:cs="Arial"/>
                <w:b/>
                <w:bCs/>
                <w:sz w:val="18"/>
                <w:szCs w:val="18"/>
              </w:rPr>
              <w:footnoteReference w:id="7"/>
            </w:r>
            <w:r w:rsidRPr="000D1C0B">
              <w:rPr>
                <w:rFonts w:ascii="Arial" w:hAnsi="Arial" w:cs="Arial"/>
                <w:sz w:val="18"/>
                <w:szCs w:val="18"/>
              </w:rPr>
              <w:t xml:space="preserve"> y por el mismo medio indicado en el número 1 anterior, se deberá informar a la Superintendencia respecto de aquellas personas que dejen de prestar servicios en calidad de personal de juego en la sociedad operadora. El plazo antes señalado se contará desde la respectiva desvinculación laboral.</w:t>
            </w:r>
            <w:r w:rsidR="00AA6FBC" w:rsidRPr="000D1C0B">
              <w:rPr>
                <w:rFonts w:ascii="Arial" w:hAnsi="Arial" w:cs="Arial"/>
                <w:sz w:val="18"/>
                <w:szCs w:val="18"/>
              </w:rPr>
              <w:t xml:space="preserve"> </w:t>
            </w:r>
          </w:p>
        </w:tc>
      </w:tr>
      <w:tr w:rsidR="00C033AD" w:rsidRPr="000D1C0B" w14:paraId="69337920" w14:textId="77777777" w:rsidTr="00A74791">
        <w:trPr>
          <w:trHeight w:val="512"/>
        </w:trPr>
        <w:tc>
          <w:tcPr>
            <w:tcW w:w="416" w:type="dxa"/>
          </w:tcPr>
          <w:p w14:paraId="5A3E5B9A" w14:textId="3C8D837E" w:rsidR="005A0BC1" w:rsidRPr="000D1C0B" w:rsidRDefault="004C123A"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t>2</w:t>
            </w:r>
          </w:p>
        </w:tc>
        <w:tc>
          <w:tcPr>
            <w:tcW w:w="1267" w:type="dxa"/>
          </w:tcPr>
          <w:p w14:paraId="254D1A62" w14:textId="77777777" w:rsidR="005A0BC1" w:rsidRPr="000D1C0B" w:rsidRDefault="005A0BC1"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N°18/2011</w:t>
            </w:r>
          </w:p>
        </w:tc>
        <w:tc>
          <w:tcPr>
            <w:tcW w:w="2582" w:type="dxa"/>
          </w:tcPr>
          <w:p w14:paraId="19F9E99C" w14:textId="77777777" w:rsidR="005A0BC1" w:rsidRPr="000D1C0B" w:rsidRDefault="005A0BC1" w:rsidP="005A0BC1">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por modificaciones en el horario de funcionamiento del casino de juego</w:t>
            </w:r>
          </w:p>
        </w:tc>
        <w:tc>
          <w:tcPr>
            <w:tcW w:w="3666" w:type="dxa"/>
          </w:tcPr>
          <w:p w14:paraId="7029B647" w14:textId="3FE6805B" w:rsidR="002436D5" w:rsidRPr="000D1C0B" w:rsidRDefault="002436D5" w:rsidP="005A0BC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Segundo, tercer y cuarto párrafo del numeral 1:</w:t>
            </w:r>
          </w:p>
          <w:p w14:paraId="39032584" w14:textId="2D5CF25F" w:rsidR="002436D5" w:rsidRPr="000D1C0B" w:rsidRDefault="002436D5" w:rsidP="005A0BC1">
            <w:pPr>
              <w:autoSpaceDE w:val="0"/>
              <w:autoSpaceDN w:val="0"/>
              <w:adjustRightInd w:val="0"/>
              <w:spacing w:after="0" w:line="240" w:lineRule="auto"/>
              <w:jc w:val="both"/>
              <w:rPr>
                <w:rFonts w:ascii="Arial" w:hAnsi="Arial" w:cs="Arial"/>
                <w:b/>
                <w:bCs/>
                <w:sz w:val="18"/>
                <w:szCs w:val="18"/>
              </w:rPr>
            </w:pPr>
          </w:p>
          <w:p w14:paraId="61CAE8E5" w14:textId="77777777" w:rsidR="009B318A" w:rsidRPr="000D1C0B" w:rsidRDefault="009B318A" w:rsidP="005A0BC1">
            <w:pPr>
              <w:autoSpaceDE w:val="0"/>
              <w:autoSpaceDN w:val="0"/>
              <w:adjustRightInd w:val="0"/>
              <w:spacing w:after="0" w:line="240" w:lineRule="auto"/>
              <w:jc w:val="both"/>
              <w:rPr>
                <w:rFonts w:ascii="Arial" w:hAnsi="Arial" w:cs="Arial"/>
                <w:b/>
                <w:bCs/>
                <w:sz w:val="18"/>
                <w:szCs w:val="18"/>
              </w:rPr>
            </w:pPr>
          </w:p>
          <w:p w14:paraId="6AA56D7A" w14:textId="4DF0E3B8" w:rsidR="00F408CD" w:rsidRPr="000D1C0B" w:rsidRDefault="009B318A" w:rsidP="005A0BC1">
            <w:pPr>
              <w:autoSpaceDE w:val="0"/>
              <w:autoSpaceDN w:val="0"/>
              <w:adjustRightInd w:val="0"/>
              <w:spacing w:after="0" w:line="240" w:lineRule="auto"/>
              <w:jc w:val="both"/>
              <w:rPr>
                <w:rFonts w:ascii="Arial" w:hAnsi="Arial" w:cs="Arial"/>
                <w:i/>
                <w:iCs/>
                <w:sz w:val="18"/>
                <w:szCs w:val="18"/>
              </w:rPr>
            </w:pPr>
            <w:r w:rsidRPr="000D1C0B">
              <w:rPr>
                <w:rFonts w:ascii="Arial" w:hAnsi="Arial" w:cs="Arial"/>
                <w:i/>
                <w:iCs/>
                <w:sz w:val="18"/>
                <w:szCs w:val="18"/>
              </w:rPr>
              <w:t>“</w:t>
            </w:r>
            <w:r w:rsidR="00F408CD" w:rsidRPr="000D1C0B">
              <w:rPr>
                <w:rFonts w:ascii="Arial" w:hAnsi="Arial" w:cs="Arial"/>
                <w:i/>
                <w:iCs/>
                <w:sz w:val="18"/>
                <w:szCs w:val="18"/>
              </w:rPr>
              <w:t xml:space="preserve">Los casinos de juego funcionarán todos los días del año, salvo aquellos días de excepción establecidos por la ley. Cada sociedad operadora determinará el horario de funcionamiento del establecimiento, y de los juegos que se desarrollen en él. En todo caso, ningún casino de juego, cualquiera sea el día o la época de año, podrá funcionar menos de seis horas en el día. </w:t>
            </w:r>
          </w:p>
          <w:p w14:paraId="1A08AE95" w14:textId="36EF0183" w:rsidR="00F408CD" w:rsidRPr="000D1C0B" w:rsidRDefault="00F408CD" w:rsidP="00F408CD">
            <w:pPr>
              <w:spacing w:after="0" w:line="240" w:lineRule="auto"/>
              <w:jc w:val="both"/>
              <w:rPr>
                <w:rFonts w:ascii="Arial" w:hAnsi="Arial" w:cs="Arial"/>
                <w:i/>
                <w:iCs/>
                <w:sz w:val="18"/>
                <w:szCs w:val="18"/>
              </w:rPr>
            </w:pPr>
            <w:r w:rsidRPr="000D1C0B">
              <w:rPr>
                <w:rFonts w:ascii="Arial" w:hAnsi="Arial" w:cs="Arial"/>
                <w:i/>
                <w:iCs/>
                <w:sz w:val="18"/>
                <w:szCs w:val="18"/>
              </w:rPr>
              <w:lastRenderedPageBreak/>
              <w:t>La sociedad operadora deberá comunicar a la</w:t>
            </w:r>
            <w:r w:rsidR="00AA6FBC" w:rsidRPr="000D1C0B">
              <w:rPr>
                <w:rFonts w:ascii="Arial" w:hAnsi="Arial" w:cs="Arial"/>
                <w:i/>
                <w:iCs/>
                <w:sz w:val="18"/>
                <w:szCs w:val="18"/>
              </w:rPr>
              <w:t xml:space="preserve"> </w:t>
            </w:r>
            <w:r w:rsidRPr="000D1C0B">
              <w:rPr>
                <w:rFonts w:ascii="Arial" w:hAnsi="Arial" w:cs="Arial"/>
                <w:i/>
                <w:iCs/>
                <w:sz w:val="18"/>
                <w:szCs w:val="18"/>
              </w:rPr>
              <w:t>Superintendencia el horario de funcionamiento establecido, como igualmente cualquier modificación que efectuare al mismo.</w:t>
            </w:r>
          </w:p>
          <w:p w14:paraId="505A250E" w14:textId="24483A08" w:rsidR="00C86880" w:rsidRPr="000D1C0B" w:rsidRDefault="00C86880" w:rsidP="00C86880">
            <w:pPr>
              <w:spacing w:after="0" w:line="240" w:lineRule="auto"/>
              <w:jc w:val="both"/>
              <w:rPr>
                <w:rFonts w:ascii="Arial" w:hAnsi="Arial" w:cs="Arial"/>
                <w:i/>
                <w:iCs/>
                <w:sz w:val="18"/>
                <w:szCs w:val="18"/>
              </w:rPr>
            </w:pPr>
            <w:r w:rsidRPr="000D1C0B">
              <w:rPr>
                <w:rFonts w:ascii="Arial" w:hAnsi="Arial" w:cs="Arial"/>
                <w:i/>
                <w:iCs/>
                <w:sz w:val="18"/>
                <w:szCs w:val="18"/>
              </w:rPr>
              <w:t xml:space="preserve">El horario de funcionamiento deberá anunciarse de manera visible al público. El casino no podrá suspender sus actividades antes de la hora establecida, salvo por razones de fuerza mayor.” </w:t>
            </w:r>
          </w:p>
          <w:p w14:paraId="62BB1BFB" w14:textId="4A59FE7F" w:rsidR="002436D5" w:rsidRPr="000D1C0B" w:rsidRDefault="002436D5" w:rsidP="005A0BC1">
            <w:pPr>
              <w:autoSpaceDE w:val="0"/>
              <w:autoSpaceDN w:val="0"/>
              <w:adjustRightInd w:val="0"/>
              <w:spacing w:after="0" w:line="240" w:lineRule="auto"/>
              <w:jc w:val="both"/>
              <w:rPr>
                <w:rFonts w:ascii="Arial" w:hAnsi="Arial" w:cs="Arial"/>
                <w:b/>
                <w:bCs/>
                <w:sz w:val="18"/>
                <w:szCs w:val="18"/>
              </w:rPr>
            </w:pPr>
          </w:p>
          <w:p w14:paraId="798524C0" w14:textId="63A6DEF5" w:rsidR="002436D5" w:rsidRPr="000D1C0B" w:rsidRDefault="002436D5" w:rsidP="005A0BC1">
            <w:pPr>
              <w:autoSpaceDE w:val="0"/>
              <w:autoSpaceDN w:val="0"/>
              <w:adjustRightInd w:val="0"/>
              <w:spacing w:after="0" w:line="240" w:lineRule="auto"/>
              <w:jc w:val="both"/>
              <w:rPr>
                <w:rFonts w:ascii="Arial" w:hAnsi="Arial" w:cs="Arial"/>
                <w:b/>
                <w:bCs/>
                <w:sz w:val="18"/>
                <w:szCs w:val="18"/>
              </w:rPr>
            </w:pPr>
          </w:p>
          <w:p w14:paraId="13C44E73" w14:textId="79898A1C" w:rsidR="002436D5" w:rsidRPr="000D1C0B" w:rsidRDefault="002436D5" w:rsidP="005A0BC1">
            <w:pPr>
              <w:autoSpaceDE w:val="0"/>
              <w:autoSpaceDN w:val="0"/>
              <w:adjustRightInd w:val="0"/>
              <w:spacing w:after="0" w:line="240" w:lineRule="auto"/>
              <w:jc w:val="both"/>
              <w:rPr>
                <w:rFonts w:ascii="Arial" w:hAnsi="Arial" w:cs="Arial"/>
                <w:b/>
                <w:bCs/>
                <w:sz w:val="18"/>
                <w:szCs w:val="18"/>
              </w:rPr>
            </w:pPr>
          </w:p>
          <w:p w14:paraId="2C844863" w14:textId="22F4444A" w:rsidR="002436D5" w:rsidRPr="000D1C0B" w:rsidRDefault="002436D5" w:rsidP="005A0BC1">
            <w:pPr>
              <w:autoSpaceDE w:val="0"/>
              <w:autoSpaceDN w:val="0"/>
              <w:adjustRightInd w:val="0"/>
              <w:spacing w:after="0" w:line="240" w:lineRule="auto"/>
              <w:jc w:val="both"/>
              <w:rPr>
                <w:rFonts w:ascii="Arial" w:hAnsi="Arial" w:cs="Arial"/>
                <w:b/>
                <w:bCs/>
                <w:sz w:val="18"/>
                <w:szCs w:val="18"/>
              </w:rPr>
            </w:pPr>
          </w:p>
          <w:p w14:paraId="0FEC7FA3" w14:textId="24976A49" w:rsidR="002436D5" w:rsidRPr="000D1C0B" w:rsidRDefault="002436D5" w:rsidP="005A0BC1">
            <w:pPr>
              <w:autoSpaceDE w:val="0"/>
              <w:autoSpaceDN w:val="0"/>
              <w:adjustRightInd w:val="0"/>
              <w:spacing w:after="0" w:line="240" w:lineRule="auto"/>
              <w:jc w:val="both"/>
              <w:rPr>
                <w:rFonts w:ascii="Arial" w:hAnsi="Arial" w:cs="Arial"/>
                <w:b/>
                <w:bCs/>
                <w:sz w:val="18"/>
                <w:szCs w:val="18"/>
              </w:rPr>
            </w:pPr>
          </w:p>
          <w:p w14:paraId="5FD54A1C" w14:textId="28AC706D" w:rsidR="00AE3561" w:rsidRPr="000D1C0B" w:rsidRDefault="00AE3561" w:rsidP="005A0BC1">
            <w:pPr>
              <w:autoSpaceDE w:val="0"/>
              <w:autoSpaceDN w:val="0"/>
              <w:adjustRightInd w:val="0"/>
              <w:spacing w:after="0" w:line="240" w:lineRule="auto"/>
              <w:jc w:val="both"/>
              <w:rPr>
                <w:rFonts w:ascii="Arial" w:hAnsi="Arial" w:cs="Arial"/>
                <w:b/>
                <w:bCs/>
                <w:sz w:val="18"/>
                <w:szCs w:val="18"/>
              </w:rPr>
            </w:pPr>
          </w:p>
          <w:p w14:paraId="7A61C38F" w14:textId="7EF8EC71" w:rsidR="00AE3561" w:rsidRPr="000D1C0B" w:rsidRDefault="00AE3561" w:rsidP="005A0BC1">
            <w:pPr>
              <w:autoSpaceDE w:val="0"/>
              <w:autoSpaceDN w:val="0"/>
              <w:adjustRightInd w:val="0"/>
              <w:spacing w:after="0" w:line="240" w:lineRule="auto"/>
              <w:jc w:val="both"/>
              <w:rPr>
                <w:rFonts w:ascii="Arial" w:hAnsi="Arial" w:cs="Arial"/>
                <w:b/>
                <w:bCs/>
                <w:sz w:val="18"/>
                <w:szCs w:val="18"/>
              </w:rPr>
            </w:pPr>
          </w:p>
          <w:p w14:paraId="71E66D21" w14:textId="6D0BD9CE" w:rsidR="00AE3561" w:rsidRDefault="00AE3561" w:rsidP="005A0BC1">
            <w:pPr>
              <w:autoSpaceDE w:val="0"/>
              <w:autoSpaceDN w:val="0"/>
              <w:adjustRightInd w:val="0"/>
              <w:spacing w:after="0" w:line="240" w:lineRule="auto"/>
              <w:jc w:val="both"/>
              <w:rPr>
                <w:rFonts w:ascii="Arial" w:hAnsi="Arial" w:cs="Arial"/>
                <w:b/>
                <w:bCs/>
                <w:sz w:val="18"/>
                <w:szCs w:val="18"/>
              </w:rPr>
            </w:pPr>
          </w:p>
          <w:p w14:paraId="7AAFA0A1" w14:textId="77777777" w:rsidR="000D1C0B" w:rsidRPr="000D1C0B" w:rsidRDefault="000D1C0B" w:rsidP="005A0BC1">
            <w:pPr>
              <w:autoSpaceDE w:val="0"/>
              <w:autoSpaceDN w:val="0"/>
              <w:adjustRightInd w:val="0"/>
              <w:spacing w:after="0" w:line="240" w:lineRule="auto"/>
              <w:jc w:val="both"/>
              <w:rPr>
                <w:rFonts w:ascii="Arial" w:hAnsi="Arial" w:cs="Arial"/>
                <w:b/>
                <w:bCs/>
                <w:sz w:val="18"/>
                <w:szCs w:val="18"/>
              </w:rPr>
            </w:pPr>
          </w:p>
          <w:p w14:paraId="2383CE81" w14:textId="6E687952" w:rsidR="005A0BC1"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Primer párrafo del numeral 2</w:t>
            </w:r>
            <w:r w:rsidRPr="000D1C0B">
              <w:rPr>
                <w:rFonts w:ascii="Arial" w:hAnsi="Arial" w:cs="Arial"/>
                <w:sz w:val="18"/>
                <w:szCs w:val="18"/>
              </w:rPr>
              <w:t>:</w:t>
            </w:r>
          </w:p>
          <w:p w14:paraId="1295F39F"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1DAFDC8D"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Las sociedades operadoras deben comunicar a la Superintendencia el horario de funcionamiento de los casinos de juego que les han sido autorizados, en conformidad a las instrucciones que se imparten en el numeral 5 de la presente Circular. La referida comunicación deberá efectuarse con, a lo menos, </w:t>
            </w:r>
            <w:r w:rsidRPr="000D1C0B">
              <w:rPr>
                <w:rFonts w:ascii="Arial" w:hAnsi="Arial" w:cs="Arial"/>
                <w:b/>
                <w:bCs/>
                <w:sz w:val="18"/>
                <w:szCs w:val="18"/>
              </w:rPr>
              <w:t>3 días hábiles</w:t>
            </w:r>
            <w:r w:rsidRPr="000D1C0B">
              <w:rPr>
                <w:rFonts w:ascii="Arial" w:hAnsi="Arial" w:cs="Arial"/>
                <w:sz w:val="18"/>
                <w:szCs w:val="18"/>
              </w:rPr>
              <w:t xml:space="preserve"> </w:t>
            </w:r>
            <w:r w:rsidRPr="000D1C0B">
              <w:rPr>
                <w:rFonts w:ascii="Arial" w:hAnsi="Arial" w:cs="Arial"/>
                <w:b/>
                <w:bCs/>
                <w:sz w:val="18"/>
                <w:szCs w:val="18"/>
              </w:rPr>
              <w:t>de anticipación</w:t>
            </w:r>
            <w:r w:rsidRPr="000D1C0B">
              <w:rPr>
                <w:rFonts w:ascii="Arial" w:hAnsi="Arial" w:cs="Arial"/>
                <w:sz w:val="18"/>
                <w:szCs w:val="18"/>
              </w:rPr>
              <w:t xml:space="preserve"> a su </w:t>
            </w:r>
            <w:proofErr w:type="gramStart"/>
            <w:r w:rsidRPr="000D1C0B">
              <w:rPr>
                <w:rFonts w:ascii="Arial" w:hAnsi="Arial" w:cs="Arial"/>
                <w:sz w:val="18"/>
                <w:szCs w:val="18"/>
              </w:rPr>
              <w:t>entrada en vigencia</w:t>
            </w:r>
            <w:proofErr w:type="gramEnd"/>
            <w:r w:rsidRPr="000D1C0B">
              <w:rPr>
                <w:rFonts w:ascii="Arial" w:hAnsi="Arial" w:cs="Arial"/>
                <w:sz w:val="18"/>
                <w:szCs w:val="18"/>
              </w:rPr>
              <w:t>.</w:t>
            </w:r>
          </w:p>
          <w:p w14:paraId="3CD8ADC1" w14:textId="77777777" w:rsidR="00F16B56" w:rsidRPr="000D1C0B" w:rsidRDefault="00F16B56" w:rsidP="005A0BC1">
            <w:pPr>
              <w:autoSpaceDE w:val="0"/>
              <w:autoSpaceDN w:val="0"/>
              <w:adjustRightInd w:val="0"/>
              <w:spacing w:after="0" w:line="240" w:lineRule="auto"/>
              <w:jc w:val="both"/>
              <w:rPr>
                <w:rFonts w:ascii="Arial" w:hAnsi="Arial" w:cs="Arial"/>
                <w:sz w:val="18"/>
                <w:szCs w:val="18"/>
              </w:rPr>
            </w:pPr>
          </w:p>
          <w:p w14:paraId="70D23C58" w14:textId="69049A68" w:rsidR="00847712" w:rsidRPr="000D1C0B" w:rsidRDefault="00847712" w:rsidP="005A0BC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Tercer párrafo del numeral 2:</w:t>
            </w:r>
          </w:p>
          <w:p w14:paraId="70A4746D" w14:textId="77777777" w:rsidR="00847712" w:rsidRPr="000D1C0B" w:rsidRDefault="00847712" w:rsidP="005A0BC1">
            <w:pPr>
              <w:autoSpaceDE w:val="0"/>
              <w:autoSpaceDN w:val="0"/>
              <w:adjustRightInd w:val="0"/>
              <w:spacing w:after="0" w:line="240" w:lineRule="auto"/>
              <w:jc w:val="both"/>
              <w:rPr>
                <w:rFonts w:ascii="Arial" w:hAnsi="Arial" w:cs="Arial"/>
                <w:b/>
                <w:bCs/>
                <w:sz w:val="18"/>
                <w:szCs w:val="18"/>
              </w:rPr>
            </w:pPr>
          </w:p>
          <w:p w14:paraId="15173092" w14:textId="04227519" w:rsidR="00847712" w:rsidRPr="000D1C0B" w:rsidRDefault="00847712"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La obligación de las sociedades operadoras de informar a la Superintendencia cualquier modificación en el horario de funcionamiento de sus casinos de juego, es sin perjuicio de su obligación de solicitar la autorización correspondiente para la realización en sus </w:t>
            </w:r>
            <w:r w:rsidRPr="000D1C0B">
              <w:rPr>
                <w:rFonts w:ascii="Arial" w:hAnsi="Arial" w:cs="Arial"/>
                <w:sz w:val="18"/>
                <w:szCs w:val="18"/>
              </w:rPr>
              <w:lastRenderedPageBreak/>
              <w:t>salas de juego, de eventos o actividades afines o, complementarias al desarrollo de los juegos de azar que en ellas explotan.</w:t>
            </w:r>
          </w:p>
          <w:p w14:paraId="65BDB99C" w14:textId="77777777" w:rsidR="00847712" w:rsidRPr="000D1C0B" w:rsidRDefault="00847712" w:rsidP="005A0BC1">
            <w:pPr>
              <w:autoSpaceDE w:val="0"/>
              <w:autoSpaceDN w:val="0"/>
              <w:adjustRightInd w:val="0"/>
              <w:spacing w:after="0" w:line="240" w:lineRule="auto"/>
              <w:jc w:val="both"/>
              <w:rPr>
                <w:rFonts w:ascii="Arial" w:hAnsi="Arial" w:cs="Arial"/>
                <w:sz w:val="18"/>
                <w:szCs w:val="18"/>
              </w:rPr>
            </w:pPr>
          </w:p>
          <w:p w14:paraId="472C84E3" w14:textId="3B11F2B4" w:rsidR="005A0BC1" w:rsidRPr="000D1C0B" w:rsidRDefault="005A0BC1" w:rsidP="005A0BC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Segundo párrafo del numeral 3:</w:t>
            </w:r>
          </w:p>
          <w:p w14:paraId="11F2C186"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7883C236" w14:textId="3E343E06" w:rsidR="00E20802"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Asimismo, cualquier modificación que se efectúe al referido horario deberá ser anunciada con, a lo menos, </w:t>
            </w:r>
            <w:r w:rsidRPr="000D1C0B">
              <w:rPr>
                <w:rFonts w:ascii="Arial" w:hAnsi="Arial" w:cs="Arial"/>
                <w:b/>
                <w:bCs/>
                <w:sz w:val="18"/>
                <w:szCs w:val="18"/>
              </w:rPr>
              <w:t>3 días hábiles de anticipación</w:t>
            </w:r>
            <w:r w:rsidRPr="000D1C0B">
              <w:rPr>
                <w:rFonts w:ascii="Arial" w:hAnsi="Arial" w:cs="Arial"/>
                <w:sz w:val="18"/>
                <w:szCs w:val="18"/>
              </w:rPr>
              <w:t xml:space="preserve"> a su </w:t>
            </w:r>
            <w:proofErr w:type="gramStart"/>
            <w:r w:rsidRPr="000D1C0B">
              <w:rPr>
                <w:rFonts w:ascii="Arial" w:hAnsi="Arial" w:cs="Arial"/>
                <w:sz w:val="18"/>
                <w:szCs w:val="18"/>
              </w:rPr>
              <w:t>entrada en vigencia</w:t>
            </w:r>
            <w:proofErr w:type="gramEnd"/>
            <w:r w:rsidRPr="000D1C0B">
              <w:rPr>
                <w:rFonts w:ascii="Arial" w:hAnsi="Arial" w:cs="Arial"/>
                <w:sz w:val="18"/>
                <w:szCs w:val="18"/>
              </w:rPr>
              <w:t>.</w:t>
            </w:r>
          </w:p>
          <w:p w14:paraId="23549A9C" w14:textId="758E418A" w:rsidR="00E20802" w:rsidRPr="000D1C0B" w:rsidRDefault="00E20802" w:rsidP="005A0BC1">
            <w:pPr>
              <w:autoSpaceDE w:val="0"/>
              <w:autoSpaceDN w:val="0"/>
              <w:adjustRightInd w:val="0"/>
              <w:spacing w:after="0" w:line="240" w:lineRule="auto"/>
              <w:jc w:val="both"/>
              <w:rPr>
                <w:rFonts w:ascii="Arial" w:hAnsi="Arial" w:cs="Arial"/>
                <w:sz w:val="18"/>
                <w:szCs w:val="18"/>
              </w:rPr>
            </w:pPr>
          </w:p>
        </w:tc>
        <w:tc>
          <w:tcPr>
            <w:tcW w:w="5247" w:type="dxa"/>
          </w:tcPr>
          <w:p w14:paraId="08DDBA06" w14:textId="348DD6FB" w:rsidR="002436D5" w:rsidRPr="000D1C0B" w:rsidRDefault="002436D5" w:rsidP="002436D5">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lastRenderedPageBreak/>
              <w:t>Reemplácese el segundo, tercer y cuarto párrafo del numeral 1:</w:t>
            </w:r>
          </w:p>
          <w:p w14:paraId="0D3964FE" w14:textId="03C1602F" w:rsidR="002436D5" w:rsidRPr="000D1C0B" w:rsidRDefault="002436D5" w:rsidP="005A0BC1">
            <w:pPr>
              <w:spacing w:after="0" w:line="240" w:lineRule="auto"/>
              <w:jc w:val="both"/>
              <w:rPr>
                <w:rFonts w:ascii="Arial" w:hAnsi="Arial" w:cs="Arial"/>
                <w:b/>
                <w:bCs/>
                <w:sz w:val="18"/>
                <w:szCs w:val="18"/>
              </w:rPr>
            </w:pPr>
          </w:p>
          <w:p w14:paraId="202342AB" w14:textId="77777777" w:rsidR="000D1C0B" w:rsidRPr="000D1C0B" w:rsidRDefault="000D1C0B" w:rsidP="005A0BC1">
            <w:pPr>
              <w:spacing w:after="0" w:line="240" w:lineRule="auto"/>
              <w:jc w:val="both"/>
              <w:rPr>
                <w:rFonts w:ascii="Arial" w:hAnsi="Arial" w:cs="Arial"/>
                <w:b/>
                <w:bCs/>
                <w:sz w:val="18"/>
                <w:szCs w:val="18"/>
              </w:rPr>
            </w:pPr>
          </w:p>
          <w:p w14:paraId="70E4CF63" w14:textId="1C156F79" w:rsidR="002436D5" w:rsidRPr="000D1C0B" w:rsidRDefault="002436D5" w:rsidP="005A0BC1">
            <w:pPr>
              <w:spacing w:after="0" w:line="240" w:lineRule="auto"/>
              <w:jc w:val="both"/>
              <w:rPr>
                <w:rFonts w:ascii="Arial" w:hAnsi="Arial" w:cs="Arial"/>
                <w:sz w:val="18"/>
                <w:szCs w:val="18"/>
              </w:rPr>
            </w:pPr>
            <w:r w:rsidRPr="000D1C0B">
              <w:rPr>
                <w:rFonts w:ascii="Arial" w:hAnsi="Arial" w:cs="Arial"/>
                <w:sz w:val="18"/>
                <w:szCs w:val="18"/>
              </w:rPr>
              <w:t>“</w:t>
            </w:r>
            <w:r w:rsidRPr="000D1C0B">
              <w:rPr>
                <w:rFonts w:ascii="Arial" w:hAnsi="Arial" w:cs="Arial"/>
                <w:i/>
                <w:iCs/>
                <w:sz w:val="18"/>
                <w:szCs w:val="18"/>
              </w:rPr>
              <w:t>La totalidad de las salas de juego de los casinos funcionarán a lo menos seis días a la semana, salvo aquellos días de excepción establecidos por la ley. Cada sociedad operadora determinará los días y el horario de</w:t>
            </w:r>
            <w:r w:rsidRPr="000D1C0B">
              <w:rPr>
                <w:rFonts w:ascii="Arial" w:hAnsi="Arial" w:cs="Arial"/>
                <w:sz w:val="18"/>
                <w:szCs w:val="18"/>
              </w:rPr>
              <w:t xml:space="preserve"> </w:t>
            </w:r>
            <w:r w:rsidRPr="000D1C0B">
              <w:rPr>
                <w:rFonts w:ascii="Arial" w:hAnsi="Arial" w:cs="Arial"/>
                <w:i/>
                <w:iCs/>
                <w:sz w:val="18"/>
                <w:szCs w:val="18"/>
              </w:rPr>
              <w:t xml:space="preserve">funcionamiento de las salas de juego, así como de los juegos que se desarrollen en ellas, en consideración a lo establecido en el inciso final del artículo 5º de la ley </w:t>
            </w:r>
            <w:proofErr w:type="spellStart"/>
            <w:r w:rsidRPr="000D1C0B">
              <w:rPr>
                <w:rFonts w:ascii="Arial" w:hAnsi="Arial" w:cs="Arial"/>
                <w:i/>
                <w:iCs/>
                <w:sz w:val="18"/>
                <w:szCs w:val="18"/>
              </w:rPr>
              <w:t>Nº</w:t>
            </w:r>
            <w:proofErr w:type="spellEnd"/>
            <w:r w:rsidRPr="000D1C0B">
              <w:rPr>
                <w:rFonts w:ascii="Arial" w:hAnsi="Arial" w:cs="Arial"/>
                <w:i/>
                <w:iCs/>
                <w:sz w:val="18"/>
                <w:szCs w:val="18"/>
              </w:rPr>
              <w:t xml:space="preserve"> 19.995. Sin perjuicio de lo anterior, el bingo deberá funcionar a lo menos tres días durante la semana y, como mínimo, dos horas diarias. En todo caso, </w:t>
            </w:r>
            <w:r w:rsidRPr="000D1C0B">
              <w:rPr>
                <w:rFonts w:ascii="Arial" w:hAnsi="Arial" w:cs="Arial"/>
                <w:i/>
                <w:iCs/>
                <w:sz w:val="18"/>
                <w:szCs w:val="18"/>
              </w:rPr>
              <w:lastRenderedPageBreak/>
              <w:t>ningún casino de juego, cualquiera sea el día o la época del año, podrá funcionar menos de seis horas en el día.</w:t>
            </w:r>
          </w:p>
          <w:p w14:paraId="15A6BB65" w14:textId="398D1AAB" w:rsidR="00AE3561" w:rsidRPr="000D1C0B" w:rsidRDefault="002436D5" w:rsidP="005A0BC1">
            <w:pPr>
              <w:spacing w:after="0" w:line="240" w:lineRule="auto"/>
              <w:jc w:val="both"/>
              <w:rPr>
                <w:rFonts w:ascii="Arial" w:hAnsi="Arial" w:cs="Arial"/>
                <w:i/>
                <w:iCs/>
                <w:sz w:val="18"/>
                <w:szCs w:val="18"/>
              </w:rPr>
            </w:pPr>
            <w:r w:rsidRPr="000D1C0B">
              <w:rPr>
                <w:rFonts w:ascii="Arial" w:hAnsi="Arial" w:cs="Arial"/>
                <w:i/>
                <w:iCs/>
                <w:sz w:val="18"/>
                <w:szCs w:val="18"/>
              </w:rPr>
              <w:t>La sociedad operadora deberá comunicar a</w:t>
            </w:r>
            <w:r w:rsidR="00AE3561" w:rsidRPr="000D1C0B">
              <w:rPr>
                <w:rFonts w:ascii="Arial" w:hAnsi="Arial" w:cs="Arial"/>
                <w:i/>
                <w:iCs/>
                <w:sz w:val="18"/>
                <w:szCs w:val="18"/>
              </w:rPr>
              <w:t xml:space="preserve"> </w:t>
            </w:r>
            <w:r w:rsidR="00B11352" w:rsidRPr="000D1C0B">
              <w:rPr>
                <w:rFonts w:ascii="Arial" w:hAnsi="Arial" w:cs="Arial"/>
                <w:i/>
                <w:iCs/>
                <w:sz w:val="18"/>
                <w:szCs w:val="18"/>
              </w:rPr>
              <w:t>la Superintendencia</w:t>
            </w:r>
            <w:r w:rsidRPr="000D1C0B">
              <w:rPr>
                <w:rFonts w:ascii="Arial" w:hAnsi="Arial" w:cs="Arial"/>
                <w:i/>
                <w:iCs/>
                <w:sz w:val="18"/>
                <w:szCs w:val="18"/>
              </w:rPr>
              <w:t xml:space="preserve"> los días y el horario de funcionamiento que determine, como igualmente cualquier modificación que efectuare al mismo, </w:t>
            </w:r>
            <w:proofErr w:type="gramStart"/>
            <w:r w:rsidRPr="000D1C0B">
              <w:rPr>
                <w:rFonts w:ascii="Arial" w:hAnsi="Arial" w:cs="Arial"/>
                <w:i/>
                <w:iCs/>
                <w:sz w:val="18"/>
                <w:szCs w:val="18"/>
              </w:rPr>
              <w:t>de acuerdo a</w:t>
            </w:r>
            <w:proofErr w:type="gramEnd"/>
            <w:r w:rsidRPr="000D1C0B">
              <w:rPr>
                <w:rFonts w:ascii="Arial" w:hAnsi="Arial" w:cs="Arial"/>
                <w:i/>
                <w:iCs/>
                <w:sz w:val="18"/>
                <w:szCs w:val="18"/>
              </w:rPr>
              <w:t xml:space="preserve"> las instrucciones que al efecto imparta la Superintendencia. </w:t>
            </w:r>
          </w:p>
          <w:p w14:paraId="091B66AD" w14:textId="77777777" w:rsidR="00AE3561" w:rsidRPr="000D1C0B" w:rsidRDefault="002436D5" w:rsidP="005A0BC1">
            <w:pPr>
              <w:spacing w:after="0" w:line="240" w:lineRule="auto"/>
              <w:jc w:val="both"/>
              <w:rPr>
                <w:rFonts w:ascii="Arial" w:hAnsi="Arial" w:cs="Arial"/>
                <w:i/>
                <w:iCs/>
                <w:sz w:val="18"/>
                <w:szCs w:val="18"/>
              </w:rPr>
            </w:pPr>
            <w:r w:rsidRPr="000D1C0B">
              <w:rPr>
                <w:rFonts w:ascii="Arial" w:hAnsi="Arial" w:cs="Arial"/>
                <w:i/>
                <w:iCs/>
                <w:sz w:val="18"/>
                <w:szCs w:val="18"/>
              </w:rPr>
              <w:t xml:space="preserve">El horario y días de funcionamiento tanto de las salas de juego como de los servicios anexos del </w:t>
            </w:r>
            <w:r w:rsidR="00AE3561" w:rsidRPr="000D1C0B">
              <w:rPr>
                <w:rFonts w:ascii="Arial" w:hAnsi="Arial" w:cs="Arial"/>
                <w:i/>
                <w:iCs/>
                <w:sz w:val="18"/>
                <w:szCs w:val="18"/>
              </w:rPr>
              <w:t>casino</w:t>
            </w:r>
            <w:r w:rsidRPr="000D1C0B">
              <w:rPr>
                <w:rFonts w:ascii="Arial" w:hAnsi="Arial" w:cs="Arial"/>
                <w:i/>
                <w:iCs/>
                <w:sz w:val="18"/>
                <w:szCs w:val="18"/>
              </w:rPr>
              <w:t xml:space="preserve"> deberán anunciarse de manera visible al público. El casino no podrá suspender sus actividades antes de la hora establecida, salvo por razones de fuerza mayor. </w:t>
            </w:r>
          </w:p>
          <w:p w14:paraId="32520AD3" w14:textId="3EA77086" w:rsidR="002436D5" w:rsidRPr="000D1C0B" w:rsidRDefault="002436D5" w:rsidP="005A0BC1">
            <w:pPr>
              <w:spacing w:after="0" w:line="240" w:lineRule="auto"/>
              <w:jc w:val="both"/>
              <w:rPr>
                <w:rFonts w:ascii="Arial" w:hAnsi="Arial" w:cs="Arial"/>
                <w:i/>
                <w:iCs/>
                <w:sz w:val="18"/>
                <w:szCs w:val="18"/>
              </w:rPr>
            </w:pPr>
            <w:r w:rsidRPr="000D1C0B">
              <w:rPr>
                <w:rFonts w:ascii="Arial" w:hAnsi="Arial" w:cs="Arial"/>
                <w:i/>
                <w:iCs/>
                <w:sz w:val="18"/>
                <w:szCs w:val="18"/>
              </w:rPr>
              <w:t>Lo dispuesto en el inciso precedente, se entiende sin perjuicio de las variaciones en la apertura y cierre de mesas, máquinas o posiciones de juego del bingo que el operador puede efectuar durante la operación cotidiana del casino, en consideración a la afluencia de jugadores, hora, días de la semana o estacionalidad.</w:t>
            </w:r>
            <w:r w:rsidR="00AE3561" w:rsidRPr="000D1C0B">
              <w:rPr>
                <w:rFonts w:ascii="Arial" w:hAnsi="Arial" w:cs="Arial"/>
                <w:i/>
                <w:iCs/>
                <w:sz w:val="18"/>
                <w:szCs w:val="18"/>
              </w:rPr>
              <w:t>”</w:t>
            </w:r>
          </w:p>
          <w:p w14:paraId="1EB1F88C" w14:textId="77777777" w:rsidR="000D1C0B" w:rsidRPr="000D1C0B" w:rsidRDefault="000D1C0B" w:rsidP="005A0BC1">
            <w:pPr>
              <w:spacing w:after="0" w:line="240" w:lineRule="auto"/>
              <w:jc w:val="both"/>
              <w:rPr>
                <w:rFonts w:ascii="Arial" w:hAnsi="Arial" w:cs="Arial"/>
                <w:b/>
                <w:bCs/>
                <w:sz w:val="18"/>
                <w:szCs w:val="18"/>
              </w:rPr>
            </w:pPr>
          </w:p>
          <w:p w14:paraId="6E32EFB8" w14:textId="229B8CDD" w:rsidR="005A0BC1" w:rsidRPr="000D1C0B" w:rsidRDefault="00496022" w:rsidP="005A0BC1">
            <w:pPr>
              <w:spacing w:after="0" w:line="240" w:lineRule="auto"/>
              <w:jc w:val="both"/>
              <w:rPr>
                <w:rFonts w:ascii="Arial" w:hAnsi="Arial" w:cs="Arial"/>
                <w:sz w:val="18"/>
                <w:szCs w:val="18"/>
              </w:rPr>
            </w:pPr>
            <w:r w:rsidRPr="000D1C0B">
              <w:rPr>
                <w:rFonts w:ascii="Arial" w:hAnsi="Arial" w:cs="Arial"/>
                <w:b/>
                <w:bCs/>
                <w:sz w:val="18"/>
                <w:szCs w:val="18"/>
              </w:rPr>
              <w:t>Reemplácese el</w:t>
            </w:r>
            <w:r w:rsidR="005A0BC1" w:rsidRPr="000D1C0B">
              <w:rPr>
                <w:rFonts w:ascii="Arial" w:hAnsi="Arial" w:cs="Arial"/>
                <w:b/>
                <w:bCs/>
                <w:sz w:val="18"/>
                <w:szCs w:val="18"/>
              </w:rPr>
              <w:t xml:space="preserve"> primer párrafo del numeral 2</w:t>
            </w:r>
            <w:r w:rsidR="005A0BC1" w:rsidRPr="000D1C0B">
              <w:rPr>
                <w:rFonts w:ascii="Arial" w:hAnsi="Arial" w:cs="Arial"/>
                <w:sz w:val="18"/>
                <w:szCs w:val="18"/>
              </w:rPr>
              <w:t>:</w:t>
            </w:r>
          </w:p>
          <w:p w14:paraId="33236440" w14:textId="77777777" w:rsidR="005A0BC1" w:rsidRPr="000D1C0B" w:rsidRDefault="005A0BC1" w:rsidP="005A0BC1">
            <w:pPr>
              <w:spacing w:after="0" w:line="240" w:lineRule="auto"/>
              <w:jc w:val="both"/>
              <w:rPr>
                <w:rFonts w:ascii="Arial" w:hAnsi="Arial" w:cs="Arial"/>
                <w:sz w:val="18"/>
                <w:szCs w:val="18"/>
              </w:rPr>
            </w:pPr>
          </w:p>
          <w:p w14:paraId="6FC9AF35" w14:textId="77777777" w:rsidR="005A0BC1" w:rsidRPr="000D1C0B" w:rsidRDefault="005A0BC1" w:rsidP="005A0BC1">
            <w:pPr>
              <w:spacing w:after="0" w:line="240" w:lineRule="auto"/>
              <w:jc w:val="both"/>
              <w:rPr>
                <w:rFonts w:ascii="Arial" w:hAnsi="Arial" w:cs="Arial"/>
                <w:sz w:val="18"/>
                <w:szCs w:val="18"/>
              </w:rPr>
            </w:pPr>
            <w:r w:rsidRPr="000D1C0B">
              <w:rPr>
                <w:rFonts w:ascii="Arial" w:hAnsi="Arial" w:cs="Arial"/>
                <w:sz w:val="18"/>
                <w:szCs w:val="18"/>
              </w:rPr>
              <w:t xml:space="preserve">Las sociedades operadoras deben comunicar a la Superintendencia el horario de funcionamiento de los casinos de juego que les han sido autorizados, en conformidad a las instrucciones que se imparten en el numeral 5 de la presente Circular. La referida comunicación deberá efectuarse con, a lo menos, </w:t>
            </w:r>
            <w:r w:rsidRPr="000D1C0B">
              <w:rPr>
                <w:rFonts w:ascii="Arial" w:hAnsi="Arial" w:cs="Arial"/>
                <w:b/>
                <w:bCs/>
                <w:sz w:val="18"/>
                <w:szCs w:val="18"/>
              </w:rPr>
              <w:t>1 día hábil de anticipación</w:t>
            </w:r>
            <w:r w:rsidRPr="000D1C0B">
              <w:rPr>
                <w:rFonts w:ascii="Arial" w:hAnsi="Arial" w:cs="Arial"/>
                <w:sz w:val="18"/>
                <w:szCs w:val="18"/>
              </w:rPr>
              <w:t xml:space="preserve"> a su </w:t>
            </w:r>
            <w:proofErr w:type="gramStart"/>
            <w:r w:rsidRPr="000D1C0B">
              <w:rPr>
                <w:rFonts w:ascii="Arial" w:hAnsi="Arial" w:cs="Arial"/>
                <w:sz w:val="18"/>
                <w:szCs w:val="18"/>
              </w:rPr>
              <w:t>entrada en vigencia</w:t>
            </w:r>
            <w:proofErr w:type="gramEnd"/>
            <w:r w:rsidRPr="000D1C0B">
              <w:rPr>
                <w:rFonts w:ascii="Arial" w:hAnsi="Arial" w:cs="Arial"/>
                <w:sz w:val="18"/>
                <w:szCs w:val="18"/>
              </w:rPr>
              <w:t>.</w:t>
            </w:r>
          </w:p>
          <w:p w14:paraId="27537ACB" w14:textId="2C98C79C" w:rsidR="005A0BC1" w:rsidRPr="000D1C0B" w:rsidRDefault="005A0BC1" w:rsidP="005A0BC1">
            <w:pPr>
              <w:spacing w:after="0" w:line="240" w:lineRule="auto"/>
              <w:jc w:val="both"/>
              <w:rPr>
                <w:rFonts w:ascii="Arial" w:hAnsi="Arial" w:cs="Arial"/>
                <w:sz w:val="18"/>
                <w:szCs w:val="18"/>
              </w:rPr>
            </w:pPr>
          </w:p>
          <w:p w14:paraId="7C2E80B6" w14:textId="1F0CCC8A" w:rsidR="000D1C0B" w:rsidRPr="000D1C0B" w:rsidRDefault="000D1C0B" w:rsidP="005A0BC1">
            <w:pPr>
              <w:spacing w:after="0" w:line="240" w:lineRule="auto"/>
              <w:jc w:val="both"/>
              <w:rPr>
                <w:rFonts w:ascii="Arial" w:hAnsi="Arial" w:cs="Arial"/>
                <w:sz w:val="18"/>
                <w:szCs w:val="18"/>
              </w:rPr>
            </w:pPr>
          </w:p>
          <w:p w14:paraId="490F9EE0" w14:textId="774EE1EC" w:rsidR="000D1C0B" w:rsidRPr="000D1C0B" w:rsidRDefault="000D1C0B" w:rsidP="005A0BC1">
            <w:pPr>
              <w:spacing w:after="0" w:line="240" w:lineRule="auto"/>
              <w:jc w:val="both"/>
              <w:rPr>
                <w:rFonts w:ascii="Arial" w:hAnsi="Arial" w:cs="Arial"/>
                <w:sz w:val="18"/>
                <w:szCs w:val="18"/>
              </w:rPr>
            </w:pPr>
          </w:p>
          <w:p w14:paraId="283DFFD0" w14:textId="77777777" w:rsidR="000D1C0B" w:rsidRPr="000D1C0B" w:rsidRDefault="000D1C0B" w:rsidP="005A0BC1">
            <w:pPr>
              <w:spacing w:after="0" w:line="240" w:lineRule="auto"/>
              <w:jc w:val="both"/>
              <w:rPr>
                <w:rFonts w:ascii="Arial" w:hAnsi="Arial" w:cs="Arial"/>
                <w:sz w:val="18"/>
                <w:szCs w:val="18"/>
              </w:rPr>
            </w:pPr>
          </w:p>
          <w:p w14:paraId="602CEBD0" w14:textId="0B0ECD13" w:rsidR="004B4550" w:rsidRPr="000D1C0B" w:rsidRDefault="00847712" w:rsidP="00847712">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Elimínese el tercer párrafo del numeral 2</w:t>
            </w:r>
            <w:r w:rsidR="00840F35" w:rsidRPr="000D1C0B">
              <w:rPr>
                <w:rFonts w:ascii="Arial" w:hAnsi="Arial" w:cs="Arial"/>
                <w:b/>
                <w:bCs/>
                <w:sz w:val="18"/>
                <w:szCs w:val="18"/>
              </w:rPr>
              <w:t>, pasand</w:t>
            </w:r>
            <w:r w:rsidR="00F474CB" w:rsidRPr="000D1C0B">
              <w:rPr>
                <w:rFonts w:ascii="Arial" w:hAnsi="Arial" w:cs="Arial"/>
                <w:b/>
                <w:bCs/>
                <w:sz w:val="18"/>
                <w:szCs w:val="18"/>
              </w:rPr>
              <w:t>o</w:t>
            </w:r>
            <w:r w:rsidR="00840F35" w:rsidRPr="000D1C0B">
              <w:rPr>
                <w:rFonts w:ascii="Arial" w:hAnsi="Arial" w:cs="Arial"/>
                <w:b/>
                <w:bCs/>
                <w:sz w:val="18"/>
                <w:szCs w:val="18"/>
              </w:rPr>
              <w:t xml:space="preserve"> el actual cuarto a ser tercero.</w:t>
            </w:r>
            <w:r w:rsidR="004B4550" w:rsidRPr="000D1C0B">
              <w:rPr>
                <w:rFonts w:ascii="Arial" w:hAnsi="Arial" w:cs="Arial"/>
                <w:b/>
                <w:bCs/>
                <w:sz w:val="18"/>
                <w:szCs w:val="18"/>
              </w:rPr>
              <w:t xml:space="preserve"> </w:t>
            </w:r>
          </w:p>
          <w:p w14:paraId="246838FC" w14:textId="072BB2D2" w:rsidR="004B4550" w:rsidRPr="000D1C0B" w:rsidRDefault="004B4550" w:rsidP="004B4550">
            <w:pPr>
              <w:autoSpaceDE w:val="0"/>
              <w:autoSpaceDN w:val="0"/>
              <w:adjustRightInd w:val="0"/>
              <w:spacing w:after="0" w:line="240" w:lineRule="auto"/>
              <w:jc w:val="both"/>
              <w:rPr>
                <w:rFonts w:ascii="Arial" w:hAnsi="Arial" w:cs="Arial"/>
                <w:b/>
                <w:bCs/>
                <w:sz w:val="18"/>
                <w:szCs w:val="18"/>
              </w:rPr>
            </w:pPr>
          </w:p>
          <w:p w14:paraId="53417F9B" w14:textId="77777777" w:rsidR="004B4550" w:rsidRPr="000D1C0B" w:rsidRDefault="004B4550" w:rsidP="00847712">
            <w:pPr>
              <w:autoSpaceDE w:val="0"/>
              <w:autoSpaceDN w:val="0"/>
              <w:adjustRightInd w:val="0"/>
              <w:spacing w:after="0" w:line="240" w:lineRule="auto"/>
              <w:jc w:val="both"/>
              <w:rPr>
                <w:rFonts w:ascii="Arial" w:hAnsi="Arial" w:cs="Arial"/>
                <w:b/>
                <w:bCs/>
                <w:sz w:val="18"/>
                <w:szCs w:val="18"/>
              </w:rPr>
            </w:pPr>
          </w:p>
          <w:p w14:paraId="2DC4E5C3" w14:textId="527880F7" w:rsidR="00847712" w:rsidRPr="000D1C0B" w:rsidRDefault="00847712" w:rsidP="00847712">
            <w:pPr>
              <w:autoSpaceDE w:val="0"/>
              <w:autoSpaceDN w:val="0"/>
              <w:adjustRightInd w:val="0"/>
              <w:spacing w:after="0" w:line="240" w:lineRule="auto"/>
              <w:jc w:val="both"/>
              <w:rPr>
                <w:rFonts w:ascii="Arial" w:hAnsi="Arial" w:cs="Arial"/>
                <w:b/>
                <w:bCs/>
                <w:sz w:val="18"/>
                <w:szCs w:val="18"/>
              </w:rPr>
            </w:pPr>
          </w:p>
          <w:p w14:paraId="6A03D8E2" w14:textId="399A1389" w:rsidR="00847712" w:rsidRPr="000D1C0B" w:rsidRDefault="00847712" w:rsidP="005A0BC1">
            <w:pPr>
              <w:spacing w:after="0" w:line="240" w:lineRule="auto"/>
              <w:jc w:val="both"/>
              <w:rPr>
                <w:rFonts w:ascii="Arial" w:hAnsi="Arial" w:cs="Arial"/>
                <w:sz w:val="18"/>
                <w:szCs w:val="18"/>
              </w:rPr>
            </w:pPr>
          </w:p>
          <w:p w14:paraId="66EC4383" w14:textId="76F12253" w:rsidR="00847712" w:rsidRPr="000D1C0B" w:rsidRDefault="00847712" w:rsidP="005A0BC1">
            <w:pPr>
              <w:spacing w:after="0" w:line="240" w:lineRule="auto"/>
              <w:jc w:val="both"/>
              <w:rPr>
                <w:rFonts w:ascii="Arial" w:hAnsi="Arial" w:cs="Arial"/>
                <w:sz w:val="18"/>
                <w:szCs w:val="18"/>
              </w:rPr>
            </w:pPr>
          </w:p>
          <w:p w14:paraId="1BBEC5DD" w14:textId="7C9A491E" w:rsidR="00847712" w:rsidRPr="000D1C0B" w:rsidRDefault="00847712" w:rsidP="005A0BC1">
            <w:pPr>
              <w:spacing w:after="0" w:line="240" w:lineRule="auto"/>
              <w:jc w:val="both"/>
              <w:rPr>
                <w:rFonts w:ascii="Arial" w:hAnsi="Arial" w:cs="Arial"/>
                <w:sz w:val="18"/>
                <w:szCs w:val="18"/>
              </w:rPr>
            </w:pPr>
          </w:p>
          <w:p w14:paraId="7FE82CEC" w14:textId="4227375C" w:rsidR="00847712" w:rsidRPr="000D1C0B" w:rsidRDefault="00847712" w:rsidP="005A0BC1">
            <w:pPr>
              <w:spacing w:after="0" w:line="240" w:lineRule="auto"/>
              <w:jc w:val="both"/>
              <w:rPr>
                <w:rFonts w:ascii="Arial" w:hAnsi="Arial" w:cs="Arial"/>
                <w:sz w:val="18"/>
                <w:szCs w:val="18"/>
              </w:rPr>
            </w:pPr>
          </w:p>
          <w:p w14:paraId="20B73125" w14:textId="6D8BA9BF" w:rsidR="00847712" w:rsidRPr="000D1C0B" w:rsidRDefault="00847712" w:rsidP="005A0BC1">
            <w:pPr>
              <w:spacing w:after="0" w:line="240" w:lineRule="auto"/>
              <w:jc w:val="both"/>
              <w:rPr>
                <w:rFonts w:ascii="Arial" w:hAnsi="Arial" w:cs="Arial"/>
                <w:sz w:val="18"/>
                <w:szCs w:val="18"/>
              </w:rPr>
            </w:pPr>
          </w:p>
          <w:p w14:paraId="21FC06C4" w14:textId="5C9C42C7" w:rsidR="000D1C0B" w:rsidRPr="000D1C0B" w:rsidRDefault="000D1C0B" w:rsidP="005A0BC1">
            <w:pPr>
              <w:spacing w:after="0" w:line="240" w:lineRule="auto"/>
              <w:jc w:val="both"/>
              <w:rPr>
                <w:rFonts w:ascii="Arial" w:hAnsi="Arial" w:cs="Arial"/>
                <w:sz w:val="18"/>
                <w:szCs w:val="18"/>
              </w:rPr>
            </w:pPr>
          </w:p>
          <w:p w14:paraId="71BAA142" w14:textId="77777777" w:rsidR="000D1C0B" w:rsidRPr="000D1C0B" w:rsidRDefault="000D1C0B" w:rsidP="005A0BC1">
            <w:pPr>
              <w:spacing w:after="0" w:line="240" w:lineRule="auto"/>
              <w:jc w:val="both"/>
              <w:rPr>
                <w:rFonts w:ascii="Arial" w:hAnsi="Arial" w:cs="Arial"/>
                <w:sz w:val="18"/>
                <w:szCs w:val="18"/>
              </w:rPr>
            </w:pPr>
          </w:p>
          <w:p w14:paraId="7B68CB40" w14:textId="77777777" w:rsidR="00977A7A" w:rsidRPr="000D1C0B" w:rsidRDefault="00977A7A" w:rsidP="005A0BC1">
            <w:pPr>
              <w:spacing w:after="0" w:line="240" w:lineRule="auto"/>
              <w:jc w:val="both"/>
              <w:rPr>
                <w:rFonts w:ascii="Arial" w:hAnsi="Arial" w:cs="Arial"/>
                <w:sz w:val="18"/>
                <w:szCs w:val="18"/>
              </w:rPr>
            </w:pPr>
          </w:p>
          <w:p w14:paraId="489A7F02" w14:textId="18F478E4" w:rsidR="005A0BC1"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Reemplácese el segundo párrafo del numeral 3</w:t>
            </w:r>
            <w:r w:rsidRPr="000D1C0B">
              <w:rPr>
                <w:rFonts w:ascii="Arial" w:hAnsi="Arial" w:cs="Arial"/>
                <w:sz w:val="18"/>
                <w:szCs w:val="18"/>
              </w:rPr>
              <w:t>.</w:t>
            </w:r>
          </w:p>
          <w:p w14:paraId="6A075195"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3D240859"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Asimismo, cualquier modificación que se efectúe al referido horario deberá ser anunciada con, a lo menos, </w:t>
            </w:r>
            <w:r w:rsidRPr="000D1C0B">
              <w:rPr>
                <w:rFonts w:ascii="Arial" w:hAnsi="Arial" w:cs="Arial"/>
                <w:b/>
                <w:bCs/>
                <w:sz w:val="18"/>
                <w:szCs w:val="18"/>
              </w:rPr>
              <w:t>1 día hábil de anticipación</w:t>
            </w:r>
            <w:r w:rsidRPr="000D1C0B">
              <w:rPr>
                <w:rFonts w:ascii="Arial" w:hAnsi="Arial" w:cs="Arial"/>
                <w:sz w:val="18"/>
                <w:szCs w:val="18"/>
              </w:rPr>
              <w:t xml:space="preserve"> a su </w:t>
            </w:r>
            <w:proofErr w:type="gramStart"/>
            <w:r w:rsidRPr="000D1C0B">
              <w:rPr>
                <w:rFonts w:ascii="Arial" w:hAnsi="Arial" w:cs="Arial"/>
                <w:sz w:val="18"/>
                <w:szCs w:val="18"/>
              </w:rPr>
              <w:t>entrada en vigencia</w:t>
            </w:r>
            <w:proofErr w:type="gramEnd"/>
            <w:r w:rsidRPr="000D1C0B">
              <w:rPr>
                <w:rFonts w:ascii="Arial" w:hAnsi="Arial" w:cs="Arial"/>
                <w:sz w:val="18"/>
                <w:szCs w:val="18"/>
              </w:rPr>
              <w:t>.</w:t>
            </w:r>
          </w:p>
          <w:p w14:paraId="467A9F06" w14:textId="123FCA26" w:rsidR="00E20802" w:rsidRPr="000D1C0B" w:rsidRDefault="00E20802" w:rsidP="005A0BC1">
            <w:pPr>
              <w:autoSpaceDE w:val="0"/>
              <w:autoSpaceDN w:val="0"/>
              <w:adjustRightInd w:val="0"/>
              <w:spacing w:after="0" w:line="240" w:lineRule="auto"/>
              <w:jc w:val="both"/>
              <w:rPr>
                <w:rFonts w:ascii="Arial" w:hAnsi="Arial" w:cs="Arial"/>
                <w:sz w:val="18"/>
                <w:szCs w:val="18"/>
              </w:rPr>
            </w:pPr>
          </w:p>
        </w:tc>
      </w:tr>
      <w:tr w:rsidR="00C033AD" w:rsidRPr="000D1C0B" w14:paraId="1149C03A" w14:textId="77777777" w:rsidTr="00A74791">
        <w:trPr>
          <w:trHeight w:val="512"/>
        </w:trPr>
        <w:tc>
          <w:tcPr>
            <w:tcW w:w="416" w:type="dxa"/>
          </w:tcPr>
          <w:p w14:paraId="76BAB98E" w14:textId="3D3D304B" w:rsidR="005A0BC1" w:rsidRPr="000D1C0B" w:rsidRDefault="004C123A" w:rsidP="005A0BC1">
            <w:pPr>
              <w:spacing w:line="240" w:lineRule="auto"/>
              <w:jc w:val="center"/>
              <w:rPr>
                <w:rFonts w:ascii="Arial" w:hAnsi="Arial" w:cs="Arial"/>
                <w:spacing w:val="-3"/>
                <w:sz w:val="18"/>
                <w:szCs w:val="18"/>
              </w:rPr>
            </w:pPr>
            <w:r w:rsidRPr="000D1C0B">
              <w:rPr>
                <w:rFonts w:ascii="Arial" w:hAnsi="Arial" w:cs="Arial"/>
                <w:spacing w:val="-3"/>
                <w:sz w:val="18"/>
                <w:szCs w:val="18"/>
              </w:rPr>
              <w:lastRenderedPageBreak/>
              <w:t>3</w:t>
            </w:r>
          </w:p>
        </w:tc>
        <w:tc>
          <w:tcPr>
            <w:tcW w:w="1267" w:type="dxa"/>
          </w:tcPr>
          <w:p w14:paraId="746D833B" w14:textId="77777777" w:rsidR="005A0BC1" w:rsidRPr="000D1C0B" w:rsidRDefault="005A0BC1" w:rsidP="005A0BC1">
            <w:pPr>
              <w:spacing w:line="240" w:lineRule="auto"/>
              <w:jc w:val="center"/>
              <w:rPr>
                <w:rFonts w:ascii="Arial" w:hAnsi="Arial" w:cs="Arial"/>
                <w:b/>
                <w:bCs/>
                <w:spacing w:val="-3"/>
                <w:sz w:val="18"/>
                <w:szCs w:val="18"/>
              </w:rPr>
            </w:pPr>
            <w:r w:rsidRPr="000D1C0B">
              <w:rPr>
                <w:rFonts w:ascii="Arial" w:hAnsi="Arial" w:cs="Arial"/>
                <w:bCs/>
                <w:spacing w:val="-3"/>
                <w:sz w:val="18"/>
                <w:szCs w:val="18"/>
              </w:rPr>
              <w:t>Circular N°27/2011</w:t>
            </w:r>
          </w:p>
        </w:tc>
        <w:tc>
          <w:tcPr>
            <w:tcW w:w="2582" w:type="dxa"/>
          </w:tcPr>
          <w:p w14:paraId="28505802" w14:textId="77777777" w:rsidR="005A0BC1" w:rsidRPr="000D1C0B" w:rsidRDefault="005A0BC1" w:rsidP="005A0BC1">
            <w:pPr>
              <w:spacing w:line="240" w:lineRule="auto"/>
              <w:jc w:val="both"/>
              <w:rPr>
                <w:rFonts w:ascii="Arial" w:hAnsi="Arial" w:cs="Arial"/>
                <w:b/>
                <w:bCs/>
                <w:spacing w:val="-3"/>
                <w:sz w:val="18"/>
                <w:szCs w:val="18"/>
              </w:rPr>
            </w:pPr>
            <w:r w:rsidRPr="000D1C0B">
              <w:rPr>
                <w:rFonts w:ascii="Arial" w:hAnsi="Arial" w:cs="Arial"/>
                <w:bCs/>
                <w:spacing w:val="-3"/>
                <w:sz w:val="18"/>
                <w:szCs w:val="18"/>
              </w:rPr>
              <w:t>Notificación de valor de entrada a las salas de juego de los casinos de juego</w:t>
            </w:r>
          </w:p>
        </w:tc>
        <w:tc>
          <w:tcPr>
            <w:tcW w:w="3666" w:type="dxa"/>
          </w:tcPr>
          <w:p w14:paraId="4781FD7E" w14:textId="703A7A1E" w:rsidR="000E168F" w:rsidRPr="000D1C0B" w:rsidRDefault="000E168F" w:rsidP="000E168F">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Cuarto párrafo del numeral 1:</w:t>
            </w:r>
          </w:p>
          <w:p w14:paraId="60E6B081" w14:textId="77777777" w:rsidR="000E168F" w:rsidRPr="000D1C0B" w:rsidRDefault="000E168F" w:rsidP="000E168F">
            <w:pPr>
              <w:autoSpaceDE w:val="0"/>
              <w:autoSpaceDN w:val="0"/>
              <w:adjustRightInd w:val="0"/>
              <w:spacing w:after="0" w:line="240" w:lineRule="auto"/>
              <w:jc w:val="both"/>
              <w:rPr>
                <w:rFonts w:ascii="Arial" w:hAnsi="Arial" w:cs="Arial"/>
                <w:b/>
                <w:bCs/>
                <w:sz w:val="18"/>
                <w:szCs w:val="18"/>
              </w:rPr>
            </w:pPr>
          </w:p>
          <w:p w14:paraId="54FCAEE3" w14:textId="6BB3C036" w:rsidR="000E168F" w:rsidRPr="000D1C0B" w:rsidRDefault="003E2425" w:rsidP="005A0BC1">
            <w:pPr>
              <w:autoSpaceDE w:val="0"/>
              <w:autoSpaceDN w:val="0"/>
              <w:adjustRightInd w:val="0"/>
              <w:spacing w:after="0" w:line="240" w:lineRule="auto"/>
              <w:jc w:val="both"/>
              <w:rPr>
                <w:rFonts w:ascii="Arial" w:hAnsi="Arial" w:cs="Arial"/>
                <w:color w:val="010000"/>
                <w:sz w:val="18"/>
                <w:szCs w:val="18"/>
              </w:rPr>
            </w:pPr>
            <w:r w:rsidRPr="000D1C0B">
              <w:rPr>
                <w:rFonts w:ascii="Arial" w:hAnsi="Arial" w:cs="Arial"/>
                <w:sz w:val="18"/>
                <w:szCs w:val="18"/>
              </w:rPr>
              <w:t>Asimismo</w:t>
            </w:r>
            <w:r w:rsidR="00D74AAE" w:rsidRPr="000D1C0B">
              <w:rPr>
                <w:rFonts w:ascii="Arial" w:hAnsi="Arial" w:cs="Arial"/>
                <w:sz w:val="18"/>
                <w:szCs w:val="18"/>
              </w:rPr>
              <w:t>,</w:t>
            </w:r>
            <w:r w:rsidRPr="000D1C0B">
              <w:rPr>
                <w:rFonts w:ascii="Arial" w:hAnsi="Arial" w:cs="Arial"/>
                <w:sz w:val="18"/>
                <w:szCs w:val="18"/>
              </w:rPr>
              <w:t xml:space="preserve"> el artículo 10 del DS N°287/2005, señala que</w:t>
            </w:r>
            <w:r w:rsidR="00D74AAE" w:rsidRPr="000D1C0B">
              <w:rPr>
                <w:rFonts w:ascii="Arial" w:hAnsi="Arial" w:cs="Arial"/>
                <w:sz w:val="18"/>
                <w:szCs w:val="18"/>
              </w:rPr>
              <w:t>:</w:t>
            </w:r>
            <w:r w:rsidRPr="000D1C0B">
              <w:rPr>
                <w:rFonts w:ascii="Arial" w:hAnsi="Arial" w:cs="Arial"/>
                <w:sz w:val="18"/>
                <w:szCs w:val="18"/>
              </w:rPr>
              <w:t xml:space="preserve"> </w:t>
            </w:r>
            <w:r w:rsidR="00D74AAE" w:rsidRPr="000D1C0B">
              <w:rPr>
                <w:rFonts w:ascii="Arial" w:hAnsi="Arial" w:cs="Arial"/>
                <w:sz w:val="18"/>
                <w:szCs w:val="18"/>
              </w:rPr>
              <w:t>“</w:t>
            </w:r>
            <w:r w:rsidR="000E168F" w:rsidRPr="000D1C0B">
              <w:rPr>
                <w:rFonts w:ascii="Arial" w:hAnsi="Arial" w:cs="Arial"/>
                <w:i/>
                <w:iCs/>
                <w:color w:val="010000"/>
                <w:sz w:val="18"/>
                <w:szCs w:val="18"/>
              </w:rPr>
              <w:t>El ingreso a las salas de juego estará gravado con impuesto fiscal equivalente a 0,07 unidad tributaria mensual, según se establece en el artículo 58 de la Ley</w:t>
            </w:r>
            <w:r w:rsidR="00D74AAE" w:rsidRPr="000D1C0B">
              <w:rPr>
                <w:rFonts w:ascii="Arial" w:hAnsi="Arial" w:cs="Arial"/>
                <w:i/>
                <w:iCs/>
                <w:color w:val="010000"/>
                <w:sz w:val="18"/>
                <w:szCs w:val="18"/>
              </w:rPr>
              <w:t>”</w:t>
            </w:r>
          </w:p>
          <w:p w14:paraId="4A11D9FF" w14:textId="29E4EE65" w:rsidR="00F16B56" w:rsidRPr="000D1C0B" w:rsidRDefault="00F16B56" w:rsidP="005A0BC1">
            <w:pPr>
              <w:autoSpaceDE w:val="0"/>
              <w:autoSpaceDN w:val="0"/>
              <w:adjustRightInd w:val="0"/>
              <w:spacing w:after="0" w:line="240" w:lineRule="auto"/>
              <w:jc w:val="both"/>
              <w:rPr>
                <w:rFonts w:ascii="Arial" w:hAnsi="Arial" w:cs="Arial"/>
                <w:b/>
                <w:bCs/>
                <w:color w:val="010000"/>
                <w:sz w:val="18"/>
                <w:szCs w:val="18"/>
              </w:rPr>
            </w:pPr>
          </w:p>
          <w:p w14:paraId="4E9A5B9A" w14:textId="77777777" w:rsidR="00F16B56" w:rsidRPr="000D1C0B" w:rsidRDefault="00F16B56" w:rsidP="005A0BC1">
            <w:pPr>
              <w:autoSpaceDE w:val="0"/>
              <w:autoSpaceDN w:val="0"/>
              <w:adjustRightInd w:val="0"/>
              <w:spacing w:after="0" w:line="240" w:lineRule="auto"/>
              <w:jc w:val="both"/>
              <w:rPr>
                <w:rFonts w:ascii="Arial" w:hAnsi="Arial" w:cs="Arial"/>
                <w:b/>
                <w:bCs/>
                <w:color w:val="010000"/>
                <w:sz w:val="18"/>
                <w:szCs w:val="18"/>
              </w:rPr>
            </w:pPr>
          </w:p>
          <w:p w14:paraId="2D4D1C05" w14:textId="1AD50F86" w:rsidR="005A0BC1" w:rsidRPr="000D1C0B" w:rsidRDefault="005A0BC1" w:rsidP="005A0BC1">
            <w:pPr>
              <w:autoSpaceDE w:val="0"/>
              <w:autoSpaceDN w:val="0"/>
              <w:adjustRightInd w:val="0"/>
              <w:spacing w:after="0" w:line="240" w:lineRule="auto"/>
              <w:jc w:val="both"/>
              <w:rPr>
                <w:rFonts w:ascii="Arial" w:hAnsi="Arial" w:cs="Arial"/>
                <w:color w:val="010000"/>
                <w:sz w:val="18"/>
                <w:szCs w:val="18"/>
              </w:rPr>
            </w:pPr>
            <w:r w:rsidRPr="000D1C0B">
              <w:rPr>
                <w:rFonts w:ascii="Arial" w:hAnsi="Arial" w:cs="Arial"/>
                <w:b/>
                <w:bCs/>
                <w:color w:val="010000"/>
                <w:sz w:val="18"/>
                <w:szCs w:val="18"/>
              </w:rPr>
              <w:t>Segundo párrafo del numeral 2</w:t>
            </w:r>
            <w:r w:rsidRPr="000D1C0B">
              <w:rPr>
                <w:rFonts w:ascii="Arial" w:hAnsi="Arial" w:cs="Arial"/>
                <w:color w:val="010000"/>
                <w:sz w:val="18"/>
                <w:szCs w:val="18"/>
              </w:rPr>
              <w:t>:</w:t>
            </w:r>
          </w:p>
          <w:p w14:paraId="0238B6C0" w14:textId="77777777" w:rsidR="005A0BC1" w:rsidRPr="000D1C0B" w:rsidRDefault="005A0BC1" w:rsidP="005A0BC1">
            <w:pPr>
              <w:autoSpaceDE w:val="0"/>
              <w:autoSpaceDN w:val="0"/>
              <w:adjustRightInd w:val="0"/>
              <w:spacing w:after="0" w:line="240" w:lineRule="auto"/>
              <w:jc w:val="both"/>
              <w:rPr>
                <w:rFonts w:ascii="Arial" w:hAnsi="Arial" w:cs="Arial"/>
                <w:color w:val="010000"/>
                <w:sz w:val="18"/>
                <w:szCs w:val="18"/>
              </w:rPr>
            </w:pPr>
          </w:p>
          <w:p w14:paraId="54C78970" w14:textId="77777777" w:rsidR="005A0BC1" w:rsidRPr="000D1C0B" w:rsidRDefault="005A0BC1" w:rsidP="005A0BC1">
            <w:pPr>
              <w:autoSpaceDE w:val="0"/>
              <w:autoSpaceDN w:val="0"/>
              <w:adjustRightInd w:val="0"/>
              <w:spacing w:after="0" w:line="240" w:lineRule="auto"/>
              <w:jc w:val="both"/>
              <w:rPr>
                <w:rFonts w:ascii="Arial" w:hAnsi="Arial" w:cs="Arial"/>
                <w:color w:val="010000"/>
                <w:sz w:val="18"/>
                <w:szCs w:val="18"/>
              </w:rPr>
            </w:pPr>
            <w:r w:rsidRPr="000D1C0B">
              <w:rPr>
                <w:rFonts w:ascii="Arial" w:hAnsi="Arial" w:cs="Arial"/>
                <w:color w:val="010000"/>
                <w:sz w:val="18"/>
                <w:szCs w:val="18"/>
              </w:rPr>
              <w:t xml:space="preserve">La notificación del nuevo valor de la </w:t>
            </w:r>
            <w:proofErr w:type="gramStart"/>
            <w:r w:rsidRPr="000D1C0B">
              <w:rPr>
                <w:rFonts w:ascii="Arial" w:hAnsi="Arial" w:cs="Arial"/>
                <w:color w:val="010000"/>
                <w:sz w:val="18"/>
                <w:szCs w:val="18"/>
              </w:rPr>
              <w:t>entrada,</w:t>
            </w:r>
            <w:proofErr w:type="gramEnd"/>
            <w:r w:rsidRPr="000D1C0B">
              <w:rPr>
                <w:rFonts w:ascii="Arial" w:hAnsi="Arial" w:cs="Arial"/>
                <w:color w:val="010000"/>
                <w:sz w:val="18"/>
                <w:szCs w:val="18"/>
              </w:rPr>
              <w:t xml:space="preserve"> deberá notificarse </w:t>
            </w:r>
            <w:r w:rsidRPr="000D1C0B">
              <w:rPr>
                <w:rFonts w:ascii="Arial" w:hAnsi="Arial" w:cs="Arial"/>
                <w:b/>
                <w:bCs/>
                <w:color w:val="010000"/>
                <w:sz w:val="18"/>
                <w:szCs w:val="18"/>
              </w:rPr>
              <w:t>con una anticipación</w:t>
            </w:r>
            <w:r w:rsidRPr="000D1C0B">
              <w:rPr>
                <w:rFonts w:ascii="Arial" w:hAnsi="Arial" w:cs="Arial"/>
                <w:color w:val="010000"/>
                <w:sz w:val="18"/>
                <w:szCs w:val="18"/>
              </w:rPr>
              <w:t xml:space="preserve"> de, a lo menos, </w:t>
            </w:r>
            <w:r w:rsidRPr="000D1C0B">
              <w:rPr>
                <w:rFonts w:ascii="Arial" w:hAnsi="Arial" w:cs="Arial"/>
                <w:b/>
                <w:bCs/>
                <w:color w:val="010000"/>
                <w:sz w:val="18"/>
                <w:szCs w:val="18"/>
              </w:rPr>
              <w:t>5 días hábiles</w:t>
            </w:r>
            <w:r w:rsidRPr="000D1C0B">
              <w:rPr>
                <w:rFonts w:ascii="Arial" w:hAnsi="Arial" w:cs="Arial"/>
                <w:color w:val="010000"/>
                <w:sz w:val="18"/>
                <w:szCs w:val="18"/>
              </w:rPr>
              <w:t xml:space="preserve"> respecto de la fecha en que la sociedad operadora pretenda implementar el citado valor.</w:t>
            </w:r>
          </w:p>
          <w:p w14:paraId="05F0758B" w14:textId="77777777" w:rsidR="005A0BC1" w:rsidRPr="000D1C0B" w:rsidRDefault="005A0BC1" w:rsidP="005A0BC1">
            <w:pPr>
              <w:autoSpaceDE w:val="0"/>
              <w:autoSpaceDN w:val="0"/>
              <w:adjustRightInd w:val="0"/>
              <w:spacing w:after="0" w:line="240" w:lineRule="auto"/>
              <w:jc w:val="both"/>
              <w:rPr>
                <w:rFonts w:ascii="Arial" w:hAnsi="Arial" w:cs="Arial"/>
                <w:b/>
                <w:bCs/>
                <w:color w:val="010000"/>
                <w:spacing w:val="-3"/>
                <w:sz w:val="18"/>
                <w:szCs w:val="18"/>
              </w:rPr>
            </w:pPr>
          </w:p>
          <w:p w14:paraId="74DA1688" w14:textId="6775DA23" w:rsidR="005A0BC1" w:rsidRPr="000D1C0B" w:rsidRDefault="005A0BC1" w:rsidP="005A0BC1">
            <w:pPr>
              <w:autoSpaceDE w:val="0"/>
              <w:autoSpaceDN w:val="0"/>
              <w:adjustRightInd w:val="0"/>
              <w:spacing w:after="0" w:line="240" w:lineRule="auto"/>
              <w:jc w:val="both"/>
              <w:rPr>
                <w:rFonts w:ascii="Arial" w:hAnsi="Arial" w:cs="Arial"/>
                <w:color w:val="010000"/>
                <w:sz w:val="18"/>
                <w:szCs w:val="18"/>
              </w:rPr>
            </w:pPr>
            <w:r w:rsidRPr="000D1C0B">
              <w:rPr>
                <w:rFonts w:ascii="Arial" w:hAnsi="Arial" w:cs="Arial"/>
                <w:b/>
                <w:bCs/>
                <w:color w:val="010000"/>
                <w:sz w:val="18"/>
                <w:szCs w:val="18"/>
              </w:rPr>
              <w:t>Tercer párrafo del numeral 3</w:t>
            </w:r>
            <w:r w:rsidRPr="000D1C0B">
              <w:rPr>
                <w:rFonts w:ascii="Arial" w:hAnsi="Arial" w:cs="Arial"/>
                <w:color w:val="010000"/>
                <w:sz w:val="18"/>
                <w:szCs w:val="18"/>
              </w:rPr>
              <w:t>:</w:t>
            </w:r>
          </w:p>
          <w:p w14:paraId="6D9F52B8" w14:textId="77777777" w:rsidR="005A0BC1" w:rsidRPr="000D1C0B" w:rsidRDefault="005A0BC1" w:rsidP="005A0BC1">
            <w:pPr>
              <w:autoSpaceDE w:val="0"/>
              <w:autoSpaceDN w:val="0"/>
              <w:adjustRightInd w:val="0"/>
              <w:spacing w:after="0" w:line="240" w:lineRule="auto"/>
              <w:jc w:val="both"/>
              <w:rPr>
                <w:rFonts w:ascii="Arial" w:hAnsi="Arial" w:cs="Arial"/>
                <w:color w:val="010000"/>
                <w:sz w:val="18"/>
                <w:szCs w:val="18"/>
              </w:rPr>
            </w:pPr>
          </w:p>
          <w:p w14:paraId="5BA4851C" w14:textId="4EB9C9D6" w:rsidR="005A0BC1" w:rsidRPr="000D1C0B" w:rsidRDefault="005A0BC1" w:rsidP="005A0BC1">
            <w:pPr>
              <w:autoSpaceDE w:val="0"/>
              <w:autoSpaceDN w:val="0"/>
              <w:adjustRightInd w:val="0"/>
              <w:spacing w:after="0" w:line="240" w:lineRule="auto"/>
              <w:jc w:val="both"/>
              <w:rPr>
                <w:rFonts w:ascii="Arial" w:hAnsi="Arial" w:cs="Arial"/>
                <w:color w:val="010000"/>
                <w:sz w:val="18"/>
                <w:szCs w:val="18"/>
              </w:rPr>
            </w:pPr>
            <w:r w:rsidRPr="000D1C0B">
              <w:rPr>
                <w:rFonts w:ascii="Arial" w:hAnsi="Arial" w:cs="Arial"/>
                <w:color w:val="010000"/>
                <w:sz w:val="18"/>
                <w:szCs w:val="18"/>
              </w:rPr>
              <w:t xml:space="preserve">La notificación a que se refiere el primer párrafo de este numeral deberá enviarse a la Superintendencia, si corresponde en conjunto con a la notificación de nuevo valor de entrada, </w:t>
            </w:r>
            <w:r w:rsidRPr="000D1C0B">
              <w:rPr>
                <w:rFonts w:ascii="Arial" w:hAnsi="Arial" w:cs="Arial"/>
                <w:b/>
                <w:bCs/>
                <w:color w:val="010000"/>
                <w:sz w:val="18"/>
                <w:szCs w:val="18"/>
              </w:rPr>
              <w:t>con una anticipación</w:t>
            </w:r>
            <w:r w:rsidRPr="000D1C0B">
              <w:rPr>
                <w:rFonts w:ascii="Arial" w:hAnsi="Arial" w:cs="Arial"/>
                <w:color w:val="010000"/>
                <w:sz w:val="18"/>
                <w:szCs w:val="18"/>
              </w:rPr>
              <w:t xml:space="preserve"> de, a lo menos, </w:t>
            </w:r>
            <w:r w:rsidRPr="000D1C0B">
              <w:rPr>
                <w:rFonts w:ascii="Arial" w:hAnsi="Arial" w:cs="Arial"/>
                <w:b/>
                <w:bCs/>
                <w:color w:val="010000"/>
                <w:sz w:val="18"/>
                <w:szCs w:val="18"/>
              </w:rPr>
              <w:t>5 días hábiles</w:t>
            </w:r>
            <w:r w:rsidRPr="000D1C0B">
              <w:rPr>
                <w:rFonts w:ascii="Arial" w:hAnsi="Arial" w:cs="Arial"/>
                <w:color w:val="010000"/>
                <w:sz w:val="18"/>
                <w:szCs w:val="18"/>
              </w:rPr>
              <w:t xml:space="preserve"> respecto de la fecha en que la sociedad operadora </w:t>
            </w:r>
            <w:r w:rsidRPr="000D1C0B">
              <w:rPr>
                <w:rFonts w:ascii="Arial" w:hAnsi="Arial" w:cs="Arial"/>
                <w:color w:val="010000"/>
                <w:sz w:val="18"/>
                <w:szCs w:val="18"/>
              </w:rPr>
              <w:lastRenderedPageBreak/>
              <w:t>pretenda implementar acciones de promoción con el valor de entrada.</w:t>
            </w:r>
          </w:p>
        </w:tc>
        <w:tc>
          <w:tcPr>
            <w:tcW w:w="5247" w:type="dxa"/>
          </w:tcPr>
          <w:p w14:paraId="32A2AAE1" w14:textId="7F80E12E" w:rsidR="003E2425" w:rsidRPr="000D1C0B" w:rsidRDefault="003E2425" w:rsidP="005A0BC1">
            <w:pPr>
              <w:spacing w:after="0" w:line="240" w:lineRule="auto"/>
              <w:jc w:val="both"/>
              <w:rPr>
                <w:rFonts w:ascii="Arial" w:hAnsi="Arial" w:cs="Arial"/>
                <w:b/>
                <w:bCs/>
                <w:sz w:val="18"/>
                <w:szCs w:val="18"/>
              </w:rPr>
            </w:pPr>
            <w:r w:rsidRPr="000D1C0B">
              <w:rPr>
                <w:rFonts w:ascii="Arial" w:hAnsi="Arial" w:cs="Arial"/>
                <w:b/>
                <w:bCs/>
                <w:sz w:val="18"/>
                <w:szCs w:val="18"/>
              </w:rPr>
              <w:lastRenderedPageBreak/>
              <w:t>Reemplácese el cuarto párrafo del numeral 1:</w:t>
            </w:r>
          </w:p>
          <w:p w14:paraId="35D1C552" w14:textId="77777777" w:rsidR="003E2425" w:rsidRPr="000D1C0B" w:rsidRDefault="003E2425" w:rsidP="005A0BC1">
            <w:pPr>
              <w:spacing w:after="0" w:line="240" w:lineRule="auto"/>
              <w:jc w:val="both"/>
              <w:rPr>
                <w:rFonts w:ascii="Arial" w:hAnsi="Arial" w:cs="Arial"/>
                <w:b/>
                <w:bCs/>
                <w:sz w:val="18"/>
                <w:szCs w:val="18"/>
              </w:rPr>
            </w:pPr>
          </w:p>
          <w:p w14:paraId="34330C8C" w14:textId="1FC9606F" w:rsidR="00D74AAE" w:rsidRPr="000D1C0B" w:rsidRDefault="00D74AAE" w:rsidP="00D74AAE">
            <w:pPr>
              <w:autoSpaceDE w:val="0"/>
              <w:autoSpaceDN w:val="0"/>
              <w:adjustRightInd w:val="0"/>
              <w:spacing w:after="0" w:line="240" w:lineRule="auto"/>
              <w:jc w:val="both"/>
              <w:rPr>
                <w:rFonts w:ascii="Arial" w:hAnsi="Arial" w:cs="Arial"/>
                <w:i/>
                <w:iCs/>
                <w:color w:val="010000"/>
                <w:sz w:val="18"/>
                <w:szCs w:val="18"/>
              </w:rPr>
            </w:pPr>
            <w:r w:rsidRPr="000D1C0B">
              <w:rPr>
                <w:rFonts w:ascii="Arial" w:hAnsi="Arial" w:cs="Arial"/>
                <w:i/>
                <w:iCs/>
                <w:sz w:val="18"/>
                <w:szCs w:val="18"/>
              </w:rPr>
              <w:t>Asimismo</w:t>
            </w:r>
            <w:r w:rsidR="002F64C7" w:rsidRPr="000D1C0B">
              <w:rPr>
                <w:rFonts w:ascii="Arial" w:hAnsi="Arial" w:cs="Arial"/>
                <w:i/>
                <w:iCs/>
                <w:sz w:val="18"/>
                <w:szCs w:val="18"/>
              </w:rPr>
              <w:t>,</w:t>
            </w:r>
            <w:r w:rsidRPr="000D1C0B">
              <w:rPr>
                <w:rFonts w:ascii="Arial" w:hAnsi="Arial" w:cs="Arial"/>
                <w:i/>
                <w:iCs/>
                <w:sz w:val="18"/>
                <w:szCs w:val="18"/>
              </w:rPr>
              <w:t xml:space="preserve"> el artículo 10 del DS N°287/2005, señala que: “</w:t>
            </w:r>
            <w:r w:rsidRPr="000D1C0B">
              <w:rPr>
                <w:rFonts w:ascii="Arial" w:hAnsi="Arial" w:cs="Arial"/>
                <w:i/>
                <w:iCs/>
                <w:color w:val="010000"/>
                <w:sz w:val="18"/>
                <w:szCs w:val="18"/>
              </w:rPr>
              <w:t>El ingreso a las salas de juego estará gravado con impuesto fiscal equivalente a 0,07 unidad tributaria mensual, según se establece en el artículo 58 de la Ley</w:t>
            </w:r>
            <w:r w:rsidR="00977A7A" w:rsidRPr="000D1C0B">
              <w:rPr>
                <w:rFonts w:ascii="Arial" w:hAnsi="Arial" w:cs="Arial"/>
                <w:i/>
                <w:iCs/>
                <w:color w:val="010000"/>
                <w:sz w:val="18"/>
                <w:szCs w:val="18"/>
              </w:rPr>
              <w:t>.</w:t>
            </w:r>
            <w:r w:rsidRPr="000D1C0B">
              <w:rPr>
                <w:rFonts w:ascii="Arial" w:hAnsi="Arial" w:cs="Arial"/>
                <w:i/>
                <w:iCs/>
                <w:color w:val="010000"/>
                <w:sz w:val="18"/>
                <w:szCs w:val="18"/>
              </w:rPr>
              <w:t xml:space="preserve"> Es responsabilidad de la sociedad operadora disponer de las medidas necesarias para dar cumplimiento a lo anteriormente señalado.</w:t>
            </w:r>
            <w:r w:rsidR="002F64C7" w:rsidRPr="000D1C0B">
              <w:rPr>
                <w:rFonts w:ascii="Arial" w:hAnsi="Arial" w:cs="Arial"/>
                <w:i/>
                <w:iCs/>
                <w:color w:val="010000"/>
                <w:sz w:val="18"/>
                <w:szCs w:val="18"/>
              </w:rPr>
              <w:t>”</w:t>
            </w:r>
          </w:p>
          <w:p w14:paraId="0B8534C1" w14:textId="10458CF5" w:rsidR="000D1C0B" w:rsidRPr="000D1C0B" w:rsidRDefault="000D1C0B" w:rsidP="00D74AAE">
            <w:pPr>
              <w:autoSpaceDE w:val="0"/>
              <w:autoSpaceDN w:val="0"/>
              <w:adjustRightInd w:val="0"/>
              <w:spacing w:after="0" w:line="240" w:lineRule="auto"/>
              <w:jc w:val="both"/>
              <w:rPr>
                <w:rFonts w:ascii="Arial" w:hAnsi="Arial" w:cs="Arial"/>
                <w:i/>
                <w:iCs/>
                <w:color w:val="010000"/>
                <w:sz w:val="18"/>
                <w:szCs w:val="18"/>
              </w:rPr>
            </w:pPr>
          </w:p>
          <w:p w14:paraId="08DF251A" w14:textId="77777777" w:rsidR="003E2425" w:rsidRPr="000D1C0B" w:rsidRDefault="003E2425" w:rsidP="005A0BC1">
            <w:pPr>
              <w:spacing w:after="0" w:line="240" w:lineRule="auto"/>
              <w:jc w:val="both"/>
              <w:rPr>
                <w:rFonts w:ascii="Arial" w:hAnsi="Arial" w:cs="Arial"/>
                <w:b/>
                <w:bCs/>
                <w:sz w:val="18"/>
                <w:szCs w:val="18"/>
              </w:rPr>
            </w:pPr>
          </w:p>
          <w:p w14:paraId="1DEB27B0" w14:textId="42B5E6A7" w:rsidR="005A0BC1" w:rsidRPr="000D1C0B" w:rsidRDefault="005A0BC1" w:rsidP="005A0BC1">
            <w:pPr>
              <w:spacing w:after="0" w:line="240" w:lineRule="auto"/>
              <w:jc w:val="both"/>
              <w:rPr>
                <w:rFonts w:ascii="Arial" w:hAnsi="Arial" w:cs="Arial"/>
                <w:sz w:val="18"/>
                <w:szCs w:val="18"/>
              </w:rPr>
            </w:pPr>
            <w:r w:rsidRPr="000D1C0B">
              <w:rPr>
                <w:rFonts w:ascii="Arial" w:hAnsi="Arial" w:cs="Arial"/>
                <w:b/>
                <w:bCs/>
                <w:sz w:val="18"/>
                <w:szCs w:val="18"/>
              </w:rPr>
              <w:t>Reemplácese el segundo párrafo del numeral 2</w:t>
            </w:r>
            <w:r w:rsidRPr="000D1C0B">
              <w:rPr>
                <w:rFonts w:ascii="Arial" w:hAnsi="Arial" w:cs="Arial"/>
                <w:sz w:val="18"/>
                <w:szCs w:val="18"/>
              </w:rPr>
              <w:t>:</w:t>
            </w:r>
          </w:p>
          <w:p w14:paraId="615E3C17" w14:textId="77777777" w:rsidR="005A0BC1" w:rsidRPr="000D1C0B" w:rsidRDefault="005A0BC1" w:rsidP="005A0BC1">
            <w:pPr>
              <w:spacing w:after="0" w:line="240" w:lineRule="auto"/>
              <w:jc w:val="both"/>
              <w:rPr>
                <w:rFonts w:ascii="Arial" w:hAnsi="Arial" w:cs="Arial"/>
                <w:sz w:val="18"/>
                <w:szCs w:val="18"/>
              </w:rPr>
            </w:pPr>
          </w:p>
          <w:p w14:paraId="77341E30" w14:textId="03EFA71B" w:rsidR="005A0BC1" w:rsidRPr="000D1C0B" w:rsidRDefault="005A0BC1" w:rsidP="005A0BC1">
            <w:pPr>
              <w:spacing w:after="0" w:line="240" w:lineRule="auto"/>
              <w:jc w:val="both"/>
              <w:rPr>
                <w:rFonts w:ascii="Arial" w:hAnsi="Arial" w:cs="Arial"/>
                <w:sz w:val="18"/>
                <w:szCs w:val="18"/>
              </w:rPr>
            </w:pPr>
            <w:r w:rsidRPr="000D1C0B">
              <w:rPr>
                <w:rFonts w:ascii="Arial" w:hAnsi="Arial" w:cs="Arial"/>
                <w:sz w:val="18"/>
                <w:szCs w:val="18"/>
              </w:rPr>
              <w:t xml:space="preserve">La notificación del nuevo valor de la </w:t>
            </w:r>
            <w:r w:rsidR="00F16B56" w:rsidRPr="000D1C0B">
              <w:rPr>
                <w:rFonts w:ascii="Arial" w:hAnsi="Arial" w:cs="Arial"/>
                <w:sz w:val="18"/>
                <w:szCs w:val="18"/>
              </w:rPr>
              <w:t>entrada</w:t>
            </w:r>
            <w:r w:rsidRPr="000D1C0B">
              <w:rPr>
                <w:rFonts w:ascii="Arial" w:hAnsi="Arial" w:cs="Arial"/>
                <w:sz w:val="18"/>
                <w:szCs w:val="18"/>
              </w:rPr>
              <w:t xml:space="preserve"> deberá notificarse </w:t>
            </w:r>
            <w:r w:rsidRPr="000D1C0B">
              <w:rPr>
                <w:rFonts w:ascii="Arial" w:hAnsi="Arial" w:cs="Arial"/>
                <w:b/>
                <w:bCs/>
                <w:sz w:val="18"/>
                <w:szCs w:val="18"/>
              </w:rPr>
              <w:t>con una anticipación</w:t>
            </w:r>
            <w:r w:rsidRPr="000D1C0B">
              <w:rPr>
                <w:rFonts w:ascii="Arial" w:hAnsi="Arial" w:cs="Arial"/>
                <w:sz w:val="18"/>
                <w:szCs w:val="18"/>
              </w:rPr>
              <w:t xml:space="preserve"> de, a lo menos, </w:t>
            </w:r>
            <w:r w:rsidRPr="000D1C0B">
              <w:rPr>
                <w:rFonts w:ascii="Arial" w:hAnsi="Arial" w:cs="Arial"/>
                <w:b/>
                <w:bCs/>
                <w:sz w:val="18"/>
                <w:szCs w:val="18"/>
              </w:rPr>
              <w:t>1 día hábil</w:t>
            </w:r>
            <w:r w:rsidRPr="000D1C0B">
              <w:rPr>
                <w:rFonts w:ascii="Arial" w:hAnsi="Arial" w:cs="Arial"/>
                <w:sz w:val="18"/>
                <w:szCs w:val="18"/>
              </w:rPr>
              <w:t xml:space="preserve"> respecto de la fecha en que la sociedad operadora pretenda implementar el citado valor.</w:t>
            </w:r>
          </w:p>
          <w:p w14:paraId="1BEA571B" w14:textId="081C654D" w:rsidR="000D1C0B" w:rsidRPr="000D1C0B" w:rsidRDefault="000D1C0B" w:rsidP="005A0BC1">
            <w:pPr>
              <w:spacing w:after="0" w:line="240" w:lineRule="auto"/>
              <w:jc w:val="both"/>
              <w:rPr>
                <w:rFonts w:ascii="Arial" w:hAnsi="Arial" w:cs="Arial"/>
                <w:sz w:val="18"/>
                <w:szCs w:val="18"/>
              </w:rPr>
            </w:pPr>
          </w:p>
          <w:p w14:paraId="4467012E" w14:textId="77777777" w:rsidR="000D1C0B" w:rsidRPr="000D1C0B" w:rsidRDefault="000D1C0B" w:rsidP="005A0BC1">
            <w:pPr>
              <w:spacing w:after="0" w:line="240" w:lineRule="auto"/>
              <w:jc w:val="both"/>
              <w:rPr>
                <w:rFonts w:ascii="Arial" w:hAnsi="Arial" w:cs="Arial"/>
                <w:sz w:val="18"/>
                <w:szCs w:val="18"/>
              </w:rPr>
            </w:pPr>
          </w:p>
          <w:p w14:paraId="2576FD7E" w14:textId="77777777" w:rsidR="005A0BC1" w:rsidRPr="000D1C0B" w:rsidRDefault="005A0BC1" w:rsidP="005A0BC1">
            <w:pPr>
              <w:spacing w:after="0" w:line="240" w:lineRule="auto"/>
              <w:jc w:val="both"/>
              <w:rPr>
                <w:rFonts w:ascii="Arial" w:hAnsi="Arial" w:cs="Arial"/>
                <w:b/>
                <w:bCs/>
                <w:spacing w:val="-3"/>
                <w:sz w:val="18"/>
                <w:szCs w:val="18"/>
              </w:rPr>
            </w:pPr>
          </w:p>
          <w:p w14:paraId="60E78D88" w14:textId="5B875DEC" w:rsidR="005A0BC1" w:rsidRPr="000D1C0B" w:rsidRDefault="005A0BC1" w:rsidP="005A0BC1">
            <w:pPr>
              <w:autoSpaceDE w:val="0"/>
              <w:autoSpaceDN w:val="0"/>
              <w:adjustRightInd w:val="0"/>
              <w:spacing w:after="0" w:line="240" w:lineRule="auto"/>
              <w:jc w:val="both"/>
              <w:rPr>
                <w:rFonts w:ascii="Arial" w:hAnsi="Arial" w:cs="Arial"/>
                <w:color w:val="010000"/>
                <w:sz w:val="18"/>
                <w:szCs w:val="18"/>
              </w:rPr>
            </w:pPr>
            <w:r w:rsidRPr="000D1C0B">
              <w:rPr>
                <w:rFonts w:ascii="Arial" w:hAnsi="Arial" w:cs="Arial"/>
                <w:b/>
                <w:bCs/>
                <w:color w:val="010000"/>
                <w:sz w:val="18"/>
                <w:szCs w:val="18"/>
              </w:rPr>
              <w:t>Reemplácese el tercer párrafo del numeral 3</w:t>
            </w:r>
            <w:r w:rsidRPr="000D1C0B">
              <w:rPr>
                <w:rFonts w:ascii="Arial" w:hAnsi="Arial" w:cs="Arial"/>
                <w:color w:val="010000"/>
                <w:sz w:val="18"/>
                <w:szCs w:val="18"/>
              </w:rPr>
              <w:t>:</w:t>
            </w:r>
          </w:p>
          <w:p w14:paraId="2E2D948A" w14:textId="77777777" w:rsidR="005A0BC1" w:rsidRPr="000D1C0B" w:rsidRDefault="005A0BC1" w:rsidP="005A0BC1">
            <w:pPr>
              <w:autoSpaceDE w:val="0"/>
              <w:autoSpaceDN w:val="0"/>
              <w:adjustRightInd w:val="0"/>
              <w:spacing w:after="0" w:line="240" w:lineRule="auto"/>
              <w:jc w:val="both"/>
              <w:rPr>
                <w:rFonts w:ascii="Arial" w:hAnsi="Arial" w:cs="Arial"/>
                <w:color w:val="010000"/>
                <w:sz w:val="18"/>
                <w:szCs w:val="18"/>
              </w:rPr>
            </w:pPr>
          </w:p>
          <w:p w14:paraId="44E49C37" w14:textId="3B8878D8" w:rsidR="005A0BC1" w:rsidRPr="000D1C0B" w:rsidRDefault="005A0BC1" w:rsidP="00415485">
            <w:pPr>
              <w:autoSpaceDE w:val="0"/>
              <w:autoSpaceDN w:val="0"/>
              <w:adjustRightInd w:val="0"/>
              <w:spacing w:after="0" w:line="240" w:lineRule="auto"/>
              <w:jc w:val="both"/>
              <w:rPr>
                <w:rFonts w:ascii="Arial" w:hAnsi="Arial" w:cs="Arial"/>
                <w:color w:val="010000"/>
                <w:sz w:val="18"/>
                <w:szCs w:val="18"/>
              </w:rPr>
            </w:pPr>
            <w:r w:rsidRPr="000D1C0B">
              <w:rPr>
                <w:rFonts w:ascii="Arial" w:hAnsi="Arial" w:cs="Arial"/>
                <w:color w:val="010000"/>
                <w:sz w:val="18"/>
                <w:szCs w:val="18"/>
              </w:rPr>
              <w:t xml:space="preserve">La notificación a que se refiere el primer párrafo de este numeral deberá enviarse a la Superintendencia, si corresponde en conjunto con a la notificación de nuevo valor de entrada, </w:t>
            </w:r>
            <w:r w:rsidRPr="000D1C0B">
              <w:rPr>
                <w:rFonts w:ascii="Arial" w:hAnsi="Arial" w:cs="Arial"/>
                <w:b/>
                <w:bCs/>
                <w:color w:val="010000"/>
                <w:sz w:val="18"/>
                <w:szCs w:val="18"/>
              </w:rPr>
              <w:t>con una anticipación</w:t>
            </w:r>
            <w:r w:rsidRPr="000D1C0B">
              <w:rPr>
                <w:rFonts w:ascii="Arial" w:hAnsi="Arial" w:cs="Arial"/>
                <w:color w:val="010000"/>
                <w:sz w:val="18"/>
                <w:szCs w:val="18"/>
              </w:rPr>
              <w:t xml:space="preserve"> de, a lo menos, </w:t>
            </w:r>
            <w:r w:rsidRPr="000D1C0B">
              <w:rPr>
                <w:rFonts w:ascii="Arial" w:hAnsi="Arial" w:cs="Arial"/>
                <w:b/>
                <w:bCs/>
                <w:color w:val="010000"/>
                <w:sz w:val="18"/>
                <w:szCs w:val="18"/>
              </w:rPr>
              <w:t>1 día hábil</w:t>
            </w:r>
            <w:r w:rsidRPr="000D1C0B">
              <w:rPr>
                <w:rFonts w:ascii="Arial" w:hAnsi="Arial" w:cs="Arial"/>
                <w:color w:val="010000"/>
                <w:sz w:val="18"/>
                <w:szCs w:val="18"/>
              </w:rPr>
              <w:t xml:space="preserve"> respecto de la fecha en que la sociedad operadora pretenda implementar acciones de promoción con el valor de entrada.</w:t>
            </w:r>
          </w:p>
        </w:tc>
      </w:tr>
      <w:tr w:rsidR="00C033AD" w:rsidRPr="000D1C0B" w14:paraId="33E7977D" w14:textId="77777777" w:rsidTr="00A74791">
        <w:trPr>
          <w:trHeight w:val="512"/>
        </w:trPr>
        <w:tc>
          <w:tcPr>
            <w:tcW w:w="416" w:type="dxa"/>
            <w:shd w:val="clear" w:color="auto" w:fill="FFFFFF" w:themeFill="background1"/>
          </w:tcPr>
          <w:p w14:paraId="5560272B" w14:textId="148D6D02" w:rsidR="005A0BC1" w:rsidRPr="000D1C0B" w:rsidRDefault="004C123A" w:rsidP="005A0BC1">
            <w:pPr>
              <w:spacing w:line="240" w:lineRule="auto"/>
              <w:jc w:val="center"/>
              <w:rPr>
                <w:rFonts w:ascii="Arial" w:hAnsi="Arial" w:cs="Arial"/>
                <w:spacing w:val="-3"/>
                <w:sz w:val="18"/>
                <w:szCs w:val="18"/>
              </w:rPr>
            </w:pPr>
            <w:r w:rsidRPr="000D1C0B">
              <w:rPr>
                <w:rFonts w:ascii="Arial" w:hAnsi="Arial" w:cs="Arial"/>
                <w:spacing w:val="-3"/>
                <w:sz w:val="18"/>
                <w:szCs w:val="18"/>
              </w:rPr>
              <w:t>4</w:t>
            </w:r>
          </w:p>
        </w:tc>
        <w:tc>
          <w:tcPr>
            <w:tcW w:w="1267" w:type="dxa"/>
          </w:tcPr>
          <w:p w14:paraId="4D217FF3" w14:textId="563095C4" w:rsidR="005A0BC1" w:rsidRPr="000D1C0B" w:rsidRDefault="005A0BC1"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N°33/2013</w:t>
            </w:r>
          </w:p>
          <w:p w14:paraId="32395155" w14:textId="151356DD" w:rsidR="00BC1911" w:rsidRPr="000D1C0B" w:rsidRDefault="00577892" w:rsidP="00BC1911">
            <w:pPr>
              <w:spacing w:line="240" w:lineRule="auto"/>
              <w:jc w:val="center"/>
              <w:rPr>
                <w:rFonts w:ascii="Arial" w:hAnsi="Arial" w:cs="Arial"/>
                <w:bCs/>
                <w:spacing w:val="-3"/>
                <w:sz w:val="18"/>
                <w:szCs w:val="18"/>
              </w:rPr>
            </w:pPr>
            <w:r w:rsidRPr="000D1C0B">
              <w:rPr>
                <w:rFonts w:ascii="Arial" w:hAnsi="Arial" w:cs="Arial"/>
                <w:bCs/>
                <w:spacing w:val="-3"/>
                <w:sz w:val="18"/>
                <w:szCs w:val="18"/>
              </w:rPr>
              <w:t>modificada</w:t>
            </w:r>
            <w:r w:rsidR="00BC1911" w:rsidRPr="000D1C0B">
              <w:rPr>
                <w:rFonts w:ascii="Arial" w:hAnsi="Arial" w:cs="Arial"/>
                <w:bCs/>
                <w:spacing w:val="-3"/>
                <w:sz w:val="18"/>
                <w:szCs w:val="18"/>
              </w:rPr>
              <w:t xml:space="preserve"> por la Circular N°94/2018</w:t>
            </w:r>
          </w:p>
          <w:p w14:paraId="406E496F" w14:textId="02BC6A8A" w:rsidR="005A0BC1" w:rsidRPr="000D1C0B" w:rsidRDefault="005A0BC1" w:rsidP="008325E9">
            <w:pPr>
              <w:jc w:val="center"/>
              <w:rPr>
                <w:rFonts w:ascii="Arial" w:hAnsi="Arial" w:cs="Arial"/>
                <w:bCs/>
                <w:spacing w:val="-3"/>
                <w:sz w:val="18"/>
                <w:szCs w:val="18"/>
              </w:rPr>
            </w:pPr>
          </w:p>
        </w:tc>
        <w:tc>
          <w:tcPr>
            <w:tcW w:w="2582" w:type="dxa"/>
          </w:tcPr>
          <w:p w14:paraId="4C6E66C9" w14:textId="77777777" w:rsidR="005A0BC1" w:rsidRPr="000D1C0B" w:rsidRDefault="005A0BC1" w:rsidP="005A0BC1">
            <w:pPr>
              <w:spacing w:line="240" w:lineRule="auto"/>
              <w:jc w:val="both"/>
              <w:rPr>
                <w:rFonts w:ascii="Arial" w:hAnsi="Arial" w:cs="Arial"/>
                <w:spacing w:val="-3"/>
                <w:sz w:val="18"/>
                <w:szCs w:val="18"/>
              </w:rPr>
            </w:pPr>
            <w:r w:rsidRPr="000D1C0B">
              <w:rPr>
                <w:rFonts w:ascii="Arial" w:hAnsi="Arial" w:cs="Arial"/>
                <w:spacing w:val="-3"/>
                <w:sz w:val="18"/>
                <w:szCs w:val="18"/>
              </w:rPr>
              <w:t>Notificación de máquinas de azar del parque de juegos de casinos de juego</w:t>
            </w:r>
          </w:p>
          <w:p w14:paraId="77AA4232" w14:textId="77777777" w:rsidR="005A0BC1" w:rsidRPr="000D1C0B" w:rsidRDefault="005A0BC1" w:rsidP="005A0BC1">
            <w:pPr>
              <w:spacing w:line="240" w:lineRule="auto"/>
              <w:jc w:val="both"/>
              <w:rPr>
                <w:rFonts w:ascii="Arial" w:hAnsi="Arial" w:cs="Arial"/>
                <w:spacing w:val="-3"/>
                <w:sz w:val="18"/>
                <w:szCs w:val="18"/>
              </w:rPr>
            </w:pPr>
            <w:r w:rsidRPr="000D1C0B">
              <w:rPr>
                <w:rFonts w:ascii="Arial" w:hAnsi="Arial" w:cs="Arial"/>
                <w:spacing w:val="-3"/>
                <w:sz w:val="18"/>
                <w:szCs w:val="18"/>
              </w:rPr>
              <w:t>Notificación de pozos progresivos de máquinas de azar del parque de juegos de casinos de juego</w:t>
            </w:r>
          </w:p>
          <w:p w14:paraId="607D8D58" w14:textId="77777777" w:rsidR="005A0BC1" w:rsidRPr="000D1C0B" w:rsidRDefault="005A0BC1" w:rsidP="005A0BC1">
            <w:pPr>
              <w:spacing w:line="240" w:lineRule="auto"/>
              <w:jc w:val="both"/>
              <w:rPr>
                <w:rFonts w:ascii="Arial" w:hAnsi="Arial" w:cs="Arial"/>
                <w:spacing w:val="-3"/>
                <w:sz w:val="18"/>
                <w:szCs w:val="18"/>
              </w:rPr>
            </w:pPr>
            <w:r w:rsidRPr="000D1C0B">
              <w:rPr>
                <w:rFonts w:ascii="Arial" w:hAnsi="Arial" w:cs="Arial"/>
                <w:spacing w:val="-3"/>
                <w:sz w:val="18"/>
                <w:szCs w:val="18"/>
              </w:rPr>
              <w:t>Notificación de mesas del parque de juegos de casinos de juego</w:t>
            </w:r>
          </w:p>
          <w:p w14:paraId="6203EAFC" w14:textId="799ADA3C" w:rsidR="005A0BC1" w:rsidRPr="000D1C0B" w:rsidRDefault="005A0BC1" w:rsidP="005A0BC1">
            <w:pPr>
              <w:spacing w:line="240" w:lineRule="auto"/>
              <w:jc w:val="both"/>
              <w:rPr>
                <w:rFonts w:ascii="Arial" w:hAnsi="Arial" w:cs="Arial"/>
                <w:b/>
                <w:bCs/>
                <w:spacing w:val="-3"/>
                <w:sz w:val="18"/>
                <w:szCs w:val="18"/>
              </w:rPr>
            </w:pPr>
            <w:r w:rsidRPr="000D1C0B">
              <w:rPr>
                <w:rFonts w:ascii="Arial" w:hAnsi="Arial" w:cs="Arial"/>
                <w:spacing w:val="-3"/>
                <w:sz w:val="18"/>
                <w:szCs w:val="18"/>
              </w:rPr>
              <w:t>Notificación de bingo del parque de juegos de casinos de juego</w:t>
            </w:r>
          </w:p>
        </w:tc>
        <w:tc>
          <w:tcPr>
            <w:tcW w:w="3666" w:type="dxa"/>
          </w:tcPr>
          <w:p w14:paraId="2892BFCB" w14:textId="77777777" w:rsidR="00C033AD" w:rsidRPr="000D1C0B" w:rsidRDefault="00C033AD" w:rsidP="001F615A">
            <w:pPr>
              <w:pStyle w:val="Default"/>
              <w:numPr>
                <w:ilvl w:val="0"/>
                <w:numId w:val="30"/>
              </w:numPr>
              <w:jc w:val="both"/>
              <w:rPr>
                <w:sz w:val="18"/>
                <w:szCs w:val="18"/>
              </w:rPr>
            </w:pPr>
          </w:p>
          <w:p w14:paraId="15F306D4" w14:textId="2664E454" w:rsidR="002835F3" w:rsidRPr="000D1C0B" w:rsidRDefault="00B46942" w:rsidP="00B46942">
            <w:pPr>
              <w:pStyle w:val="Default"/>
              <w:jc w:val="both"/>
              <w:rPr>
                <w:b/>
                <w:bCs/>
                <w:color w:val="auto"/>
                <w:sz w:val="18"/>
                <w:szCs w:val="18"/>
              </w:rPr>
            </w:pPr>
            <w:r w:rsidRPr="000D1C0B">
              <w:rPr>
                <w:b/>
                <w:bCs/>
                <w:color w:val="auto"/>
                <w:sz w:val="18"/>
                <w:szCs w:val="18"/>
              </w:rPr>
              <w:t>Primer párrafo del numeral 1:</w:t>
            </w:r>
          </w:p>
          <w:p w14:paraId="07983E84" w14:textId="77777777" w:rsidR="00B46942" w:rsidRPr="000D1C0B" w:rsidRDefault="00B46942" w:rsidP="00B46942">
            <w:pPr>
              <w:pStyle w:val="Default"/>
              <w:jc w:val="both"/>
              <w:rPr>
                <w:b/>
                <w:bCs/>
                <w:color w:val="auto"/>
                <w:sz w:val="18"/>
                <w:szCs w:val="18"/>
              </w:rPr>
            </w:pPr>
          </w:p>
          <w:p w14:paraId="0B31FBEC" w14:textId="5D763508" w:rsidR="00B46942" w:rsidRPr="000D1C0B" w:rsidRDefault="00B46942" w:rsidP="00B46942">
            <w:pPr>
              <w:pStyle w:val="Default"/>
              <w:jc w:val="both"/>
              <w:rPr>
                <w:sz w:val="18"/>
                <w:szCs w:val="18"/>
              </w:rPr>
            </w:pPr>
            <w:proofErr w:type="gramStart"/>
            <w:r w:rsidRPr="000D1C0B">
              <w:rPr>
                <w:sz w:val="18"/>
                <w:szCs w:val="18"/>
              </w:rPr>
              <w:t>De acuerdo a</w:t>
            </w:r>
            <w:proofErr w:type="gramEnd"/>
            <w:r w:rsidRPr="000D1C0B">
              <w:rPr>
                <w:sz w:val="18"/>
                <w:szCs w:val="18"/>
              </w:rPr>
              <w:t xml:space="preserve"> lo que establece el inciso sexto del </w:t>
            </w:r>
            <w:r w:rsidRPr="000D1C0B">
              <w:rPr>
                <w:b/>
                <w:bCs/>
                <w:sz w:val="18"/>
                <w:szCs w:val="18"/>
              </w:rPr>
              <w:t>artículo 39</w:t>
            </w:r>
            <w:r w:rsidRPr="000D1C0B">
              <w:rPr>
                <w:sz w:val="18"/>
                <w:szCs w:val="18"/>
              </w:rPr>
              <w:t xml:space="preserve"> del </w:t>
            </w:r>
            <w:r w:rsidRPr="000D1C0B">
              <w:rPr>
                <w:b/>
                <w:bCs/>
                <w:sz w:val="18"/>
                <w:szCs w:val="18"/>
              </w:rPr>
              <w:t xml:space="preserve">Decreto Supremo </w:t>
            </w:r>
            <w:proofErr w:type="spellStart"/>
            <w:r w:rsidRPr="000D1C0B">
              <w:rPr>
                <w:b/>
                <w:bCs/>
                <w:sz w:val="18"/>
                <w:szCs w:val="18"/>
              </w:rPr>
              <w:t>N°</w:t>
            </w:r>
            <w:proofErr w:type="spellEnd"/>
            <w:r w:rsidRPr="000D1C0B">
              <w:rPr>
                <w:b/>
                <w:bCs/>
                <w:sz w:val="18"/>
                <w:szCs w:val="18"/>
              </w:rPr>
              <w:t xml:space="preserve"> 211</w:t>
            </w:r>
            <w:r w:rsidRPr="000D1C0B">
              <w:rPr>
                <w:sz w:val="18"/>
                <w:szCs w:val="18"/>
              </w:rPr>
              <w:t>, antes individualizado,</w:t>
            </w:r>
            <w:r w:rsidR="0036580C" w:rsidRPr="000D1C0B">
              <w:rPr>
                <w:sz w:val="18"/>
                <w:szCs w:val="18"/>
              </w:rPr>
              <w:t xml:space="preserve"> </w:t>
            </w:r>
            <w:r w:rsidRPr="000D1C0B">
              <w:rPr>
                <w:sz w:val="18"/>
                <w:szCs w:val="18"/>
              </w:rPr>
              <w:t>“…</w:t>
            </w:r>
            <w:r w:rsidRPr="000D1C0B">
              <w:rPr>
                <w:i/>
                <w:iCs/>
                <w:sz w:val="18"/>
                <w:szCs w:val="18"/>
              </w:rPr>
              <w:t>los aumentos o disminuciones en el número de mesas, máquinas o posiciones de juego del bingo, que efectúe el operador respecto de cualquiera de los juegos amparados por una licencia, deberán ser comunicados a la Superintendencia previamente a su implementación; ello, en todo caso, sin perjuicio de lo establecido en el inciso final del artículo 5° de la Ley</w:t>
            </w:r>
            <w:r w:rsidRPr="000D1C0B">
              <w:rPr>
                <w:sz w:val="18"/>
                <w:szCs w:val="18"/>
              </w:rPr>
              <w:t>”.</w:t>
            </w:r>
          </w:p>
          <w:p w14:paraId="57BF1EA1" w14:textId="77777777" w:rsidR="00B46942" w:rsidRPr="000D1C0B" w:rsidRDefault="00B46942" w:rsidP="00B46942">
            <w:pPr>
              <w:pStyle w:val="Default"/>
              <w:jc w:val="both"/>
              <w:rPr>
                <w:b/>
                <w:bCs/>
                <w:sz w:val="18"/>
                <w:szCs w:val="18"/>
              </w:rPr>
            </w:pPr>
          </w:p>
          <w:p w14:paraId="4B5AA036" w14:textId="0C1F01C2" w:rsidR="005A0BC1" w:rsidRPr="000D1C0B" w:rsidRDefault="00553AE0" w:rsidP="005A0BC1">
            <w:pPr>
              <w:pStyle w:val="Default"/>
              <w:numPr>
                <w:ilvl w:val="0"/>
                <w:numId w:val="30"/>
              </w:numPr>
              <w:jc w:val="both"/>
              <w:rPr>
                <w:b/>
                <w:bCs/>
                <w:sz w:val="18"/>
                <w:szCs w:val="18"/>
              </w:rPr>
            </w:pPr>
            <w:r w:rsidRPr="000D1C0B">
              <w:rPr>
                <w:b/>
                <w:bCs/>
                <w:sz w:val="18"/>
                <w:szCs w:val="18"/>
              </w:rPr>
              <w:t>N</w:t>
            </w:r>
            <w:r w:rsidR="005A0BC1" w:rsidRPr="000D1C0B">
              <w:rPr>
                <w:b/>
                <w:bCs/>
                <w:sz w:val="18"/>
                <w:szCs w:val="18"/>
              </w:rPr>
              <w:t xml:space="preserve">umeral 2.3: </w:t>
            </w:r>
          </w:p>
          <w:p w14:paraId="6EC10936" w14:textId="77777777" w:rsidR="005A0BC1" w:rsidRPr="000D1C0B" w:rsidRDefault="005A0BC1" w:rsidP="005A0BC1">
            <w:pPr>
              <w:pStyle w:val="Default"/>
              <w:numPr>
                <w:ilvl w:val="0"/>
                <w:numId w:val="30"/>
              </w:numPr>
              <w:jc w:val="both"/>
              <w:rPr>
                <w:b/>
                <w:bCs/>
                <w:sz w:val="18"/>
                <w:szCs w:val="18"/>
              </w:rPr>
            </w:pPr>
          </w:p>
          <w:p w14:paraId="7E8B5566" w14:textId="77777777" w:rsidR="005A0BC1" w:rsidRPr="000D1C0B" w:rsidRDefault="005A0BC1" w:rsidP="005A0BC1">
            <w:pPr>
              <w:pStyle w:val="Default"/>
              <w:numPr>
                <w:ilvl w:val="0"/>
                <w:numId w:val="30"/>
              </w:numPr>
              <w:jc w:val="both"/>
              <w:rPr>
                <w:sz w:val="18"/>
                <w:szCs w:val="18"/>
              </w:rPr>
            </w:pPr>
            <w:r w:rsidRPr="000D1C0B">
              <w:rPr>
                <w:sz w:val="18"/>
                <w:szCs w:val="18"/>
              </w:rPr>
              <w:t xml:space="preserve">Todo aumento, disminución o modificación de los implementos de juego que efectúe la sociedad operadora, deberá ser notificado o comunicado a esta Superintendencia con, a lo menos, </w:t>
            </w:r>
            <w:r w:rsidRPr="000D1C0B">
              <w:rPr>
                <w:b/>
                <w:bCs/>
                <w:sz w:val="18"/>
                <w:szCs w:val="18"/>
              </w:rPr>
              <w:t>3 días hábiles</w:t>
            </w:r>
            <w:r w:rsidRPr="000D1C0B">
              <w:rPr>
                <w:sz w:val="18"/>
                <w:szCs w:val="18"/>
              </w:rPr>
              <w:t xml:space="preserve"> </w:t>
            </w:r>
            <w:r w:rsidRPr="000D1C0B">
              <w:rPr>
                <w:b/>
                <w:bCs/>
                <w:sz w:val="18"/>
                <w:szCs w:val="18"/>
              </w:rPr>
              <w:t>de antelación</w:t>
            </w:r>
            <w:r w:rsidRPr="000D1C0B">
              <w:rPr>
                <w:sz w:val="18"/>
                <w:szCs w:val="18"/>
              </w:rPr>
              <w:t xml:space="preserve"> a su implementación.</w:t>
            </w:r>
          </w:p>
          <w:p w14:paraId="4154D3E4" w14:textId="74199EEC" w:rsidR="005A0BC1" w:rsidRPr="000D1C0B" w:rsidRDefault="005A0BC1" w:rsidP="005A0BC1">
            <w:pPr>
              <w:pStyle w:val="Default"/>
              <w:jc w:val="both"/>
              <w:rPr>
                <w:sz w:val="18"/>
                <w:szCs w:val="18"/>
              </w:rPr>
            </w:pPr>
          </w:p>
          <w:p w14:paraId="15F2B3E8" w14:textId="42B61CE4" w:rsidR="00553AE0" w:rsidRPr="000D1C0B" w:rsidRDefault="00553AE0" w:rsidP="005A0BC1">
            <w:pPr>
              <w:pStyle w:val="Default"/>
              <w:jc w:val="both"/>
              <w:rPr>
                <w:sz w:val="18"/>
                <w:szCs w:val="18"/>
              </w:rPr>
            </w:pPr>
          </w:p>
          <w:p w14:paraId="5F7F37C9" w14:textId="77777777" w:rsidR="00553AE0" w:rsidRPr="000D1C0B" w:rsidRDefault="00553AE0" w:rsidP="005A0BC1">
            <w:pPr>
              <w:pStyle w:val="Default"/>
              <w:jc w:val="both"/>
              <w:rPr>
                <w:sz w:val="18"/>
                <w:szCs w:val="18"/>
              </w:rPr>
            </w:pPr>
          </w:p>
          <w:p w14:paraId="0FCA734D" w14:textId="1D29A5B8" w:rsidR="00553AE0" w:rsidRPr="000D1C0B" w:rsidRDefault="00553AE0" w:rsidP="00553AE0">
            <w:pPr>
              <w:pStyle w:val="Default"/>
              <w:jc w:val="both"/>
              <w:rPr>
                <w:sz w:val="18"/>
                <w:szCs w:val="18"/>
              </w:rPr>
            </w:pPr>
            <w:r w:rsidRPr="000D1C0B">
              <w:rPr>
                <w:sz w:val="18"/>
                <w:szCs w:val="18"/>
              </w:rPr>
              <w:t>En el evento que la implementación de los aumentos, disminuciones o modificaciones notificados demande un período de tiempo superior al señalado en el segundo párrafo del numeral 3.1, la sociedad operadora deberá comunicarlos por separado, y efectuarlo en la cantidad de etapas que sean necesarias para cumplir con los plazos antes señalados.</w:t>
            </w:r>
          </w:p>
          <w:p w14:paraId="71E408EB" w14:textId="77777777" w:rsidR="00B836CF" w:rsidRPr="000D1C0B" w:rsidRDefault="00B836CF" w:rsidP="005A0BC1">
            <w:pPr>
              <w:pStyle w:val="Default"/>
              <w:jc w:val="both"/>
              <w:rPr>
                <w:sz w:val="18"/>
                <w:szCs w:val="18"/>
              </w:rPr>
            </w:pPr>
          </w:p>
          <w:p w14:paraId="4A3A84A8" w14:textId="08BCCE84" w:rsidR="005A0BC1" w:rsidRPr="000D1C0B" w:rsidRDefault="005A0BC1" w:rsidP="005A0BC1">
            <w:pPr>
              <w:pStyle w:val="Default"/>
              <w:jc w:val="both"/>
              <w:rPr>
                <w:b/>
                <w:bCs/>
                <w:sz w:val="18"/>
                <w:szCs w:val="18"/>
              </w:rPr>
            </w:pPr>
            <w:r w:rsidRPr="000D1C0B">
              <w:rPr>
                <w:b/>
                <w:bCs/>
                <w:sz w:val="18"/>
                <w:szCs w:val="18"/>
              </w:rPr>
              <w:t>Numeral 3.1:</w:t>
            </w:r>
          </w:p>
          <w:p w14:paraId="41FFF780" w14:textId="77777777" w:rsidR="005A0BC1" w:rsidRPr="000D1C0B" w:rsidRDefault="005A0BC1" w:rsidP="005A0BC1">
            <w:pPr>
              <w:pStyle w:val="Default"/>
              <w:jc w:val="both"/>
              <w:rPr>
                <w:sz w:val="18"/>
                <w:szCs w:val="18"/>
              </w:rPr>
            </w:pPr>
          </w:p>
          <w:p w14:paraId="13C6B482" w14:textId="4880FB98" w:rsidR="005A0BC1" w:rsidRPr="000D1C0B" w:rsidRDefault="005A0BC1" w:rsidP="005A0BC1">
            <w:pPr>
              <w:pStyle w:val="Default"/>
              <w:jc w:val="both"/>
              <w:rPr>
                <w:sz w:val="18"/>
                <w:szCs w:val="18"/>
              </w:rPr>
            </w:pPr>
            <w:r w:rsidRPr="000D1C0B">
              <w:rPr>
                <w:sz w:val="18"/>
                <w:szCs w:val="18"/>
              </w:rPr>
              <w:t xml:space="preserve">Las sociedades operadoras podrán implementar los aumentos, disminuciones o modificaciones de mesas de juego, máquinas de azar y sus juegos, y del bingo, una vez transcurrido el </w:t>
            </w:r>
            <w:r w:rsidRPr="000D1C0B">
              <w:rPr>
                <w:b/>
                <w:bCs/>
                <w:sz w:val="18"/>
                <w:szCs w:val="18"/>
              </w:rPr>
              <w:t>plazo de 3 días hábiles</w:t>
            </w:r>
            <w:r w:rsidRPr="000D1C0B">
              <w:rPr>
                <w:sz w:val="18"/>
                <w:szCs w:val="18"/>
              </w:rPr>
              <w:t xml:space="preserve"> a que se refiere el punto 2.3 precedente, toda vez que la Superintendencia no emitirá un pronunciamiento expreso sobre el contenido de dicha notificación, sin perjuicio de las acciones de fiscalización </w:t>
            </w:r>
            <w:proofErr w:type="gramStart"/>
            <w:r w:rsidRPr="000D1C0B">
              <w:rPr>
                <w:sz w:val="18"/>
                <w:szCs w:val="18"/>
              </w:rPr>
              <w:t>que</w:t>
            </w:r>
            <w:proofErr w:type="gramEnd"/>
            <w:r w:rsidRPr="000D1C0B">
              <w:rPr>
                <w:sz w:val="18"/>
                <w:szCs w:val="18"/>
              </w:rPr>
              <w:t xml:space="preserve"> en ejercicio de sus facultades legales, ejerza posteriormente.</w:t>
            </w:r>
          </w:p>
          <w:p w14:paraId="49078BE2" w14:textId="77777777" w:rsidR="005A0BC1" w:rsidRPr="000D1C0B" w:rsidRDefault="005A0BC1" w:rsidP="005A0BC1">
            <w:pPr>
              <w:pStyle w:val="Default"/>
              <w:jc w:val="both"/>
              <w:rPr>
                <w:sz w:val="18"/>
                <w:szCs w:val="18"/>
                <w:highlight w:val="cyan"/>
              </w:rPr>
            </w:pPr>
          </w:p>
          <w:p w14:paraId="5C2B36AA" w14:textId="77777777" w:rsidR="005A0BC1" w:rsidRPr="000D1C0B" w:rsidRDefault="005A0BC1" w:rsidP="005A0BC1">
            <w:pPr>
              <w:pStyle w:val="Default"/>
              <w:jc w:val="both"/>
              <w:rPr>
                <w:sz w:val="18"/>
                <w:szCs w:val="18"/>
              </w:rPr>
            </w:pPr>
            <w:r w:rsidRPr="000D1C0B">
              <w:rPr>
                <w:sz w:val="18"/>
                <w:szCs w:val="18"/>
              </w:rPr>
              <w:t xml:space="preserve">La implementación deberá ser ejecutada íntegramente dentro del plazo máximo de </w:t>
            </w:r>
            <w:r w:rsidRPr="000D1C0B">
              <w:rPr>
                <w:b/>
                <w:bCs/>
                <w:sz w:val="18"/>
                <w:szCs w:val="18"/>
              </w:rPr>
              <w:t>5 días corridos</w:t>
            </w:r>
            <w:r w:rsidRPr="000D1C0B">
              <w:rPr>
                <w:sz w:val="18"/>
                <w:szCs w:val="18"/>
              </w:rPr>
              <w:t>, contado desde el vencimiento del plazo señalado en el párrafo anterior. Además, la implementación de los cambios notificados deberá iniciarse y concluirse dentro de un mismo mes calendario.</w:t>
            </w:r>
          </w:p>
          <w:p w14:paraId="00DCF114" w14:textId="658966AE" w:rsidR="005A0BC1" w:rsidRPr="000D1C0B" w:rsidRDefault="005A0BC1" w:rsidP="005A0BC1">
            <w:pPr>
              <w:pStyle w:val="Default"/>
              <w:jc w:val="both"/>
              <w:rPr>
                <w:sz w:val="18"/>
                <w:szCs w:val="18"/>
              </w:rPr>
            </w:pPr>
          </w:p>
          <w:p w14:paraId="6334FCFF" w14:textId="54C09504" w:rsidR="00436E0C" w:rsidRPr="000D1C0B" w:rsidRDefault="00436E0C" w:rsidP="005A0BC1">
            <w:pPr>
              <w:pStyle w:val="Default"/>
              <w:jc w:val="both"/>
              <w:rPr>
                <w:sz w:val="18"/>
                <w:szCs w:val="18"/>
              </w:rPr>
            </w:pPr>
          </w:p>
          <w:p w14:paraId="7B21927E" w14:textId="77777777" w:rsidR="00436E0C" w:rsidRPr="000D1C0B" w:rsidRDefault="00436E0C" w:rsidP="005A0BC1">
            <w:pPr>
              <w:pStyle w:val="Default"/>
              <w:jc w:val="both"/>
              <w:rPr>
                <w:sz w:val="18"/>
                <w:szCs w:val="18"/>
              </w:rPr>
            </w:pPr>
          </w:p>
          <w:p w14:paraId="64DC043C" w14:textId="26BBCF3F" w:rsidR="005A0BC1" w:rsidRPr="000D1C0B" w:rsidRDefault="005A0BC1" w:rsidP="005A0BC1">
            <w:pPr>
              <w:pStyle w:val="Default"/>
              <w:jc w:val="both"/>
              <w:rPr>
                <w:sz w:val="18"/>
                <w:szCs w:val="18"/>
              </w:rPr>
            </w:pPr>
            <w:r w:rsidRPr="000D1C0B">
              <w:rPr>
                <w:sz w:val="18"/>
                <w:szCs w:val="18"/>
              </w:rPr>
              <w:t xml:space="preserve">En los casos en que la implementación de los aumentos, disminuciones o modificaciones de mesas de juego, máquinas de azar y sus juegos, y del bingo, atendida su extensión, pueda superar el plazo de </w:t>
            </w:r>
            <w:r w:rsidRPr="000D1C0B">
              <w:rPr>
                <w:b/>
                <w:bCs/>
                <w:sz w:val="18"/>
                <w:szCs w:val="18"/>
              </w:rPr>
              <w:t>5 días corridos</w:t>
            </w:r>
            <w:r w:rsidRPr="000D1C0B">
              <w:rPr>
                <w:sz w:val="18"/>
                <w:szCs w:val="18"/>
              </w:rPr>
              <w:t xml:space="preserve"> señalado precedentemente, la sociedad operadora deberá notificar e implementar parcialmente los referidos cambios, a fin de cumplir con dicho plazo. </w:t>
            </w:r>
          </w:p>
          <w:p w14:paraId="0E0A62FB" w14:textId="77777777" w:rsidR="001635C5" w:rsidRPr="000D1C0B" w:rsidRDefault="001635C5" w:rsidP="005A0BC1">
            <w:pPr>
              <w:pStyle w:val="Default"/>
              <w:jc w:val="both"/>
              <w:rPr>
                <w:sz w:val="18"/>
                <w:szCs w:val="18"/>
              </w:rPr>
            </w:pPr>
          </w:p>
          <w:p w14:paraId="679B7093" w14:textId="77777777" w:rsidR="005A0BC1" w:rsidRPr="000D1C0B" w:rsidRDefault="005A0BC1" w:rsidP="005A0BC1">
            <w:pPr>
              <w:pStyle w:val="Default"/>
              <w:jc w:val="both"/>
              <w:rPr>
                <w:sz w:val="18"/>
                <w:szCs w:val="18"/>
              </w:rPr>
            </w:pPr>
            <w:r w:rsidRPr="000D1C0B">
              <w:rPr>
                <w:sz w:val="18"/>
                <w:szCs w:val="18"/>
              </w:rPr>
              <w:lastRenderedPageBreak/>
              <w:t xml:space="preserve">En el evento que la sociedad operadora desista de implementar los aumentos, disminuciones o modificaciones notificados, deberá así comunicarlo a la Superintendencia, dentro del mismo plazo señalado en el segundo párrafo del presente número, esto es, dentro de los </w:t>
            </w:r>
            <w:r w:rsidRPr="000D1C0B">
              <w:rPr>
                <w:b/>
                <w:bCs/>
                <w:sz w:val="18"/>
                <w:szCs w:val="18"/>
              </w:rPr>
              <w:t>5 días corridos</w:t>
            </w:r>
            <w:r w:rsidRPr="000D1C0B">
              <w:rPr>
                <w:sz w:val="18"/>
                <w:szCs w:val="18"/>
              </w:rPr>
              <w:t xml:space="preserve"> una vez vencido el plazo previsto para la materialización de la respectiva implementación.</w:t>
            </w:r>
          </w:p>
          <w:p w14:paraId="513A9E21" w14:textId="536633BC" w:rsidR="005A0BC1" w:rsidRPr="000D1C0B" w:rsidRDefault="005A0BC1" w:rsidP="005A0BC1">
            <w:pPr>
              <w:pStyle w:val="Default"/>
              <w:jc w:val="both"/>
              <w:rPr>
                <w:sz w:val="18"/>
                <w:szCs w:val="18"/>
              </w:rPr>
            </w:pPr>
          </w:p>
          <w:p w14:paraId="12DB9694" w14:textId="77777777" w:rsidR="000D1C0B" w:rsidRPr="000D1C0B" w:rsidRDefault="000D1C0B" w:rsidP="005A0BC1">
            <w:pPr>
              <w:pStyle w:val="Default"/>
              <w:jc w:val="both"/>
              <w:rPr>
                <w:sz w:val="18"/>
                <w:szCs w:val="18"/>
              </w:rPr>
            </w:pPr>
          </w:p>
          <w:p w14:paraId="2D1D989C" w14:textId="77777777" w:rsidR="000262A0" w:rsidRPr="000D1C0B" w:rsidRDefault="000262A0" w:rsidP="005A0BC1">
            <w:pPr>
              <w:pStyle w:val="Default"/>
              <w:jc w:val="both"/>
              <w:rPr>
                <w:sz w:val="18"/>
                <w:szCs w:val="18"/>
              </w:rPr>
            </w:pPr>
          </w:p>
          <w:p w14:paraId="50D132F3" w14:textId="4A2FD2ED" w:rsidR="005A0BC1" w:rsidRPr="000D1C0B" w:rsidRDefault="005A0BC1" w:rsidP="005A0BC1">
            <w:pPr>
              <w:pStyle w:val="Default"/>
              <w:jc w:val="both"/>
              <w:rPr>
                <w:b/>
                <w:bCs/>
                <w:sz w:val="18"/>
                <w:szCs w:val="18"/>
              </w:rPr>
            </w:pPr>
            <w:r w:rsidRPr="000D1C0B">
              <w:rPr>
                <w:b/>
                <w:bCs/>
                <w:sz w:val="18"/>
                <w:szCs w:val="18"/>
              </w:rPr>
              <w:t xml:space="preserve">Numeral 3.3: </w:t>
            </w:r>
          </w:p>
          <w:p w14:paraId="049C81C0" w14:textId="77777777" w:rsidR="005A0BC1" w:rsidRPr="000D1C0B" w:rsidRDefault="005A0BC1" w:rsidP="005A0BC1">
            <w:pPr>
              <w:pStyle w:val="Default"/>
              <w:jc w:val="both"/>
              <w:rPr>
                <w:sz w:val="18"/>
                <w:szCs w:val="18"/>
              </w:rPr>
            </w:pPr>
          </w:p>
          <w:p w14:paraId="7B3551ED" w14:textId="77777777" w:rsidR="005A0BC1" w:rsidRPr="000D1C0B" w:rsidRDefault="005A0BC1" w:rsidP="005A0BC1">
            <w:pPr>
              <w:pStyle w:val="Default"/>
              <w:jc w:val="both"/>
              <w:rPr>
                <w:sz w:val="18"/>
                <w:szCs w:val="18"/>
              </w:rPr>
            </w:pPr>
            <w:r w:rsidRPr="000D1C0B">
              <w:rPr>
                <w:sz w:val="18"/>
                <w:szCs w:val="18"/>
              </w:rPr>
              <w:t xml:space="preserve">Dentro de los </w:t>
            </w:r>
            <w:r w:rsidRPr="000D1C0B">
              <w:rPr>
                <w:b/>
                <w:bCs/>
                <w:sz w:val="18"/>
                <w:szCs w:val="18"/>
              </w:rPr>
              <w:t xml:space="preserve">5 días corridos </w:t>
            </w:r>
            <w:r w:rsidRPr="000D1C0B">
              <w:rPr>
                <w:sz w:val="18"/>
                <w:szCs w:val="18"/>
              </w:rPr>
              <w:t>contados desde la implementación de los aumentos, disminuciones o modificaciones notificados, la sociedad operadora deberá comunicar por escrito a la Superintendencia los cambios efectivamente realizados, explicándolos y adjuntando, además, la siguiente información, según corresponda.</w:t>
            </w:r>
          </w:p>
          <w:p w14:paraId="0D81FD47" w14:textId="77777777" w:rsidR="00842B8E" w:rsidRPr="000D1C0B" w:rsidRDefault="00842B8E" w:rsidP="005A0BC1">
            <w:pPr>
              <w:pStyle w:val="Default"/>
              <w:jc w:val="both"/>
              <w:rPr>
                <w:b/>
                <w:bCs/>
                <w:spacing w:val="-3"/>
                <w:sz w:val="18"/>
                <w:szCs w:val="18"/>
              </w:rPr>
            </w:pPr>
          </w:p>
          <w:p w14:paraId="5142B766" w14:textId="77777777" w:rsidR="00CB26D2" w:rsidRPr="000D1C0B" w:rsidRDefault="00CB26D2" w:rsidP="005A0BC1">
            <w:pPr>
              <w:pStyle w:val="Default"/>
              <w:jc w:val="both"/>
              <w:rPr>
                <w:b/>
                <w:bCs/>
                <w:spacing w:val="-3"/>
                <w:sz w:val="18"/>
                <w:szCs w:val="18"/>
              </w:rPr>
            </w:pPr>
          </w:p>
          <w:p w14:paraId="4C1A6F82" w14:textId="77777777" w:rsidR="00CB26D2" w:rsidRPr="000D1C0B" w:rsidRDefault="00CB26D2" w:rsidP="005A0BC1">
            <w:pPr>
              <w:pStyle w:val="Default"/>
              <w:jc w:val="both"/>
              <w:rPr>
                <w:b/>
                <w:bCs/>
                <w:spacing w:val="-3"/>
                <w:sz w:val="18"/>
                <w:szCs w:val="18"/>
              </w:rPr>
            </w:pPr>
          </w:p>
          <w:p w14:paraId="30E4F5B4" w14:textId="77777777" w:rsidR="00CB26D2" w:rsidRPr="000D1C0B" w:rsidRDefault="00CB26D2" w:rsidP="005A0BC1">
            <w:pPr>
              <w:pStyle w:val="Default"/>
              <w:jc w:val="both"/>
              <w:rPr>
                <w:b/>
                <w:bCs/>
                <w:spacing w:val="-3"/>
                <w:sz w:val="18"/>
                <w:szCs w:val="18"/>
              </w:rPr>
            </w:pPr>
          </w:p>
          <w:p w14:paraId="484A7D5B" w14:textId="77777777" w:rsidR="00CB26D2" w:rsidRPr="000D1C0B" w:rsidRDefault="00CB26D2" w:rsidP="005A0BC1">
            <w:pPr>
              <w:pStyle w:val="Default"/>
              <w:jc w:val="both"/>
              <w:rPr>
                <w:b/>
                <w:bCs/>
                <w:spacing w:val="-3"/>
                <w:sz w:val="18"/>
                <w:szCs w:val="18"/>
              </w:rPr>
            </w:pPr>
          </w:p>
          <w:p w14:paraId="49B74CA4" w14:textId="42FEE957" w:rsidR="00997DAA" w:rsidRPr="000D1C0B" w:rsidRDefault="00997DAA" w:rsidP="005A0BC1">
            <w:pPr>
              <w:pStyle w:val="Default"/>
              <w:jc w:val="both"/>
              <w:rPr>
                <w:b/>
                <w:bCs/>
                <w:spacing w:val="-3"/>
                <w:sz w:val="18"/>
                <w:szCs w:val="18"/>
              </w:rPr>
            </w:pPr>
            <w:r w:rsidRPr="000D1C0B">
              <w:rPr>
                <w:b/>
                <w:bCs/>
                <w:spacing w:val="-3"/>
                <w:sz w:val="18"/>
                <w:szCs w:val="18"/>
              </w:rPr>
              <w:t>Numeral 3.3.4</w:t>
            </w:r>
          </w:p>
          <w:p w14:paraId="076D9667" w14:textId="77777777" w:rsidR="00997DAA" w:rsidRPr="000D1C0B" w:rsidRDefault="00997DAA" w:rsidP="00997DAA">
            <w:pPr>
              <w:numPr>
                <w:ilvl w:val="0"/>
                <w:numId w:val="39"/>
              </w:numPr>
              <w:autoSpaceDE w:val="0"/>
              <w:autoSpaceDN w:val="0"/>
              <w:adjustRightInd w:val="0"/>
              <w:spacing w:after="0" w:line="240" w:lineRule="auto"/>
              <w:rPr>
                <w:rFonts w:ascii="Arial" w:hAnsi="Arial" w:cs="Arial"/>
                <w:color w:val="000000"/>
                <w:sz w:val="18"/>
                <w:szCs w:val="18"/>
              </w:rPr>
            </w:pPr>
            <w:r w:rsidRPr="000D1C0B">
              <w:rPr>
                <w:rFonts w:ascii="Arial" w:hAnsi="Arial" w:cs="Arial"/>
                <w:b/>
                <w:bCs/>
                <w:color w:val="000000"/>
                <w:sz w:val="18"/>
                <w:szCs w:val="18"/>
              </w:rPr>
              <w:t xml:space="preserve">Sistema de Circuito Cerrado de Televisión (CCTV): </w:t>
            </w:r>
          </w:p>
          <w:p w14:paraId="48A994F1" w14:textId="77777777" w:rsidR="00997DAA" w:rsidRPr="000D1C0B" w:rsidRDefault="00997DAA" w:rsidP="00997DAA">
            <w:pPr>
              <w:numPr>
                <w:ilvl w:val="0"/>
                <w:numId w:val="39"/>
              </w:numPr>
              <w:autoSpaceDE w:val="0"/>
              <w:autoSpaceDN w:val="0"/>
              <w:adjustRightInd w:val="0"/>
              <w:spacing w:after="0" w:line="240" w:lineRule="auto"/>
              <w:rPr>
                <w:rFonts w:ascii="Arial" w:hAnsi="Arial" w:cs="Arial"/>
                <w:color w:val="000000"/>
                <w:sz w:val="18"/>
                <w:szCs w:val="18"/>
              </w:rPr>
            </w:pPr>
          </w:p>
          <w:p w14:paraId="735227AE" w14:textId="2CC3C5D8" w:rsidR="00C919BF" w:rsidRPr="000D1C0B" w:rsidRDefault="00997DAA" w:rsidP="00997DAA">
            <w:pPr>
              <w:pStyle w:val="Default"/>
              <w:jc w:val="both"/>
              <w:rPr>
                <w:b/>
                <w:bCs/>
                <w:spacing w:val="-3"/>
                <w:sz w:val="18"/>
                <w:szCs w:val="18"/>
              </w:rPr>
            </w:pPr>
            <w:r w:rsidRPr="000D1C0B">
              <w:rPr>
                <w:sz w:val="18"/>
                <w:szCs w:val="18"/>
              </w:rPr>
              <w:t>Listado actualizado de cámaras del Sistema CCTV, si procede, con el destacado específico y preciso de los cambios que se trate, según el Anexo 4 de la presente Circular.</w:t>
            </w:r>
          </w:p>
          <w:p w14:paraId="594903E9" w14:textId="6A72BB17" w:rsidR="00C919BF" w:rsidRDefault="00C919BF" w:rsidP="005A0BC1">
            <w:pPr>
              <w:pStyle w:val="Default"/>
              <w:jc w:val="both"/>
              <w:rPr>
                <w:b/>
                <w:bCs/>
                <w:spacing w:val="-3"/>
                <w:sz w:val="18"/>
                <w:szCs w:val="18"/>
              </w:rPr>
            </w:pPr>
          </w:p>
          <w:p w14:paraId="4E804E13" w14:textId="77777777" w:rsidR="00DF6B17" w:rsidRPr="000D1C0B" w:rsidRDefault="00DF6B17" w:rsidP="005A0BC1">
            <w:pPr>
              <w:pStyle w:val="Default"/>
              <w:jc w:val="both"/>
              <w:rPr>
                <w:b/>
                <w:bCs/>
                <w:spacing w:val="-3"/>
                <w:sz w:val="18"/>
                <w:szCs w:val="18"/>
              </w:rPr>
            </w:pPr>
          </w:p>
          <w:p w14:paraId="046EECD7" w14:textId="19312AB7" w:rsidR="00997DAA" w:rsidRPr="000D1C0B" w:rsidRDefault="00997DAA" w:rsidP="005A0BC1">
            <w:pPr>
              <w:pStyle w:val="Default"/>
              <w:jc w:val="both"/>
              <w:rPr>
                <w:b/>
                <w:bCs/>
                <w:color w:val="auto"/>
                <w:spacing w:val="-3"/>
                <w:sz w:val="18"/>
                <w:szCs w:val="18"/>
              </w:rPr>
            </w:pPr>
            <w:r w:rsidRPr="000D1C0B">
              <w:rPr>
                <w:b/>
                <w:bCs/>
                <w:color w:val="auto"/>
                <w:spacing w:val="-3"/>
                <w:sz w:val="18"/>
                <w:szCs w:val="18"/>
              </w:rPr>
              <w:lastRenderedPageBreak/>
              <w:t>Numeral 3.4.4</w:t>
            </w:r>
          </w:p>
          <w:p w14:paraId="5ED14254" w14:textId="03E58116" w:rsidR="00997DAA" w:rsidRPr="000D1C0B" w:rsidRDefault="00997DAA" w:rsidP="00997DAA">
            <w:pPr>
              <w:pStyle w:val="Default"/>
              <w:jc w:val="both"/>
              <w:rPr>
                <w:b/>
                <w:bCs/>
                <w:spacing w:val="-3"/>
                <w:sz w:val="18"/>
                <w:szCs w:val="18"/>
              </w:rPr>
            </w:pPr>
            <w:r w:rsidRPr="000D1C0B">
              <w:rPr>
                <w:b/>
                <w:bCs/>
                <w:spacing w:val="-3"/>
                <w:sz w:val="18"/>
                <w:szCs w:val="18"/>
              </w:rPr>
              <w:t>Sistema de Circuito Cerrado de Televisión (CCTV):</w:t>
            </w:r>
          </w:p>
          <w:p w14:paraId="1695CC36" w14:textId="77777777" w:rsidR="00997DAA" w:rsidRPr="000D1C0B" w:rsidRDefault="00997DAA" w:rsidP="00997DAA">
            <w:pPr>
              <w:pStyle w:val="Default"/>
              <w:jc w:val="both"/>
              <w:rPr>
                <w:b/>
                <w:bCs/>
                <w:spacing w:val="-3"/>
                <w:sz w:val="18"/>
                <w:szCs w:val="18"/>
              </w:rPr>
            </w:pPr>
          </w:p>
          <w:p w14:paraId="560AC7F4" w14:textId="270166F0" w:rsidR="00997DAA" w:rsidRPr="000D1C0B" w:rsidRDefault="00997DAA" w:rsidP="00997DAA">
            <w:pPr>
              <w:pStyle w:val="Default"/>
              <w:jc w:val="both"/>
              <w:rPr>
                <w:spacing w:val="-3"/>
                <w:sz w:val="18"/>
                <w:szCs w:val="18"/>
              </w:rPr>
            </w:pPr>
            <w:proofErr w:type="spellStart"/>
            <w:r w:rsidRPr="000D1C0B">
              <w:rPr>
                <w:spacing w:val="-3"/>
                <w:sz w:val="18"/>
                <w:szCs w:val="18"/>
              </w:rPr>
              <w:t>Layout</w:t>
            </w:r>
            <w:proofErr w:type="spellEnd"/>
            <w:r w:rsidRPr="000D1C0B">
              <w:rPr>
                <w:spacing w:val="-3"/>
                <w:sz w:val="18"/>
                <w:szCs w:val="18"/>
              </w:rPr>
              <w:t xml:space="preserve"> actualizado de las cámaras del Sistema del Circuito Cerrado de Televisión (CCTV), que considere las características relativas a su ubicación y especificaciones técnicas, así como las de almacenamiento (equipos de almacenamiento y condiciones de grabación), a efectos de dar cumplimiento a lo prescrito en los incisos 2° y 3° del artículo 8 del Decreto Supremo </w:t>
            </w:r>
            <w:proofErr w:type="spellStart"/>
            <w:r w:rsidRPr="000D1C0B">
              <w:rPr>
                <w:spacing w:val="-3"/>
                <w:sz w:val="18"/>
                <w:szCs w:val="18"/>
              </w:rPr>
              <w:t>N°</w:t>
            </w:r>
            <w:proofErr w:type="spellEnd"/>
            <w:r w:rsidRPr="000D1C0B">
              <w:rPr>
                <w:spacing w:val="-3"/>
                <w:sz w:val="18"/>
                <w:szCs w:val="18"/>
              </w:rPr>
              <w:t xml:space="preserve"> 287, del Ministerio de Hacienda, de 2005.</w:t>
            </w:r>
          </w:p>
          <w:p w14:paraId="7BD6CC37" w14:textId="6408B0E1" w:rsidR="00842B8E" w:rsidRPr="000D1C0B" w:rsidRDefault="00842B8E" w:rsidP="00997DAA">
            <w:pPr>
              <w:pStyle w:val="Default"/>
              <w:jc w:val="both"/>
              <w:rPr>
                <w:spacing w:val="-3"/>
                <w:sz w:val="18"/>
                <w:szCs w:val="18"/>
              </w:rPr>
            </w:pPr>
          </w:p>
          <w:p w14:paraId="2B0CBAD3" w14:textId="77777777" w:rsidR="001973DE" w:rsidRPr="000D1C0B" w:rsidRDefault="001973DE" w:rsidP="00997DAA">
            <w:pPr>
              <w:pStyle w:val="Default"/>
              <w:jc w:val="both"/>
              <w:rPr>
                <w:b/>
                <w:bCs/>
                <w:spacing w:val="-3"/>
                <w:sz w:val="18"/>
                <w:szCs w:val="18"/>
              </w:rPr>
            </w:pPr>
            <w:r w:rsidRPr="000D1C0B">
              <w:rPr>
                <w:b/>
                <w:bCs/>
                <w:spacing w:val="-3"/>
                <w:sz w:val="18"/>
                <w:szCs w:val="18"/>
              </w:rPr>
              <w:t>Anexo N°4:</w:t>
            </w:r>
          </w:p>
          <w:p w14:paraId="032A64B1" w14:textId="35492385" w:rsidR="00997DAA" w:rsidRPr="000D1C0B" w:rsidRDefault="001973DE" w:rsidP="005A0BC1">
            <w:pPr>
              <w:pStyle w:val="Default"/>
              <w:jc w:val="both"/>
              <w:rPr>
                <w:spacing w:val="-3"/>
                <w:sz w:val="18"/>
                <w:szCs w:val="18"/>
              </w:rPr>
            </w:pPr>
            <w:r w:rsidRPr="000D1C0B">
              <w:rPr>
                <w:spacing w:val="-3"/>
                <w:sz w:val="18"/>
                <w:szCs w:val="18"/>
              </w:rPr>
              <w:t>Listado de Cámaras y Equipos de Almacenamiento del Sistema CCTV</w:t>
            </w:r>
          </w:p>
        </w:tc>
        <w:tc>
          <w:tcPr>
            <w:tcW w:w="5247" w:type="dxa"/>
          </w:tcPr>
          <w:p w14:paraId="115DC50A" w14:textId="77777777" w:rsidR="00B836CF" w:rsidRPr="000D1C0B" w:rsidRDefault="00B836CF" w:rsidP="001F615A">
            <w:pPr>
              <w:spacing w:after="0" w:line="240" w:lineRule="auto"/>
              <w:jc w:val="both"/>
              <w:rPr>
                <w:rFonts w:ascii="Arial" w:hAnsi="Arial" w:cs="Arial"/>
                <w:color w:val="000000"/>
                <w:sz w:val="18"/>
                <w:szCs w:val="18"/>
              </w:rPr>
            </w:pPr>
          </w:p>
          <w:p w14:paraId="5335C854" w14:textId="6951C4DE" w:rsidR="00B46942" w:rsidRPr="000D1C0B" w:rsidRDefault="00B46942" w:rsidP="005A0BC1">
            <w:pPr>
              <w:spacing w:after="0" w:line="240" w:lineRule="auto"/>
              <w:jc w:val="both"/>
              <w:rPr>
                <w:rFonts w:ascii="Arial" w:hAnsi="Arial" w:cs="Arial"/>
                <w:b/>
                <w:bCs/>
                <w:sz w:val="18"/>
                <w:szCs w:val="18"/>
              </w:rPr>
            </w:pPr>
            <w:r w:rsidRPr="000D1C0B">
              <w:rPr>
                <w:rFonts w:ascii="Arial" w:hAnsi="Arial" w:cs="Arial"/>
                <w:b/>
                <w:bCs/>
                <w:sz w:val="18"/>
                <w:szCs w:val="18"/>
              </w:rPr>
              <w:t>Reemplácese e</w:t>
            </w:r>
            <w:r w:rsidR="00630B96" w:rsidRPr="000D1C0B">
              <w:rPr>
                <w:rFonts w:ascii="Arial" w:hAnsi="Arial" w:cs="Arial"/>
                <w:b/>
                <w:bCs/>
                <w:sz w:val="18"/>
                <w:szCs w:val="18"/>
              </w:rPr>
              <w:t>l</w:t>
            </w:r>
            <w:r w:rsidRPr="000D1C0B">
              <w:rPr>
                <w:rFonts w:ascii="Arial" w:hAnsi="Arial" w:cs="Arial"/>
                <w:b/>
                <w:bCs/>
                <w:sz w:val="18"/>
                <w:szCs w:val="18"/>
              </w:rPr>
              <w:t xml:space="preserve"> primer párrafo del numeral 1:</w:t>
            </w:r>
          </w:p>
          <w:p w14:paraId="118C04A1" w14:textId="77777777" w:rsidR="00B46942" w:rsidRPr="000D1C0B" w:rsidRDefault="00B46942" w:rsidP="005A0BC1">
            <w:pPr>
              <w:spacing w:after="0" w:line="240" w:lineRule="auto"/>
              <w:jc w:val="both"/>
              <w:rPr>
                <w:rFonts w:ascii="Arial" w:hAnsi="Arial" w:cs="Arial"/>
                <w:b/>
                <w:bCs/>
                <w:sz w:val="18"/>
                <w:szCs w:val="18"/>
              </w:rPr>
            </w:pPr>
          </w:p>
          <w:p w14:paraId="542DC53A" w14:textId="549118EE" w:rsidR="001F615A" w:rsidRPr="000D1C0B" w:rsidRDefault="00B46942" w:rsidP="005A0BC1">
            <w:pPr>
              <w:spacing w:after="0" w:line="240" w:lineRule="auto"/>
              <w:jc w:val="both"/>
              <w:rPr>
                <w:rFonts w:ascii="Arial" w:hAnsi="Arial" w:cs="Arial"/>
                <w:sz w:val="18"/>
                <w:szCs w:val="18"/>
              </w:rPr>
            </w:pPr>
            <w:proofErr w:type="gramStart"/>
            <w:r w:rsidRPr="000D1C0B">
              <w:rPr>
                <w:rFonts w:ascii="Arial" w:hAnsi="Arial" w:cs="Arial"/>
                <w:sz w:val="18"/>
                <w:szCs w:val="18"/>
              </w:rPr>
              <w:t>De acuerdo a</w:t>
            </w:r>
            <w:proofErr w:type="gramEnd"/>
            <w:r w:rsidRPr="000D1C0B">
              <w:rPr>
                <w:rFonts w:ascii="Arial" w:hAnsi="Arial" w:cs="Arial"/>
                <w:sz w:val="18"/>
                <w:szCs w:val="18"/>
              </w:rPr>
              <w:t xml:space="preserve"> lo que establece el inciso sexto del </w:t>
            </w:r>
            <w:r w:rsidRPr="000D1C0B">
              <w:rPr>
                <w:rFonts w:ascii="Arial" w:hAnsi="Arial" w:cs="Arial"/>
                <w:b/>
                <w:bCs/>
                <w:sz w:val="18"/>
                <w:szCs w:val="18"/>
              </w:rPr>
              <w:t>artículo 51</w:t>
            </w:r>
            <w:r w:rsidRPr="000D1C0B">
              <w:rPr>
                <w:rFonts w:ascii="Arial" w:hAnsi="Arial" w:cs="Arial"/>
                <w:sz w:val="18"/>
                <w:szCs w:val="18"/>
              </w:rPr>
              <w:t xml:space="preserve"> del </w:t>
            </w:r>
            <w:r w:rsidRPr="000D1C0B">
              <w:rPr>
                <w:rFonts w:ascii="Arial" w:hAnsi="Arial" w:cs="Arial"/>
                <w:b/>
                <w:bCs/>
                <w:sz w:val="18"/>
                <w:szCs w:val="18"/>
              </w:rPr>
              <w:t xml:space="preserve">Decreto Supremo </w:t>
            </w:r>
            <w:proofErr w:type="spellStart"/>
            <w:r w:rsidRPr="000D1C0B">
              <w:rPr>
                <w:rFonts w:ascii="Arial" w:hAnsi="Arial" w:cs="Arial"/>
                <w:b/>
                <w:bCs/>
                <w:sz w:val="18"/>
                <w:szCs w:val="18"/>
              </w:rPr>
              <w:t>N°</w:t>
            </w:r>
            <w:proofErr w:type="spellEnd"/>
            <w:r w:rsidRPr="000D1C0B">
              <w:rPr>
                <w:rFonts w:ascii="Arial" w:hAnsi="Arial" w:cs="Arial"/>
                <w:b/>
                <w:bCs/>
                <w:sz w:val="18"/>
                <w:szCs w:val="18"/>
              </w:rPr>
              <w:t xml:space="preserve"> 1722</w:t>
            </w:r>
            <w:r w:rsidRPr="000D1C0B">
              <w:rPr>
                <w:rFonts w:ascii="Arial" w:hAnsi="Arial" w:cs="Arial"/>
                <w:sz w:val="18"/>
                <w:szCs w:val="18"/>
              </w:rPr>
              <w:t>, antes individualizado,</w:t>
            </w:r>
            <w:r w:rsidR="0036580C" w:rsidRPr="000D1C0B">
              <w:rPr>
                <w:rFonts w:ascii="Arial" w:hAnsi="Arial" w:cs="Arial"/>
                <w:sz w:val="18"/>
                <w:szCs w:val="18"/>
              </w:rPr>
              <w:t xml:space="preserve"> </w:t>
            </w:r>
            <w:r w:rsidRPr="000D1C0B">
              <w:rPr>
                <w:rFonts w:ascii="Arial" w:hAnsi="Arial" w:cs="Arial"/>
                <w:sz w:val="18"/>
                <w:szCs w:val="18"/>
              </w:rPr>
              <w:t>“…</w:t>
            </w:r>
            <w:r w:rsidRPr="000D1C0B">
              <w:rPr>
                <w:rFonts w:ascii="Arial" w:hAnsi="Arial" w:cs="Arial"/>
                <w:i/>
                <w:iCs/>
                <w:sz w:val="18"/>
                <w:szCs w:val="18"/>
              </w:rPr>
              <w:t>los aumentos o disminuciones en el número de mesas, máquinas o posiciones de juego del bingo, que efectúe el operador respecto de cualquiera de los juegos amparados por una licencia, deberán ser comunicados a la Superintendencia previamente a su implementación; ello, en todo caso, sin perjuicio de lo establecido en el inciso final del artículo 5° de la Ley</w:t>
            </w:r>
            <w:r w:rsidRPr="000D1C0B">
              <w:rPr>
                <w:rFonts w:ascii="Arial" w:hAnsi="Arial" w:cs="Arial"/>
                <w:sz w:val="18"/>
                <w:szCs w:val="18"/>
              </w:rPr>
              <w:t>”.</w:t>
            </w:r>
          </w:p>
          <w:p w14:paraId="4E746275" w14:textId="0023345D" w:rsidR="00B46942" w:rsidRPr="000D1C0B" w:rsidRDefault="00B46942" w:rsidP="005A0BC1">
            <w:pPr>
              <w:spacing w:after="0" w:line="240" w:lineRule="auto"/>
              <w:jc w:val="both"/>
              <w:rPr>
                <w:rFonts w:ascii="Arial" w:hAnsi="Arial" w:cs="Arial"/>
                <w:b/>
                <w:bCs/>
                <w:sz w:val="18"/>
                <w:szCs w:val="18"/>
              </w:rPr>
            </w:pPr>
          </w:p>
          <w:p w14:paraId="619C7E58" w14:textId="7E19E4CF" w:rsidR="00B836CF" w:rsidRPr="000D1C0B" w:rsidRDefault="00B836CF" w:rsidP="005A0BC1">
            <w:pPr>
              <w:spacing w:after="0" w:line="240" w:lineRule="auto"/>
              <w:jc w:val="both"/>
              <w:rPr>
                <w:rFonts w:ascii="Arial" w:hAnsi="Arial" w:cs="Arial"/>
                <w:b/>
                <w:bCs/>
                <w:sz w:val="18"/>
                <w:szCs w:val="18"/>
              </w:rPr>
            </w:pPr>
          </w:p>
          <w:p w14:paraId="426BE491" w14:textId="62D589A9" w:rsidR="00054C8A" w:rsidRPr="000D1C0B" w:rsidRDefault="00054C8A" w:rsidP="005A0BC1">
            <w:pPr>
              <w:spacing w:after="0" w:line="240" w:lineRule="auto"/>
              <w:jc w:val="both"/>
              <w:rPr>
                <w:rFonts w:ascii="Arial" w:hAnsi="Arial" w:cs="Arial"/>
                <w:b/>
                <w:bCs/>
                <w:sz w:val="18"/>
                <w:szCs w:val="18"/>
              </w:rPr>
            </w:pPr>
          </w:p>
          <w:p w14:paraId="6789DF54" w14:textId="77777777" w:rsidR="00B836CF" w:rsidRPr="000D1C0B" w:rsidRDefault="00B836CF" w:rsidP="005A0BC1">
            <w:pPr>
              <w:spacing w:after="0" w:line="240" w:lineRule="auto"/>
              <w:jc w:val="both"/>
              <w:rPr>
                <w:rFonts w:ascii="Arial" w:hAnsi="Arial" w:cs="Arial"/>
                <w:b/>
                <w:bCs/>
                <w:sz w:val="18"/>
                <w:szCs w:val="18"/>
              </w:rPr>
            </w:pPr>
          </w:p>
          <w:p w14:paraId="2E16E751" w14:textId="790B041A" w:rsidR="005A0BC1" w:rsidRPr="000D1C0B" w:rsidRDefault="005A0BC1" w:rsidP="005A0BC1">
            <w:pPr>
              <w:spacing w:after="0" w:line="240" w:lineRule="auto"/>
              <w:jc w:val="both"/>
              <w:rPr>
                <w:rFonts w:ascii="Arial" w:hAnsi="Arial" w:cs="Arial"/>
                <w:b/>
                <w:bCs/>
                <w:sz w:val="18"/>
                <w:szCs w:val="18"/>
              </w:rPr>
            </w:pPr>
            <w:r w:rsidRPr="000D1C0B">
              <w:rPr>
                <w:rFonts w:ascii="Arial" w:hAnsi="Arial" w:cs="Arial"/>
                <w:b/>
                <w:bCs/>
                <w:sz w:val="18"/>
                <w:szCs w:val="18"/>
              </w:rPr>
              <w:t>Reemplácese el numeral 2.3:</w:t>
            </w:r>
          </w:p>
          <w:p w14:paraId="3FB4C8DC" w14:textId="77777777" w:rsidR="005A0BC1" w:rsidRPr="000D1C0B" w:rsidRDefault="005A0BC1" w:rsidP="005A0BC1">
            <w:pPr>
              <w:spacing w:after="0" w:line="240" w:lineRule="auto"/>
              <w:jc w:val="both"/>
              <w:rPr>
                <w:rFonts w:ascii="Arial" w:hAnsi="Arial" w:cs="Arial"/>
                <w:sz w:val="18"/>
                <w:szCs w:val="18"/>
              </w:rPr>
            </w:pPr>
          </w:p>
          <w:p w14:paraId="4EC313A7" w14:textId="18ECB21F" w:rsidR="00553AE0" w:rsidRPr="000D1C0B" w:rsidRDefault="005A0BC1" w:rsidP="005A0BC1">
            <w:pPr>
              <w:spacing w:after="0" w:line="240" w:lineRule="auto"/>
              <w:jc w:val="both"/>
              <w:rPr>
                <w:rFonts w:ascii="Arial" w:hAnsi="Arial" w:cs="Arial"/>
                <w:sz w:val="18"/>
                <w:szCs w:val="18"/>
              </w:rPr>
            </w:pPr>
            <w:r w:rsidRPr="000D1C0B">
              <w:rPr>
                <w:rFonts w:ascii="Arial" w:hAnsi="Arial" w:cs="Arial"/>
                <w:sz w:val="18"/>
                <w:szCs w:val="18"/>
              </w:rPr>
              <w:t>Todo aumento</w:t>
            </w:r>
            <w:r w:rsidR="006D303A" w:rsidRPr="000D1C0B">
              <w:rPr>
                <w:rFonts w:ascii="Arial" w:hAnsi="Arial" w:cs="Arial"/>
                <w:sz w:val="18"/>
                <w:szCs w:val="18"/>
              </w:rPr>
              <w:t xml:space="preserve"> o</w:t>
            </w:r>
            <w:r w:rsidRPr="000D1C0B">
              <w:rPr>
                <w:rFonts w:ascii="Arial" w:hAnsi="Arial" w:cs="Arial"/>
                <w:sz w:val="18"/>
                <w:szCs w:val="18"/>
              </w:rPr>
              <w:t xml:space="preserve"> disminución de los implementos de juego que efectúe la sociedad </w:t>
            </w:r>
            <w:proofErr w:type="gramStart"/>
            <w:r w:rsidRPr="000D1C0B">
              <w:rPr>
                <w:rFonts w:ascii="Arial" w:hAnsi="Arial" w:cs="Arial"/>
                <w:sz w:val="18"/>
                <w:szCs w:val="18"/>
              </w:rPr>
              <w:t>operadora,</w:t>
            </w:r>
            <w:proofErr w:type="gramEnd"/>
            <w:r w:rsidRPr="000D1C0B">
              <w:rPr>
                <w:rFonts w:ascii="Arial" w:hAnsi="Arial" w:cs="Arial"/>
                <w:sz w:val="18"/>
                <w:szCs w:val="18"/>
              </w:rPr>
              <w:t xml:space="preserve"> deberá ser notificado o comunicado a esta Superintendencia con, a lo menos, </w:t>
            </w:r>
            <w:r w:rsidRPr="000D1C0B">
              <w:rPr>
                <w:rFonts w:ascii="Arial" w:hAnsi="Arial" w:cs="Arial"/>
                <w:b/>
                <w:bCs/>
                <w:sz w:val="18"/>
                <w:szCs w:val="18"/>
              </w:rPr>
              <w:t>1 día hábil</w:t>
            </w:r>
            <w:r w:rsidRPr="000D1C0B">
              <w:rPr>
                <w:rFonts w:ascii="Arial" w:hAnsi="Arial" w:cs="Arial"/>
                <w:sz w:val="18"/>
                <w:szCs w:val="18"/>
              </w:rPr>
              <w:t xml:space="preserve"> </w:t>
            </w:r>
            <w:r w:rsidRPr="000D1C0B">
              <w:rPr>
                <w:rFonts w:ascii="Arial" w:hAnsi="Arial" w:cs="Arial"/>
                <w:b/>
                <w:bCs/>
                <w:sz w:val="18"/>
                <w:szCs w:val="18"/>
              </w:rPr>
              <w:t>de antelación</w:t>
            </w:r>
            <w:r w:rsidRPr="000D1C0B">
              <w:rPr>
                <w:rFonts w:ascii="Arial" w:hAnsi="Arial" w:cs="Arial"/>
                <w:sz w:val="18"/>
                <w:szCs w:val="18"/>
              </w:rPr>
              <w:t xml:space="preserve"> a su implementación.</w:t>
            </w:r>
            <w:r w:rsidR="000908E4" w:rsidRPr="000D1C0B">
              <w:rPr>
                <w:rFonts w:ascii="Arial" w:hAnsi="Arial" w:cs="Arial"/>
                <w:sz w:val="18"/>
                <w:szCs w:val="18"/>
              </w:rPr>
              <w:t xml:space="preserve"> </w:t>
            </w:r>
          </w:p>
          <w:p w14:paraId="637168B4" w14:textId="77777777" w:rsidR="00553AE0" w:rsidRPr="000D1C0B" w:rsidRDefault="00553AE0" w:rsidP="005A0BC1">
            <w:pPr>
              <w:spacing w:after="0" w:line="240" w:lineRule="auto"/>
              <w:jc w:val="both"/>
              <w:rPr>
                <w:rFonts w:ascii="Arial" w:hAnsi="Arial" w:cs="Arial"/>
                <w:b/>
                <w:bCs/>
                <w:sz w:val="18"/>
                <w:szCs w:val="18"/>
              </w:rPr>
            </w:pPr>
          </w:p>
          <w:p w14:paraId="158A8497" w14:textId="40AB3D42" w:rsidR="005A0BC1" w:rsidRPr="000D1C0B" w:rsidRDefault="008C3ECE" w:rsidP="005A0BC1">
            <w:pPr>
              <w:spacing w:after="0" w:line="240" w:lineRule="auto"/>
              <w:jc w:val="both"/>
              <w:rPr>
                <w:rFonts w:ascii="Arial" w:hAnsi="Arial" w:cs="Arial"/>
                <w:b/>
                <w:bCs/>
                <w:sz w:val="18"/>
                <w:szCs w:val="18"/>
              </w:rPr>
            </w:pPr>
            <w:r w:rsidRPr="000D1C0B">
              <w:rPr>
                <w:rFonts w:ascii="Arial" w:hAnsi="Arial" w:cs="Arial"/>
                <w:b/>
                <w:bCs/>
                <w:sz w:val="18"/>
                <w:szCs w:val="18"/>
              </w:rPr>
              <w:t xml:space="preserve">Los movimientos de parque que no impliquen nuevas mesas </w:t>
            </w:r>
            <w:r w:rsidR="0097371A" w:rsidRPr="000D1C0B">
              <w:rPr>
                <w:rFonts w:ascii="Arial" w:hAnsi="Arial" w:cs="Arial"/>
                <w:b/>
                <w:bCs/>
                <w:sz w:val="18"/>
                <w:szCs w:val="18"/>
              </w:rPr>
              <w:t xml:space="preserve">de juego </w:t>
            </w:r>
            <w:r w:rsidRPr="000D1C0B">
              <w:rPr>
                <w:rFonts w:ascii="Arial" w:hAnsi="Arial" w:cs="Arial"/>
                <w:b/>
                <w:bCs/>
                <w:sz w:val="18"/>
                <w:szCs w:val="18"/>
              </w:rPr>
              <w:t>o m</w:t>
            </w:r>
            <w:r w:rsidR="0097371A" w:rsidRPr="000D1C0B">
              <w:rPr>
                <w:rFonts w:ascii="Arial" w:hAnsi="Arial" w:cs="Arial"/>
                <w:b/>
                <w:bCs/>
                <w:sz w:val="18"/>
                <w:szCs w:val="18"/>
              </w:rPr>
              <w:t>á</w:t>
            </w:r>
            <w:r w:rsidRPr="000D1C0B">
              <w:rPr>
                <w:rFonts w:ascii="Arial" w:hAnsi="Arial" w:cs="Arial"/>
                <w:b/>
                <w:bCs/>
                <w:sz w:val="18"/>
                <w:szCs w:val="18"/>
              </w:rPr>
              <w:t>quinas</w:t>
            </w:r>
            <w:r w:rsidR="0097371A" w:rsidRPr="000D1C0B">
              <w:rPr>
                <w:rFonts w:ascii="Arial" w:hAnsi="Arial" w:cs="Arial"/>
                <w:b/>
                <w:bCs/>
                <w:sz w:val="18"/>
                <w:szCs w:val="18"/>
              </w:rPr>
              <w:t xml:space="preserve"> de azar sólo deberán </w:t>
            </w:r>
            <w:r w:rsidR="0091332A" w:rsidRPr="000D1C0B">
              <w:rPr>
                <w:rFonts w:ascii="Arial" w:hAnsi="Arial" w:cs="Arial"/>
                <w:b/>
                <w:bCs/>
                <w:sz w:val="18"/>
                <w:szCs w:val="18"/>
              </w:rPr>
              <w:t xml:space="preserve">notificarse una vez materializado el movimiento, según las reglas señaladas en </w:t>
            </w:r>
            <w:r w:rsidR="002737E7" w:rsidRPr="000D1C0B">
              <w:rPr>
                <w:rFonts w:ascii="Arial" w:hAnsi="Arial" w:cs="Arial"/>
                <w:b/>
                <w:bCs/>
                <w:sz w:val="18"/>
                <w:szCs w:val="18"/>
              </w:rPr>
              <w:t xml:space="preserve">el numeral 3.1. de </w:t>
            </w:r>
            <w:r w:rsidR="0091332A" w:rsidRPr="000D1C0B">
              <w:rPr>
                <w:rFonts w:ascii="Arial" w:hAnsi="Arial" w:cs="Arial"/>
                <w:b/>
                <w:bCs/>
                <w:sz w:val="18"/>
                <w:szCs w:val="18"/>
              </w:rPr>
              <w:t>esta circular.</w:t>
            </w:r>
          </w:p>
          <w:p w14:paraId="7E0D5CC8" w14:textId="247C2B62" w:rsidR="005A0BC1" w:rsidRPr="000D1C0B" w:rsidRDefault="005A0BC1" w:rsidP="005A0BC1">
            <w:pPr>
              <w:spacing w:after="0" w:line="240" w:lineRule="auto"/>
              <w:jc w:val="both"/>
              <w:rPr>
                <w:rFonts w:ascii="Arial" w:hAnsi="Arial" w:cs="Arial"/>
                <w:sz w:val="18"/>
                <w:szCs w:val="18"/>
              </w:rPr>
            </w:pPr>
          </w:p>
          <w:p w14:paraId="4E554EEF" w14:textId="77777777" w:rsidR="00553AE0" w:rsidRPr="000D1C0B" w:rsidRDefault="00553AE0" w:rsidP="00553AE0">
            <w:pPr>
              <w:pStyle w:val="Default"/>
              <w:jc w:val="both"/>
              <w:rPr>
                <w:sz w:val="18"/>
                <w:szCs w:val="18"/>
              </w:rPr>
            </w:pPr>
            <w:r w:rsidRPr="000D1C0B">
              <w:rPr>
                <w:sz w:val="18"/>
                <w:szCs w:val="18"/>
              </w:rPr>
              <w:t>En el evento que la implementación de los aumentos, disminuciones o modificaciones notificados demande un período de tiempo superior al señalado en el segundo párrafo del numeral 3.1, la sociedad operadora deberá comunicarlos por separado, y efectuarlo en la cantidad de etapas que sean necesarias para cumplir con los plazos antes señalados.</w:t>
            </w:r>
          </w:p>
          <w:p w14:paraId="0E043EBB" w14:textId="310E276D" w:rsidR="00BE4A4F" w:rsidRPr="000D1C0B" w:rsidRDefault="00BE4A4F" w:rsidP="005A0BC1">
            <w:pPr>
              <w:spacing w:after="0" w:line="240" w:lineRule="auto"/>
              <w:jc w:val="both"/>
              <w:rPr>
                <w:rFonts w:ascii="Arial" w:hAnsi="Arial" w:cs="Arial"/>
                <w:sz w:val="18"/>
                <w:szCs w:val="18"/>
              </w:rPr>
            </w:pPr>
          </w:p>
          <w:p w14:paraId="46A6BCAF" w14:textId="5060D85B" w:rsidR="00553AE0" w:rsidRPr="000D1C0B" w:rsidRDefault="00553AE0" w:rsidP="005A0BC1">
            <w:pPr>
              <w:spacing w:after="0" w:line="240" w:lineRule="auto"/>
              <w:jc w:val="both"/>
              <w:rPr>
                <w:rFonts w:ascii="Arial" w:hAnsi="Arial" w:cs="Arial"/>
                <w:sz w:val="18"/>
                <w:szCs w:val="18"/>
              </w:rPr>
            </w:pPr>
          </w:p>
          <w:p w14:paraId="2E590B27" w14:textId="77777777" w:rsidR="00553AE0" w:rsidRPr="000D1C0B" w:rsidRDefault="00553AE0" w:rsidP="005A0BC1">
            <w:pPr>
              <w:spacing w:after="0" w:line="240" w:lineRule="auto"/>
              <w:jc w:val="both"/>
              <w:rPr>
                <w:rFonts w:ascii="Arial" w:hAnsi="Arial" w:cs="Arial"/>
                <w:sz w:val="18"/>
                <w:szCs w:val="18"/>
              </w:rPr>
            </w:pPr>
          </w:p>
          <w:p w14:paraId="562B04D6" w14:textId="25DBF8D6" w:rsidR="005A0BC1" w:rsidRPr="000D1C0B" w:rsidRDefault="005A0BC1" w:rsidP="005A0BC1">
            <w:pPr>
              <w:spacing w:after="0" w:line="240" w:lineRule="auto"/>
              <w:jc w:val="both"/>
              <w:rPr>
                <w:rFonts w:ascii="Arial" w:hAnsi="Arial" w:cs="Arial"/>
                <w:b/>
                <w:bCs/>
                <w:sz w:val="18"/>
                <w:szCs w:val="18"/>
              </w:rPr>
            </w:pPr>
            <w:r w:rsidRPr="000D1C0B">
              <w:rPr>
                <w:rFonts w:ascii="Arial" w:hAnsi="Arial" w:cs="Arial"/>
                <w:b/>
                <w:bCs/>
                <w:sz w:val="18"/>
                <w:szCs w:val="18"/>
              </w:rPr>
              <w:lastRenderedPageBreak/>
              <w:t>Reemplácese el numeral 3.1:</w:t>
            </w:r>
          </w:p>
          <w:p w14:paraId="47E6015B" w14:textId="77777777" w:rsidR="005A0BC1" w:rsidRPr="000D1C0B" w:rsidRDefault="005A0BC1" w:rsidP="005A0BC1">
            <w:pPr>
              <w:pStyle w:val="Default"/>
              <w:jc w:val="both"/>
              <w:rPr>
                <w:sz w:val="18"/>
                <w:szCs w:val="18"/>
              </w:rPr>
            </w:pPr>
          </w:p>
          <w:p w14:paraId="5DCEEA15" w14:textId="4E996743" w:rsidR="005A0BC1" w:rsidRPr="000D1C0B" w:rsidRDefault="005A0BC1" w:rsidP="005A0BC1">
            <w:pPr>
              <w:pStyle w:val="Default"/>
              <w:jc w:val="both"/>
              <w:rPr>
                <w:sz w:val="18"/>
                <w:szCs w:val="18"/>
              </w:rPr>
            </w:pPr>
            <w:r w:rsidRPr="000D1C0B">
              <w:rPr>
                <w:sz w:val="18"/>
                <w:szCs w:val="18"/>
              </w:rPr>
              <w:t>Las sociedades operadoras podrán implementar los aumentos</w:t>
            </w:r>
            <w:r w:rsidR="00462A10" w:rsidRPr="000D1C0B">
              <w:rPr>
                <w:sz w:val="18"/>
                <w:szCs w:val="18"/>
              </w:rPr>
              <w:t>, dismin</w:t>
            </w:r>
            <w:r w:rsidR="009E0B73" w:rsidRPr="000D1C0B">
              <w:rPr>
                <w:sz w:val="18"/>
                <w:szCs w:val="18"/>
              </w:rPr>
              <w:t>uciones</w:t>
            </w:r>
            <w:r w:rsidR="006D303A" w:rsidRPr="000D1C0B">
              <w:rPr>
                <w:sz w:val="18"/>
                <w:szCs w:val="18"/>
              </w:rPr>
              <w:t xml:space="preserve"> o</w:t>
            </w:r>
            <w:r w:rsidRPr="000D1C0B">
              <w:rPr>
                <w:sz w:val="18"/>
                <w:szCs w:val="18"/>
              </w:rPr>
              <w:t xml:space="preserve"> </w:t>
            </w:r>
            <w:r w:rsidR="009E0B73" w:rsidRPr="000D1C0B">
              <w:rPr>
                <w:sz w:val="18"/>
                <w:szCs w:val="18"/>
              </w:rPr>
              <w:t>modificaciones</w:t>
            </w:r>
            <w:r w:rsidRPr="000D1C0B">
              <w:rPr>
                <w:sz w:val="18"/>
                <w:szCs w:val="18"/>
              </w:rPr>
              <w:t xml:space="preserve"> de mesas de juego, máquinas de azar y sus juegos, y del bingo, una vez transcurrido </w:t>
            </w:r>
            <w:r w:rsidRPr="000D1C0B">
              <w:rPr>
                <w:b/>
                <w:bCs/>
                <w:sz w:val="18"/>
                <w:szCs w:val="18"/>
              </w:rPr>
              <w:t>el plazo</w:t>
            </w:r>
            <w:r w:rsidR="001635C5" w:rsidRPr="000D1C0B">
              <w:rPr>
                <w:b/>
                <w:bCs/>
                <w:sz w:val="18"/>
                <w:szCs w:val="18"/>
              </w:rPr>
              <w:t xml:space="preserve"> de</w:t>
            </w:r>
            <w:r w:rsidRPr="000D1C0B">
              <w:rPr>
                <w:b/>
                <w:bCs/>
                <w:sz w:val="18"/>
                <w:szCs w:val="18"/>
              </w:rPr>
              <w:t xml:space="preserve"> </w:t>
            </w:r>
            <w:r w:rsidR="001635C5" w:rsidRPr="000D1C0B">
              <w:rPr>
                <w:b/>
                <w:bCs/>
                <w:sz w:val="18"/>
                <w:szCs w:val="18"/>
              </w:rPr>
              <w:t xml:space="preserve">1 día hábil </w:t>
            </w:r>
            <w:r w:rsidRPr="000D1C0B">
              <w:rPr>
                <w:sz w:val="18"/>
                <w:szCs w:val="18"/>
              </w:rPr>
              <w:t>a que se refiere el punto 2.3 precedente, toda vez que la Superintendencia no emitirá un pronunciamiento expreso sobre el contenido de dicha notificación, sin perjuicio de las acciones de fiscalización, que</w:t>
            </w:r>
            <w:r w:rsidR="00B00C53" w:rsidRPr="000D1C0B">
              <w:rPr>
                <w:sz w:val="18"/>
                <w:szCs w:val="18"/>
              </w:rPr>
              <w:t>,</w:t>
            </w:r>
            <w:r w:rsidRPr="000D1C0B">
              <w:rPr>
                <w:sz w:val="18"/>
                <w:szCs w:val="18"/>
              </w:rPr>
              <w:t xml:space="preserve"> en ejercicio de sus facultades legales, ejerza posteriormente.</w:t>
            </w:r>
          </w:p>
          <w:p w14:paraId="378439F9" w14:textId="657C8C49" w:rsidR="00436E0C" w:rsidRPr="000D1C0B" w:rsidRDefault="00436E0C" w:rsidP="005A0BC1">
            <w:pPr>
              <w:pStyle w:val="Default"/>
              <w:jc w:val="both"/>
              <w:rPr>
                <w:sz w:val="18"/>
                <w:szCs w:val="18"/>
              </w:rPr>
            </w:pPr>
          </w:p>
          <w:p w14:paraId="761ECAC5" w14:textId="1655EA3F" w:rsidR="000D1C0B" w:rsidRPr="000D1C0B" w:rsidRDefault="000D1C0B" w:rsidP="005A0BC1">
            <w:pPr>
              <w:pStyle w:val="Default"/>
              <w:jc w:val="both"/>
              <w:rPr>
                <w:sz w:val="18"/>
                <w:szCs w:val="18"/>
              </w:rPr>
            </w:pPr>
          </w:p>
          <w:p w14:paraId="79081DF8" w14:textId="47729DF1" w:rsidR="000D1C0B" w:rsidRPr="000D1C0B" w:rsidRDefault="000D1C0B" w:rsidP="005A0BC1">
            <w:pPr>
              <w:pStyle w:val="Default"/>
              <w:jc w:val="both"/>
              <w:rPr>
                <w:sz w:val="18"/>
                <w:szCs w:val="18"/>
              </w:rPr>
            </w:pPr>
          </w:p>
          <w:p w14:paraId="1322014B" w14:textId="1973580D" w:rsidR="000D1C0B" w:rsidRDefault="000D1C0B" w:rsidP="005A0BC1">
            <w:pPr>
              <w:pStyle w:val="Default"/>
              <w:jc w:val="both"/>
              <w:rPr>
                <w:sz w:val="18"/>
                <w:szCs w:val="18"/>
              </w:rPr>
            </w:pPr>
          </w:p>
          <w:p w14:paraId="7905B160" w14:textId="77777777" w:rsidR="00DF6B17" w:rsidRPr="000D1C0B" w:rsidRDefault="00DF6B17" w:rsidP="005A0BC1">
            <w:pPr>
              <w:pStyle w:val="Default"/>
              <w:jc w:val="both"/>
              <w:rPr>
                <w:sz w:val="18"/>
                <w:szCs w:val="18"/>
              </w:rPr>
            </w:pPr>
          </w:p>
          <w:p w14:paraId="5FB9A613" w14:textId="70251FFC" w:rsidR="000D1C0B" w:rsidRPr="000D1C0B" w:rsidRDefault="000D1C0B" w:rsidP="005A0BC1">
            <w:pPr>
              <w:pStyle w:val="Default"/>
              <w:jc w:val="both"/>
              <w:rPr>
                <w:sz w:val="18"/>
                <w:szCs w:val="18"/>
              </w:rPr>
            </w:pPr>
          </w:p>
          <w:p w14:paraId="5B48F4C4" w14:textId="77777777" w:rsidR="000D1C0B" w:rsidRPr="000D1C0B" w:rsidRDefault="000D1C0B" w:rsidP="005A0BC1">
            <w:pPr>
              <w:pStyle w:val="Default"/>
              <w:jc w:val="both"/>
              <w:rPr>
                <w:sz w:val="18"/>
                <w:szCs w:val="18"/>
              </w:rPr>
            </w:pPr>
          </w:p>
          <w:p w14:paraId="5AC18AF2" w14:textId="77777777" w:rsidR="00436E0C" w:rsidRPr="000D1C0B" w:rsidRDefault="00436E0C" w:rsidP="00436E0C">
            <w:pPr>
              <w:pStyle w:val="Default"/>
              <w:jc w:val="both"/>
              <w:rPr>
                <w:sz w:val="18"/>
                <w:szCs w:val="18"/>
              </w:rPr>
            </w:pPr>
            <w:r w:rsidRPr="000D1C0B">
              <w:rPr>
                <w:sz w:val="18"/>
                <w:szCs w:val="18"/>
              </w:rPr>
              <w:t xml:space="preserve">La implementación de aumentos o disminuciones deberá ser ejecutada íntegramente dentro de </w:t>
            </w:r>
            <w:r w:rsidRPr="000D1C0B">
              <w:rPr>
                <w:b/>
                <w:bCs/>
                <w:sz w:val="18"/>
                <w:szCs w:val="18"/>
              </w:rPr>
              <w:t>10 días hábiles</w:t>
            </w:r>
            <w:r w:rsidRPr="000D1C0B">
              <w:rPr>
                <w:sz w:val="18"/>
                <w:szCs w:val="18"/>
              </w:rPr>
              <w:t xml:space="preserve">, contado desde el vencimiento del plazo señalado en el párrafo anterior. </w:t>
            </w:r>
          </w:p>
          <w:p w14:paraId="4CB22863" w14:textId="77777777" w:rsidR="00436E0C" w:rsidRPr="000D1C0B" w:rsidRDefault="00436E0C" w:rsidP="005A0BC1">
            <w:pPr>
              <w:pStyle w:val="Default"/>
              <w:jc w:val="both"/>
              <w:rPr>
                <w:sz w:val="18"/>
                <w:szCs w:val="18"/>
              </w:rPr>
            </w:pPr>
          </w:p>
          <w:p w14:paraId="69AB2C34" w14:textId="18E2E48A" w:rsidR="000D1C0B" w:rsidRPr="000D1C0B" w:rsidRDefault="002737E7" w:rsidP="005A0BC1">
            <w:pPr>
              <w:pStyle w:val="Default"/>
              <w:jc w:val="both"/>
              <w:rPr>
                <w:b/>
                <w:bCs/>
                <w:sz w:val="18"/>
                <w:szCs w:val="18"/>
              </w:rPr>
            </w:pPr>
            <w:r w:rsidRPr="000D1C0B">
              <w:rPr>
                <w:b/>
                <w:bCs/>
                <w:sz w:val="18"/>
                <w:szCs w:val="18"/>
              </w:rPr>
              <w:t>En cuanto a los movimientos de parque que no impliquen nuevas mesas de juego o máquinas de azar</w:t>
            </w:r>
            <w:r w:rsidR="003A385E" w:rsidRPr="000D1C0B">
              <w:rPr>
                <w:b/>
                <w:bCs/>
                <w:sz w:val="18"/>
                <w:szCs w:val="18"/>
              </w:rPr>
              <w:t>,</w:t>
            </w:r>
            <w:r w:rsidRPr="000D1C0B">
              <w:rPr>
                <w:b/>
                <w:bCs/>
                <w:sz w:val="18"/>
                <w:szCs w:val="18"/>
              </w:rPr>
              <w:t xml:space="preserve"> </w:t>
            </w:r>
            <w:r w:rsidR="007B1EF5" w:rsidRPr="000D1C0B">
              <w:rPr>
                <w:b/>
                <w:bCs/>
                <w:sz w:val="18"/>
                <w:szCs w:val="18"/>
              </w:rPr>
              <w:t xml:space="preserve">estos podrán implementarse </w:t>
            </w:r>
            <w:r w:rsidR="002627E0" w:rsidRPr="000D1C0B">
              <w:rPr>
                <w:b/>
                <w:bCs/>
                <w:sz w:val="18"/>
                <w:szCs w:val="18"/>
              </w:rPr>
              <w:t>sin previa notificación a esta Superintendenci</w:t>
            </w:r>
            <w:r w:rsidR="00425576" w:rsidRPr="000D1C0B">
              <w:rPr>
                <w:b/>
                <w:bCs/>
                <w:sz w:val="18"/>
                <w:szCs w:val="18"/>
              </w:rPr>
              <w:t xml:space="preserve">a, debiendo </w:t>
            </w:r>
            <w:r w:rsidR="00FE07B5" w:rsidRPr="000D1C0B">
              <w:rPr>
                <w:b/>
                <w:bCs/>
                <w:sz w:val="18"/>
                <w:szCs w:val="18"/>
              </w:rPr>
              <w:t xml:space="preserve">solamente </w:t>
            </w:r>
            <w:r w:rsidRPr="000D1C0B">
              <w:rPr>
                <w:b/>
                <w:bCs/>
                <w:sz w:val="18"/>
                <w:szCs w:val="18"/>
              </w:rPr>
              <w:t xml:space="preserve">notificarse </w:t>
            </w:r>
            <w:r w:rsidR="00921DE5" w:rsidRPr="000D1C0B">
              <w:rPr>
                <w:b/>
                <w:bCs/>
                <w:sz w:val="18"/>
                <w:szCs w:val="18"/>
              </w:rPr>
              <w:t xml:space="preserve">a este Servicio </w:t>
            </w:r>
            <w:r w:rsidR="00425576" w:rsidRPr="000D1C0B">
              <w:rPr>
                <w:b/>
                <w:bCs/>
                <w:sz w:val="18"/>
                <w:szCs w:val="18"/>
              </w:rPr>
              <w:t xml:space="preserve">al día hábil siguiente </w:t>
            </w:r>
            <w:r w:rsidR="00FE07B5" w:rsidRPr="000D1C0B">
              <w:rPr>
                <w:b/>
                <w:bCs/>
                <w:sz w:val="18"/>
                <w:szCs w:val="18"/>
              </w:rPr>
              <w:t>de</w:t>
            </w:r>
            <w:r w:rsidRPr="000D1C0B">
              <w:rPr>
                <w:b/>
                <w:bCs/>
                <w:sz w:val="18"/>
                <w:szCs w:val="18"/>
              </w:rPr>
              <w:t xml:space="preserve"> materializado el movimiento</w:t>
            </w:r>
            <w:r w:rsidR="00425576" w:rsidRPr="000D1C0B">
              <w:rPr>
                <w:b/>
                <w:bCs/>
                <w:sz w:val="18"/>
                <w:szCs w:val="18"/>
              </w:rPr>
              <w:t>.</w:t>
            </w:r>
          </w:p>
          <w:p w14:paraId="309F2C8B" w14:textId="77777777" w:rsidR="000D1C0B" w:rsidRPr="000D1C0B" w:rsidRDefault="000D1C0B" w:rsidP="005A0BC1">
            <w:pPr>
              <w:pStyle w:val="Default"/>
              <w:jc w:val="both"/>
              <w:rPr>
                <w:sz w:val="18"/>
                <w:szCs w:val="18"/>
              </w:rPr>
            </w:pPr>
          </w:p>
          <w:p w14:paraId="347D0ACD" w14:textId="433DD513" w:rsidR="005A0BC1" w:rsidRPr="000D1C0B" w:rsidRDefault="005A0BC1" w:rsidP="005A0BC1">
            <w:pPr>
              <w:pStyle w:val="Default"/>
              <w:jc w:val="both"/>
              <w:rPr>
                <w:sz w:val="18"/>
                <w:szCs w:val="18"/>
              </w:rPr>
            </w:pPr>
            <w:r w:rsidRPr="000D1C0B">
              <w:rPr>
                <w:sz w:val="18"/>
                <w:szCs w:val="18"/>
              </w:rPr>
              <w:t xml:space="preserve">En los casos en que la implementación de los aumentos, </w:t>
            </w:r>
            <w:r w:rsidR="0017059D" w:rsidRPr="000D1C0B">
              <w:rPr>
                <w:sz w:val="18"/>
                <w:szCs w:val="18"/>
              </w:rPr>
              <w:t xml:space="preserve">o </w:t>
            </w:r>
            <w:r w:rsidRPr="000D1C0B">
              <w:rPr>
                <w:sz w:val="18"/>
                <w:szCs w:val="18"/>
              </w:rPr>
              <w:t xml:space="preserve">disminuciones de mesas de juego, máquinas de azar y sus juegos, y del bingo, atendida su extensión, pueda superar el plazo de </w:t>
            </w:r>
            <w:r w:rsidRPr="000D1C0B">
              <w:rPr>
                <w:b/>
                <w:bCs/>
                <w:sz w:val="18"/>
                <w:szCs w:val="18"/>
              </w:rPr>
              <w:t>5 días hábiles</w:t>
            </w:r>
            <w:r w:rsidRPr="000D1C0B">
              <w:rPr>
                <w:sz w:val="18"/>
                <w:szCs w:val="18"/>
              </w:rPr>
              <w:t xml:space="preserve"> señalado precedentemente, la sociedad operadora deberá notificar e implementar parcialmente los referidos cambios, a fin de cumplir con dicho plazo. </w:t>
            </w:r>
          </w:p>
          <w:p w14:paraId="4AF4EC06" w14:textId="6D4D303C" w:rsidR="00B505ED" w:rsidRPr="000D1C0B" w:rsidRDefault="00B505ED" w:rsidP="005A0BC1">
            <w:pPr>
              <w:pStyle w:val="Default"/>
              <w:jc w:val="both"/>
              <w:rPr>
                <w:sz w:val="18"/>
                <w:szCs w:val="18"/>
              </w:rPr>
            </w:pPr>
          </w:p>
          <w:p w14:paraId="3A85D736" w14:textId="36C8DC7B" w:rsidR="000262A0" w:rsidRPr="000D1C0B" w:rsidRDefault="000262A0" w:rsidP="005A0BC1">
            <w:pPr>
              <w:pStyle w:val="Default"/>
              <w:jc w:val="both"/>
              <w:rPr>
                <w:sz w:val="18"/>
                <w:szCs w:val="18"/>
              </w:rPr>
            </w:pPr>
          </w:p>
          <w:p w14:paraId="09233591" w14:textId="1D4D9781" w:rsidR="005957A9" w:rsidRPr="000D1C0B" w:rsidRDefault="005957A9" w:rsidP="005A0BC1">
            <w:pPr>
              <w:pStyle w:val="Default"/>
              <w:jc w:val="both"/>
              <w:rPr>
                <w:sz w:val="18"/>
                <w:szCs w:val="18"/>
              </w:rPr>
            </w:pPr>
          </w:p>
          <w:p w14:paraId="44B9FF36" w14:textId="77777777" w:rsidR="005957A9" w:rsidRPr="000D1C0B" w:rsidRDefault="005957A9" w:rsidP="005A0BC1">
            <w:pPr>
              <w:pStyle w:val="Default"/>
              <w:jc w:val="both"/>
              <w:rPr>
                <w:sz w:val="18"/>
                <w:szCs w:val="18"/>
              </w:rPr>
            </w:pPr>
          </w:p>
          <w:p w14:paraId="6DA6588D" w14:textId="2ED41D94" w:rsidR="005A0BC1" w:rsidRPr="000D1C0B" w:rsidRDefault="005A0BC1" w:rsidP="005A0BC1">
            <w:pPr>
              <w:pStyle w:val="Default"/>
              <w:jc w:val="both"/>
              <w:rPr>
                <w:sz w:val="18"/>
                <w:szCs w:val="18"/>
              </w:rPr>
            </w:pPr>
            <w:r w:rsidRPr="000D1C0B">
              <w:rPr>
                <w:sz w:val="18"/>
                <w:szCs w:val="18"/>
              </w:rPr>
              <w:lastRenderedPageBreak/>
              <w:t>En el evento que la sociedad operadora desista de implementar los aumentos</w:t>
            </w:r>
            <w:r w:rsidR="0017059D" w:rsidRPr="000D1C0B">
              <w:rPr>
                <w:sz w:val="18"/>
                <w:szCs w:val="18"/>
              </w:rPr>
              <w:t xml:space="preserve"> o</w:t>
            </w:r>
            <w:r w:rsidRPr="000D1C0B">
              <w:rPr>
                <w:sz w:val="18"/>
                <w:szCs w:val="18"/>
              </w:rPr>
              <w:t xml:space="preserve"> disminuciones notificados, deberá así comunicarlo a la Superintendencia, dentro del mismo plazo señalado en el segundo párrafo del presente número, esto es, dentro de los </w:t>
            </w:r>
            <w:r w:rsidR="00FA5FD8" w:rsidRPr="000D1C0B">
              <w:rPr>
                <w:b/>
                <w:bCs/>
                <w:sz w:val="18"/>
                <w:szCs w:val="18"/>
              </w:rPr>
              <w:t>10</w:t>
            </w:r>
            <w:r w:rsidRPr="000D1C0B">
              <w:rPr>
                <w:b/>
                <w:bCs/>
                <w:sz w:val="18"/>
                <w:szCs w:val="18"/>
              </w:rPr>
              <w:t xml:space="preserve"> días hábiles </w:t>
            </w:r>
            <w:r w:rsidRPr="000D1C0B">
              <w:rPr>
                <w:sz w:val="18"/>
                <w:szCs w:val="18"/>
              </w:rPr>
              <w:t>una vez vencido el plazo previsto para la materialización de la respectiva implementación.</w:t>
            </w:r>
          </w:p>
          <w:p w14:paraId="05C43EE7" w14:textId="77777777" w:rsidR="0017059D" w:rsidRPr="000D1C0B" w:rsidRDefault="0017059D" w:rsidP="005A0BC1">
            <w:pPr>
              <w:pStyle w:val="Default"/>
              <w:jc w:val="both"/>
              <w:rPr>
                <w:sz w:val="18"/>
                <w:szCs w:val="18"/>
              </w:rPr>
            </w:pPr>
          </w:p>
          <w:p w14:paraId="28086125" w14:textId="77777777" w:rsidR="0017059D" w:rsidRPr="000D1C0B" w:rsidRDefault="0017059D" w:rsidP="0017059D">
            <w:pPr>
              <w:pStyle w:val="Default"/>
              <w:jc w:val="both"/>
              <w:rPr>
                <w:b/>
                <w:bCs/>
                <w:sz w:val="18"/>
                <w:szCs w:val="18"/>
              </w:rPr>
            </w:pPr>
            <w:r w:rsidRPr="000D1C0B">
              <w:rPr>
                <w:b/>
                <w:bCs/>
                <w:sz w:val="18"/>
                <w:szCs w:val="18"/>
              </w:rPr>
              <w:t>Por su parte, las modificaciones de mesas de juego, máquinas de azar y sus juegos, y del bingo solo deben informarse posteriormente a su implementación.</w:t>
            </w:r>
          </w:p>
          <w:p w14:paraId="21A0129C" w14:textId="2ACD278C" w:rsidR="005A0BC1" w:rsidRPr="000D1C0B" w:rsidRDefault="005A0BC1" w:rsidP="005A0BC1">
            <w:pPr>
              <w:pStyle w:val="Default"/>
              <w:jc w:val="both"/>
              <w:rPr>
                <w:sz w:val="18"/>
                <w:szCs w:val="18"/>
              </w:rPr>
            </w:pPr>
          </w:p>
          <w:p w14:paraId="71EEF5A6" w14:textId="77777777" w:rsidR="00BA3742" w:rsidRPr="000D1C0B" w:rsidRDefault="00BA3742" w:rsidP="005A0BC1">
            <w:pPr>
              <w:pStyle w:val="Default"/>
              <w:jc w:val="both"/>
              <w:rPr>
                <w:sz w:val="18"/>
                <w:szCs w:val="18"/>
              </w:rPr>
            </w:pPr>
          </w:p>
          <w:p w14:paraId="49FBC26E" w14:textId="7073F026" w:rsidR="005A0BC1" w:rsidRPr="000D1C0B" w:rsidRDefault="005A0BC1" w:rsidP="005A0BC1">
            <w:pPr>
              <w:spacing w:after="0" w:line="240" w:lineRule="auto"/>
              <w:jc w:val="both"/>
              <w:rPr>
                <w:rFonts w:ascii="Arial" w:hAnsi="Arial" w:cs="Arial"/>
                <w:sz w:val="18"/>
                <w:szCs w:val="18"/>
              </w:rPr>
            </w:pPr>
            <w:r w:rsidRPr="000D1C0B">
              <w:rPr>
                <w:rFonts w:ascii="Arial" w:hAnsi="Arial" w:cs="Arial"/>
                <w:b/>
                <w:bCs/>
                <w:sz w:val="18"/>
                <w:szCs w:val="18"/>
              </w:rPr>
              <w:t>Reemplácese el numeral 3.3</w:t>
            </w:r>
            <w:r w:rsidRPr="000D1C0B">
              <w:rPr>
                <w:rFonts w:ascii="Arial" w:hAnsi="Arial" w:cs="Arial"/>
                <w:sz w:val="18"/>
                <w:szCs w:val="18"/>
              </w:rPr>
              <w:t>:</w:t>
            </w:r>
          </w:p>
          <w:p w14:paraId="5A5EC5D5" w14:textId="77777777" w:rsidR="005A0BC1" w:rsidRPr="000D1C0B" w:rsidRDefault="005A0BC1" w:rsidP="005A0BC1">
            <w:pPr>
              <w:spacing w:after="0" w:line="240" w:lineRule="auto"/>
              <w:jc w:val="both"/>
              <w:rPr>
                <w:rFonts w:ascii="Arial" w:hAnsi="Arial" w:cs="Arial"/>
                <w:sz w:val="18"/>
                <w:szCs w:val="18"/>
              </w:rPr>
            </w:pPr>
          </w:p>
          <w:p w14:paraId="411902E2" w14:textId="536047D5" w:rsidR="005A0BC1" w:rsidRPr="000D1C0B" w:rsidRDefault="001635C5" w:rsidP="005A0BC1">
            <w:pPr>
              <w:pStyle w:val="Default"/>
              <w:jc w:val="both"/>
              <w:rPr>
                <w:sz w:val="18"/>
                <w:szCs w:val="18"/>
              </w:rPr>
            </w:pPr>
            <w:r w:rsidRPr="000D1C0B">
              <w:rPr>
                <w:sz w:val="18"/>
                <w:szCs w:val="18"/>
              </w:rPr>
              <w:t xml:space="preserve">Dentro de los </w:t>
            </w:r>
            <w:r w:rsidR="00097E77" w:rsidRPr="000D1C0B">
              <w:rPr>
                <w:b/>
                <w:bCs/>
                <w:sz w:val="18"/>
                <w:szCs w:val="18"/>
              </w:rPr>
              <w:t>10</w:t>
            </w:r>
            <w:r w:rsidRPr="000D1C0B">
              <w:rPr>
                <w:b/>
                <w:bCs/>
                <w:sz w:val="18"/>
                <w:szCs w:val="18"/>
              </w:rPr>
              <w:t xml:space="preserve"> días hábiles </w:t>
            </w:r>
            <w:r w:rsidRPr="000D1C0B">
              <w:rPr>
                <w:sz w:val="18"/>
                <w:szCs w:val="18"/>
              </w:rPr>
              <w:t>contados</w:t>
            </w:r>
            <w:r w:rsidR="005A0BC1" w:rsidRPr="000D1C0B">
              <w:rPr>
                <w:sz w:val="18"/>
                <w:szCs w:val="18"/>
              </w:rPr>
              <w:t xml:space="preserve"> desde la implementación de los aumentos</w:t>
            </w:r>
            <w:r w:rsidR="005D5BC9" w:rsidRPr="000D1C0B">
              <w:rPr>
                <w:sz w:val="18"/>
                <w:szCs w:val="18"/>
              </w:rPr>
              <w:t xml:space="preserve"> o</w:t>
            </w:r>
            <w:r w:rsidR="005A0BC1" w:rsidRPr="000D1C0B">
              <w:rPr>
                <w:sz w:val="18"/>
                <w:szCs w:val="18"/>
              </w:rPr>
              <w:t xml:space="preserve"> disminuciones notificados, la sociedad operadora deberá comunicar a la Superintendencia los cambios efectivamente </w:t>
            </w:r>
            <w:proofErr w:type="gramStart"/>
            <w:r w:rsidR="005A0BC1" w:rsidRPr="000D1C0B">
              <w:rPr>
                <w:sz w:val="18"/>
                <w:szCs w:val="18"/>
              </w:rPr>
              <w:t>realizados,.</w:t>
            </w:r>
            <w:proofErr w:type="gramEnd"/>
          </w:p>
          <w:p w14:paraId="317BCD69" w14:textId="7A26DA2F" w:rsidR="00997DAA" w:rsidRPr="000D1C0B" w:rsidRDefault="00997DAA" w:rsidP="005A0BC1">
            <w:pPr>
              <w:pStyle w:val="Default"/>
              <w:jc w:val="both"/>
              <w:rPr>
                <w:sz w:val="18"/>
                <w:szCs w:val="18"/>
              </w:rPr>
            </w:pPr>
          </w:p>
          <w:p w14:paraId="3CBF9198" w14:textId="1A9F4DBE" w:rsidR="005D5BC9" w:rsidRPr="000D1C0B" w:rsidRDefault="005D5BC9" w:rsidP="005D5BC9">
            <w:pPr>
              <w:pStyle w:val="Default"/>
              <w:jc w:val="both"/>
              <w:rPr>
                <w:sz w:val="18"/>
                <w:szCs w:val="18"/>
              </w:rPr>
            </w:pPr>
            <w:r w:rsidRPr="000D1C0B">
              <w:rPr>
                <w:b/>
                <w:bCs/>
                <w:sz w:val="18"/>
                <w:szCs w:val="18"/>
              </w:rPr>
              <w:t xml:space="preserve">Por su parte, las modificaciones de mesas de juego, máquinas de azar y sus juegos, y del bingo, deberán notificarse dentro de los </w:t>
            </w:r>
            <w:r w:rsidR="00097E77" w:rsidRPr="000D1C0B">
              <w:rPr>
                <w:b/>
                <w:bCs/>
                <w:sz w:val="18"/>
                <w:szCs w:val="18"/>
              </w:rPr>
              <w:t>10</w:t>
            </w:r>
            <w:r w:rsidRPr="000D1C0B">
              <w:rPr>
                <w:b/>
                <w:bCs/>
                <w:sz w:val="18"/>
                <w:szCs w:val="18"/>
              </w:rPr>
              <w:t xml:space="preserve"> días hábiles contados desde su implementación</w:t>
            </w:r>
            <w:r w:rsidRPr="000D1C0B">
              <w:rPr>
                <w:sz w:val="18"/>
                <w:szCs w:val="18"/>
              </w:rPr>
              <w:t>.</w:t>
            </w:r>
          </w:p>
          <w:p w14:paraId="3F8D3D6D" w14:textId="1B174E88" w:rsidR="005D5BC9" w:rsidRPr="000D1C0B" w:rsidRDefault="005D5BC9" w:rsidP="005A0BC1">
            <w:pPr>
              <w:pStyle w:val="Default"/>
              <w:jc w:val="both"/>
              <w:rPr>
                <w:sz w:val="18"/>
                <w:szCs w:val="18"/>
              </w:rPr>
            </w:pPr>
          </w:p>
          <w:p w14:paraId="6DED6176" w14:textId="2FB09491" w:rsidR="005D5BC9" w:rsidRPr="000D1C0B" w:rsidRDefault="00946275" w:rsidP="005A0BC1">
            <w:pPr>
              <w:pStyle w:val="Default"/>
              <w:jc w:val="both"/>
              <w:rPr>
                <w:sz w:val="18"/>
                <w:szCs w:val="18"/>
              </w:rPr>
            </w:pPr>
            <w:r w:rsidRPr="000D1C0B">
              <w:rPr>
                <w:sz w:val="18"/>
                <w:szCs w:val="18"/>
              </w:rPr>
              <w:t xml:space="preserve">Las situaciones anteriores se deben </w:t>
            </w:r>
            <w:r w:rsidR="00097E77" w:rsidRPr="000D1C0B">
              <w:rPr>
                <w:sz w:val="18"/>
                <w:szCs w:val="18"/>
              </w:rPr>
              <w:t>explic</w:t>
            </w:r>
            <w:r w:rsidRPr="000D1C0B">
              <w:rPr>
                <w:sz w:val="18"/>
                <w:szCs w:val="18"/>
              </w:rPr>
              <w:t>ar</w:t>
            </w:r>
            <w:r w:rsidR="00097E77" w:rsidRPr="000D1C0B">
              <w:rPr>
                <w:sz w:val="18"/>
                <w:szCs w:val="18"/>
              </w:rPr>
              <w:t xml:space="preserve"> y adjunta</w:t>
            </w:r>
            <w:r w:rsidRPr="000D1C0B">
              <w:rPr>
                <w:sz w:val="18"/>
                <w:szCs w:val="18"/>
              </w:rPr>
              <w:t>r</w:t>
            </w:r>
            <w:r w:rsidR="00097E77" w:rsidRPr="000D1C0B">
              <w:rPr>
                <w:sz w:val="18"/>
                <w:szCs w:val="18"/>
              </w:rPr>
              <w:t>, además, la siguiente información, según corresponda</w:t>
            </w:r>
            <w:r w:rsidR="00704A82" w:rsidRPr="000D1C0B">
              <w:rPr>
                <w:sz w:val="18"/>
                <w:szCs w:val="18"/>
              </w:rPr>
              <w:t>:</w:t>
            </w:r>
          </w:p>
          <w:p w14:paraId="26C20B89" w14:textId="239F52C1" w:rsidR="00CB26D2" w:rsidRPr="000D1C0B" w:rsidRDefault="00CB26D2" w:rsidP="005A0BC1">
            <w:pPr>
              <w:pStyle w:val="Default"/>
              <w:jc w:val="both"/>
              <w:rPr>
                <w:sz w:val="18"/>
                <w:szCs w:val="18"/>
              </w:rPr>
            </w:pPr>
          </w:p>
          <w:p w14:paraId="32366A57" w14:textId="77777777" w:rsidR="00CB26D2" w:rsidRPr="000D1C0B" w:rsidRDefault="00CB26D2" w:rsidP="005A0BC1">
            <w:pPr>
              <w:pStyle w:val="Default"/>
              <w:jc w:val="both"/>
              <w:rPr>
                <w:sz w:val="18"/>
                <w:szCs w:val="18"/>
              </w:rPr>
            </w:pPr>
          </w:p>
          <w:p w14:paraId="0F36F443" w14:textId="4CFB65CE" w:rsidR="00997DAA" w:rsidRPr="000D1C0B" w:rsidRDefault="00997DAA" w:rsidP="005A0BC1">
            <w:pPr>
              <w:pStyle w:val="Default"/>
              <w:jc w:val="both"/>
              <w:rPr>
                <w:b/>
                <w:bCs/>
                <w:sz w:val="18"/>
                <w:szCs w:val="18"/>
              </w:rPr>
            </w:pPr>
            <w:r w:rsidRPr="000D1C0B">
              <w:rPr>
                <w:b/>
                <w:bCs/>
                <w:sz w:val="18"/>
                <w:szCs w:val="18"/>
              </w:rPr>
              <w:t>Elimínese el numeral 3.3.4</w:t>
            </w:r>
          </w:p>
          <w:p w14:paraId="35897788" w14:textId="1A1647AD" w:rsidR="00997DAA" w:rsidRPr="000D1C0B" w:rsidRDefault="00997DAA" w:rsidP="005A0BC1">
            <w:pPr>
              <w:pStyle w:val="Default"/>
              <w:jc w:val="both"/>
              <w:rPr>
                <w:b/>
                <w:bCs/>
                <w:sz w:val="18"/>
                <w:szCs w:val="18"/>
              </w:rPr>
            </w:pPr>
          </w:p>
          <w:p w14:paraId="63C88A0B" w14:textId="7BD15E31" w:rsidR="00997DAA" w:rsidRPr="000D1C0B" w:rsidRDefault="00997DAA" w:rsidP="005A0BC1">
            <w:pPr>
              <w:pStyle w:val="Default"/>
              <w:jc w:val="both"/>
              <w:rPr>
                <w:b/>
                <w:bCs/>
                <w:sz w:val="18"/>
                <w:szCs w:val="18"/>
              </w:rPr>
            </w:pPr>
          </w:p>
          <w:p w14:paraId="2A1769ED" w14:textId="37EF92DA" w:rsidR="00997DAA" w:rsidRPr="000D1C0B" w:rsidRDefault="00997DAA" w:rsidP="005A0BC1">
            <w:pPr>
              <w:pStyle w:val="Default"/>
              <w:jc w:val="both"/>
              <w:rPr>
                <w:b/>
                <w:bCs/>
                <w:sz w:val="18"/>
                <w:szCs w:val="18"/>
              </w:rPr>
            </w:pPr>
          </w:p>
          <w:p w14:paraId="7CE1764E" w14:textId="2EFD8D66" w:rsidR="00997DAA" w:rsidRPr="000D1C0B" w:rsidRDefault="00997DAA" w:rsidP="005A0BC1">
            <w:pPr>
              <w:pStyle w:val="Default"/>
              <w:jc w:val="both"/>
              <w:rPr>
                <w:b/>
                <w:bCs/>
                <w:sz w:val="18"/>
                <w:szCs w:val="18"/>
              </w:rPr>
            </w:pPr>
          </w:p>
          <w:p w14:paraId="502660D7" w14:textId="637D73A3" w:rsidR="00997DAA" w:rsidRPr="000D1C0B" w:rsidRDefault="00997DAA" w:rsidP="005A0BC1">
            <w:pPr>
              <w:pStyle w:val="Default"/>
              <w:jc w:val="both"/>
              <w:rPr>
                <w:b/>
                <w:bCs/>
                <w:sz w:val="18"/>
                <w:szCs w:val="18"/>
              </w:rPr>
            </w:pPr>
          </w:p>
          <w:p w14:paraId="5ECA3251" w14:textId="77777777" w:rsidR="00DB549C" w:rsidRPr="000D1C0B" w:rsidRDefault="00DB549C" w:rsidP="005A0BC1">
            <w:pPr>
              <w:pStyle w:val="Default"/>
              <w:jc w:val="both"/>
              <w:rPr>
                <w:b/>
                <w:bCs/>
                <w:sz w:val="18"/>
                <w:szCs w:val="18"/>
              </w:rPr>
            </w:pPr>
          </w:p>
          <w:p w14:paraId="4BD23663" w14:textId="003A033C" w:rsidR="00997DAA" w:rsidRPr="000D1C0B" w:rsidRDefault="00997DAA" w:rsidP="005A0BC1">
            <w:pPr>
              <w:pStyle w:val="Default"/>
              <w:jc w:val="both"/>
              <w:rPr>
                <w:b/>
                <w:bCs/>
                <w:sz w:val="18"/>
                <w:szCs w:val="18"/>
              </w:rPr>
            </w:pPr>
          </w:p>
          <w:p w14:paraId="7E2E5293" w14:textId="2B401E3F" w:rsidR="000D1C0B" w:rsidRDefault="000D1C0B" w:rsidP="00997DAA">
            <w:pPr>
              <w:pStyle w:val="Default"/>
              <w:jc w:val="both"/>
              <w:rPr>
                <w:b/>
                <w:bCs/>
                <w:sz w:val="18"/>
                <w:szCs w:val="18"/>
              </w:rPr>
            </w:pPr>
          </w:p>
          <w:p w14:paraId="55D52D94" w14:textId="77777777" w:rsidR="00DF6B17" w:rsidRPr="000D1C0B" w:rsidRDefault="00DF6B17" w:rsidP="00997DAA">
            <w:pPr>
              <w:pStyle w:val="Default"/>
              <w:jc w:val="both"/>
              <w:rPr>
                <w:b/>
                <w:bCs/>
                <w:sz w:val="18"/>
                <w:szCs w:val="18"/>
              </w:rPr>
            </w:pPr>
          </w:p>
          <w:p w14:paraId="1C659DEB" w14:textId="77777777" w:rsidR="000D1C0B" w:rsidRPr="000D1C0B" w:rsidRDefault="000D1C0B" w:rsidP="00997DAA">
            <w:pPr>
              <w:pStyle w:val="Default"/>
              <w:jc w:val="both"/>
              <w:rPr>
                <w:b/>
                <w:bCs/>
                <w:sz w:val="18"/>
                <w:szCs w:val="18"/>
              </w:rPr>
            </w:pPr>
          </w:p>
          <w:p w14:paraId="167BFAE3" w14:textId="0168005D" w:rsidR="00997DAA" w:rsidRPr="000D1C0B" w:rsidRDefault="00997DAA" w:rsidP="00997DAA">
            <w:pPr>
              <w:pStyle w:val="Default"/>
              <w:jc w:val="both"/>
              <w:rPr>
                <w:b/>
                <w:bCs/>
                <w:sz w:val="18"/>
                <w:szCs w:val="18"/>
              </w:rPr>
            </w:pPr>
            <w:r w:rsidRPr="000D1C0B">
              <w:rPr>
                <w:b/>
                <w:bCs/>
                <w:sz w:val="18"/>
                <w:szCs w:val="18"/>
              </w:rPr>
              <w:lastRenderedPageBreak/>
              <w:t xml:space="preserve">Elimínese el numeral 3.4.4 </w:t>
            </w:r>
          </w:p>
          <w:p w14:paraId="4C9ABD2F" w14:textId="1C84E0D4" w:rsidR="00997DAA" w:rsidRPr="000D1C0B" w:rsidRDefault="00997DAA" w:rsidP="005A0BC1">
            <w:pPr>
              <w:pStyle w:val="Default"/>
              <w:jc w:val="both"/>
              <w:rPr>
                <w:b/>
                <w:bCs/>
                <w:sz w:val="18"/>
                <w:szCs w:val="18"/>
              </w:rPr>
            </w:pPr>
          </w:p>
          <w:p w14:paraId="30B1E455" w14:textId="77777777" w:rsidR="00997DAA" w:rsidRPr="000D1C0B" w:rsidRDefault="00997DAA" w:rsidP="005A0BC1">
            <w:pPr>
              <w:pStyle w:val="Default"/>
              <w:jc w:val="both"/>
              <w:rPr>
                <w:b/>
                <w:bCs/>
                <w:sz w:val="18"/>
                <w:szCs w:val="18"/>
              </w:rPr>
            </w:pPr>
          </w:p>
          <w:p w14:paraId="0B493F3F" w14:textId="77777777" w:rsidR="00997DAA" w:rsidRPr="000D1C0B" w:rsidRDefault="00997DAA" w:rsidP="005A0BC1">
            <w:pPr>
              <w:pStyle w:val="Default"/>
              <w:jc w:val="both"/>
              <w:rPr>
                <w:sz w:val="18"/>
                <w:szCs w:val="18"/>
              </w:rPr>
            </w:pPr>
          </w:p>
          <w:p w14:paraId="7A41A65C" w14:textId="77777777" w:rsidR="001973DE" w:rsidRPr="000D1C0B" w:rsidRDefault="001973DE" w:rsidP="005A0BC1">
            <w:pPr>
              <w:pStyle w:val="Default"/>
              <w:jc w:val="both"/>
              <w:rPr>
                <w:sz w:val="18"/>
                <w:szCs w:val="18"/>
              </w:rPr>
            </w:pPr>
          </w:p>
          <w:p w14:paraId="2CF1AE92" w14:textId="77777777" w:rsidR="001973DE" w:rsidRPr="000D1C0B" w:rsidRDefault="001973DE" w:rsidP="005A0BC1">
            <w:pPr>
              <w:pStyle w:val="Default"/>
              <w:jc w:val="both"/>
              <w:rPr>
                <w:sz w:val="18"/>
                <w:szCs w:val="18"/>
              </w:rPr>
            </w:pPr>
          </w:p>
          <w:p w14:paraId="754E4BD9" w14:textId="77777777" w:rsidR="001973DE" w:rsidRPr="000D1C0B" w:rsidRDefault="001973DE" w:rsidP="005A0BC1">
            <w:pPr>
              <w:pStyle w:val="Default"/>
              <w:jc w:val="both"/>
              <w:rPr>
                <w:sz w:val="18"/>
                <w:szCs w:val="18"/>
              </w:rPr>
            </w:pPr>
          </w:p>
          <w:p w14:paraId="72CD9503" w14:textId="77777777" w:rsidR="001973DE" w:rsidRPr="000D1C0B" w:rsidRDefault="001973DE" w:rsidP="005A0BC1">
            <w:pPr>
              <w:pStyle w:val="Default"/>
              <w:jc w:val="both"/>
              <w:rPr>
                <w:sz w:val="18"/>
                <w:szCs w:val="18"/>
              </w:rPr>
            </w:pPr>
          </w:p>
          <w:p w14:paraId="143E3471" w14:textId="77777777" w:rsidR="001973DE" w:rsidRPr="000D1C0B" w:rsidRDefault="001973DE" w:rsidP="005A0BC1">
            <w:pPr>
              <w:pStyle w:val="Default"/>
              <w:jc w:val="both"/>
              <w:rPr>
                <w:sz w:val="18"/>
                <w:szCs w:val="18"/>
              </w:rPr>
            </w:pPr>
          </w:p>
          <w:p w14:paraId="0B9A4012" w14:textId="1F00A1F4" w:rsidR="001973DE" w:rsidRPr="000D1C0B" w:rsidRDefault="001973DE" w:rsidP="005A0BC1">
            <w:pPr>
              <w:pStyle w:val="Default"/>
              <w:jc w:val="both"/>
              <w:rPr>
                <w:sz w:val="18"/>
                <w:szCs w:val="18"/>
              </w:rPr>
            </w:pPr>
          </w:p>
          <w:p w14:paraId="7651DEEF" w14:textId="4B504AFF" w:rsidR="00C033AD" w:rsidRPr="000D1C0B" w:rsidRDefault="00C033AD" w:rsidP="005A0BC1">
            <w:pPr>
              <w:pStyle w:val="Default"/>
              <w:jc w:val="both"/>
              <w:rPr>
                <w:sz w:val="18"/>
                <w:szCs w:val="18"/>
              </w:rPr>
            </w:pPr>
          </w:p>
          <w:p w14:paraId="6259E433" w14:textId="2D946CAB" w:rsidR="000D1C0B" w:rsidRPr="000D1C0B" w:rsidRDefault="000D1C0B" w:rsidP="005A0BC1">
            <w:pPr>
              <w:pStyle w:val="Default"/>
              <w:jc w:val="both"/>
              <w:rPr>
                <w:sz w:val="18"/>
                <w:szCs w:val="18"/>
              </w:rPr>
            </w:pPr>
          </w:p>
          <w:p w14:paraId="3219A46E" w14:textId="1CC5CE4E" w:rsidR="000D1C0B" w:rsidRPr="000D1C0B" w:rsidRDefault="000D1C0B" w:rsidP="005A0BC1">
            <w:pPr>
              <w:pStyle w:val="Default"/>
              <w:jc w:val="both"/>
              <w:rPr>
                <w:sz w:val="18"/>
                <w:szCs w:val="18"/>
              </w:rPr>
            </w:pPr>
          </w:p>
          <w:p w14:paraId="6B883E9B" w14:textId="77777777" w:rsidR="000D1C0B" w:rsidRPr="000D1C0B" w:rsidRDefault="000D1C0B" w:rsidP="005A0BC1">
            <w:pPr>
              <w:pStyle w:val="Default"/>
              <w:jc w:val="both"/>
              <w:rPr>
                <w:sz w:val="18"/>
                <w:szCs w:val="18"/>
              </w:rPr>
            </w:pPr>
          </w:p>
          <w:p w14:paraId="2E6C1EF3" w14:textId="77777777" w:rsidR="00DB549C" w:rsidRPr="000D1C0B" w:rsidRDefault="00DB549C" w:rsidP="005A0BC1">
            <w:pPr>
              <w:pStyle w:val="Default"/>
              <w:jc w:val="both"/>
              <w:rPr>
                <w:sz w:val="18"/>
                <w:szCs w:val="18"/>
              </w:rPr>
            </w:pPr>
          </w:p>
          <w:p w14:paraId="1BDC2690" w14:textId="2BEB8F8E" w:rsidR="001973DE" w:rsidRPr="000D1C0B" w:rsidRDefault="001973DE" w:rsidP="005A0BC1">
            <w:pPr>
              <w:pStyle w:val="Default"/>
              <w:jc w:val="both"/>
              <w:rPr>
                <w:sz w:val="18"/>
                <w:szCs w:val="18"/>
              </w:rPr>
            </w:pPr>
            <w:r w:rsidRPr="000D1C0B">
              <w:rPr>
                <w:b/>
                <w:bCs/>
                <w:sz w:val="18"/>
                <w:szCs w:val="18"/>
              </w:rPr>
              <w:t>Elimínese el Anexo N°</w:t>
            </w:r>
            <w:r w:rsidR="000972A6" w:rsidRPr="000D1C0B">
              <w:rPr>
                <w:b/>
                <w:bCs/>
                <w:sz w:val="18"/>
                <w:szCs w:val="18"/>
              </w:rPr>
              <w:t>4</w:t>
            </w:r>
          </w:p>
          <w:p w14:paraId="57B0C7A3" w14:textId="64C605DF" w:rsidR="001973DE" w:rsidRPr="000D1C0B" w:rsidRDefault="001973DE" w:rsidP="005A0BC1">
            <w:pPr>
              <w:pStyle w:val="Default"/>
              <w:jc w:val="both"/>
              <w:rPr>
                <w:sz w:val="18"/>
                <w:szCs w:val="18"/>
              </w:rPr>
            </w:pPr>
          </w:p>
        </w:tc>
      </w:tr>
      <w:tr w:rsidR="00C033AD" w:rsidRPr="000D1C0B" w14:paraId="2BB7269A" w14:textId="77777777" w:rsidTr="00A74791">
        <w:trPr>
          <w:trHeight w:val="512"/>
        </w:trPr>
        <w:tc>
          <w:tcPr>
            <w:tcW w:w="416" w:type="dxa"/>
          </w:tcPr>
          <w:p w14:paraId="4E754929" w14:textId="17980BDE" w:rsidR="005A0BC1" w:rsidRPr="000D1C0B" w:rsidRDefault="004C123A"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lastRenderedPageBreak/>
              <w:t>5</w:t>
            </w:r>
          </w:p>
        </w:tc>
        <w:tc>
          <w:tcPr>
            <w:tcW w:w="1267" w:type="dxa"/>
          </w:tcPr>
          <w:p w14:paraId="2417531D" w14:textId="77777777" w:rsidR="005A0BC1" w:rsidRPr="000D1C0B" w:rsidRDefault="005A0BC1" w:rsidP="005A0BC1">
            <w:pPr>
              <w:spacing w:after="0" w:line="240" w:lineRule="auto"/>
              <w:jc w:val="center"/>
              <w:rPr>
                <w:rFonts w:ascii="Arial" w:hAnsi="Arial" w:cs="Arial"/>
                <w:bCs/>
                <w:spacing w:val="-3"/>
                <w:sz w:val="18"/>
                <w:szCs w:val="18"/>
              </w:rPr>
            </w:pPr>
            <w:r w:rsidRPr="000D1C0B">
              <w:rPr>
                <w:rFonts w:ascii="Arial" w:hAnsi="Arial" w:cs="Arial"/>
                <w:bCs/>
                <w:spacing w:val="-3"/>
                <w:sz w:val="18"/>
                <w:szCs w:val="18"/>
              </w:rPr>
              <w:t xml:space="preserve">Circular N°37/2013 </w:t>
            </w:r>
          </w:p>
          <w:p w14:paraId="04848ED4" w14:textId="39CA61D1" w:rsidR="005A0BC1" w:rsidRPr="000D1C0B" w:rsidRDefault="005A0BC1" w:rsidP="005A0BC1">
            <w:pPr>
              <w:spacing w:after="0" w:line="240" w:lineRule="auto"/>
              <w:jc w:val="center"/>
              <w:rPr>
                <w:rFonts w:ascii="Arial" w:hAnsi="Arial" w:cs="Arial"/>
                <w:bCs/>
                <w:spacing w:val="-3"/>
                <w:sz w:val="18"/>
                <w:szCs w:val="18"/>
              </w:rPr>
            </w:pPr>
            <w:r w:rsidRPr="000D1C0B">
              <w:rPr>
                <w:rFonts w:ascii="Arial" w:hAnsi="Arial" w:cs="Arial"/>
                <w:bCs/>
                <w:spacing w:val="-3"/>
                <w:sz w:val="18"/>
                <w:szCs w:val="18"/>
              </w:rPr>
              <w:t xml:space="preserve"> </w:t>
            </w:r>
          </w:p>
          <w:p w14:paraId="2C98729C" w14:textId="77777777" w:rsidR="005A0BC1" w:rsidRPr="000D1C0B" w:rsidRDefault="005A0BC1" w:rsidP="005A0BC1">
            <w:pPr>
              <w:spacing w:after="0" w:line="240" w:lineRule="auto"/>
              <w:jc w:val="center"/>
              <w:rPr>
                <w:rFonts w:ascii="Arial" w:hAnsi="Arial" w:cs="Arial"/>
                <w:bCs/>
                <w:spacing w:val="-3"/>
                <w:sz w:val="18"/>
                <w:szCs w:val="18"/>
              </w:rPr>
            </w:pPr>
            <w:r w:rsidRPr="000D1C0B">
              <w:rPr>
                <w:rFonts w:ascii="Arial" w:hAnsi="Arial" w:cs="Arial"/>
                <w:bCs/>
                <w:spacing w:val="-3"/>
                <w:sz w:val="18"/>
                <w:szCs w:val="18"/>
              </w:rPr>
              <w:t>modificada por</w:t>
            </w:r>
          </w:p>
          <w:p w14:paraId="6D1AFF4D" w14:textId="11AAC414" w:rsidR="005A0BC1" w:rsidRPr="000D1C0B" w:rsidRDefault="005A0BC1" w:rsidP="005A0BC1">
            <w:pPr>
              <w:spacing w:after="0" w:line="240" w:lineRule="auto"/>
              <w:jc w:val="center"/>
              <w:rPr>
                <w:rFonts w:ascii="Arial" w:hAnsi="Arial" w:cs="Arial"/>
                <w:bCs/>
                <w:spacing w:val="-3"/>
                <w:sz w:val="18"/>
                <w:szCs w:val="18"/>
              </w:rPr>
            </w:pPr>
            <w:r w:rsidRPr="000D1C0B">
              <w:rPr>
                <w:rFonts w:ascii="Arial" w:hAnsi="Arial" w:cs="Arial"/>
                <w:bCs/>
                <w:spacing w:val="-3"/>
                <w:sz w:val="18"/>
                <w:szCs w:val="18"/>
              </w:rPr>
              <w:t xml:space="preserve">Circular N°115/2020 </w:t>
            </w:r>
          </w:p>
          <w:p w14:paraId="6BF7F1F7" w14:textId="0D38307A" w:rsidR="005A0BC1" w:rsidRPr="000D1C0B" w:rsidRDefault="005A0BC1" w:rsidP="005A0BC1">
            <w:pPr>
              <w:spacing w:after="0" w:line="240" w:lineRule="auto"/>
              <w:jc w:val="center"/>
              <w:rPr>
                <w:rFonts w:ascii="Arial" w:hAnsi="Arial" w:cs="Arial"/>
                <w:bCs/>
                <w:spacing w:val="-3"/>
                <w:sz w:val="18"/>
                <w:szCs w:val="18"/>
              </w:rPr>
            </w:pPr>
          </w:p>
        </w:tc>
        <w:tc>
          <w:tcPr>
            <w:tcW w:w="2582" w:type="dxa"/>
          </w:tcPr>
          <w:p w14:paraId="220A768F" w14:textId="77777777" w:rsidR="005A0BC1" w:rsidRPr="000D1C0B" w:rsidRDefault="005A0BC1" w:rsidP="005A0BC1">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bases de torneos de casinos de juego</w:t>
            </w:r>
          </w:p>
          <w:p w14:paraId="06732019" w14:textId="77777777" w:rsidR="005A0BC1" w:rsidRPr="000D1C0B" w:rsidRDefault="005A0BC1" w:rsidP="005A0BC1">
            <w:pPr>
              <w:spacing w:after="0" w:line="240" w:lineRule="auto"/>
              <w:jc w:val="both"/>
              <w:rPr>
                <w:rFonts w:ascii="Arial" w:hAnsi="Arial" w:cs="Arial"/>
                <w:bCs/>
                <w:spacing w:val="-3"/>
                <w:sz w:val="18"/>
                <w:szCs w:val="18"/>
              </w:rPr>
            </w:pPr>
          </w:p>
          <w:p w14:paraId="09A311E3" w14:textId="77777777" w:rsidR="005A0BC1" w:rsidRPr="000D1C0B" w:rsidRDefault="005A0BC1" w:rsidP="005A0BC1">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reglamentos de torneos de casinos de juego</w:t>
            </w:r>
          </w:p>
        </w:tc>
        <w:tc>
          <w:tcPr>
            <w:tcW w:w="3666" w:type="dxa"/>
          </w:tcPr>
          <w:p w14:paraId="4FF1EAC9" w14:textId="6635DA85" w:rsidR="005A0BC1"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Primer párrafo en el numeral 1</w:t>
            </w:r>
            <w:r w:rsidRPr="000D1C0B">
              <w:rPr>
                <w:rFonts w:ascii="Arial" w:hAnsi="Arial" w:cs="Arial"/>
                <w:sz w:val="18"/>
                <w:szCs w:val="18"/>
              </w:rPr>
              <w:t>:</w:t>
            </w:r>
          </w:p>
          <w:p w14:paraId="0EC8F923"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 </w:t>
            </w:r>
          </w:p>
          <w:p w14:paraId="4F0A7E91"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El reglamento y/o las bases de torneos de juego, o las modificaciones de éstas o aquél, deberán ser notificadas a la Superintendencia de Casinos de Juego </w:t>
            </w:r>
            <w:r w:rsidRPr="000D1C0B">
              <w:rPr>
                <w:rFonts w:ascii="Arial" w:hAnsi="Arial" w:cs="Arial"/>
                <w:b/>
                <w:bCs/>
                <w:sz w:val="18"/>
                <w:szCs w:val="18"/>
              </w:rPr>
              <w:t xml:space="preserve">con una anticipación </w:t>
            </w:r>
            <w:r w:rsidRPr="000D1C0B">
              <w:rPr>
                <w:rFonts w:ascii="Arial" w:hAnsi="Arial" w:cs="Arial"/>
                <w:sz w:val="18"/>
                <w:szCs w:val="18"/>
              </w:rPr>
              <w:t>de, a lo menos,</w:t>
            </w:r>
            <w:r w:rsidRPr="000D1C0B">
              <w:rPr>
                <w:rFonts w:ascii="Arial" w:hAnsi="Arial" w:cs="Arial"/>
                <w:b/>
                <w:bCs/>
                <w:sz w:val="18"/>
                <w:szCs w:val="18"/>
              </w:rPr>
              <w:t xml:space="preserve"> 10 días hábiles</w:t>
            </w:r>
            <w:r w:rsidRPr="000D1C0B">
              <w:rPr>
                <w:rFonts w:ascii="Arial" w:hAnsi="Arial" w:cs="Arial"/>
                <w:sz w:val="18"/>
                <w:szCs w:val="18"/>
              </w:rPr>
              <w:t xml:space="preserve"> respecto de la fecha en que la sociedad operadora pretenda dar inicio al torneo o a la implementación de sus modificaciones, indicando en la carta conductora la fecha prevista para ello.</w:t>
            </w:r>
          </w:p>
          <w:p w14:paraId="60A66C1F" w14:textId="2503C830"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6B8ECD3B" w14:textId="69FDEEC5" w:rsidR="005A0BC1" w:rsidRPr="000D1C0B" w:rsidRDefault="00FB3C0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 xml:space="preserve">Segundo </w:t>
            </w:r>
            <w:r w:rsidR="005A0BC1" w:rsidRPr="000D1C0B">
              <w:rPr>
                <w:rFonts w:ascii="Arial" w:hAnsi="Arial" w:cs="Arial"/>
                <w:b/>
                <w:bCs/>
                <w:sz w:val="18"/>
                <w:szCs w:val="18"/>
              </w:rPr>
              <w:t>párrafo del numeral 4</w:t>
            </w:r>
            <w:r w:rsidR="005A0BC1" w:rsidRPr="000D1C0B">
              <w:rPr>
                <w:rFonts w:ascii="Arial" w:hAnsi="Arial" w:cs="Arial"/>
                <w:sz w:val="18"/>
                <w:szCs w:val="18"/>
              </w:rPr>
              <w:t>:</w:t>
            </w:r>
          </w:p>
          <w:p w14:paraId="606446D2"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01FDBFD5"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Las sociedades operadoras sólo podrán publicitar la realización de un torneo de juego, después de </w:t>
            </w:r>
            <w:r w:rsidRPr="000D1C0B">
              <w:rPr>
                <w:rFonts w:ascii="Arial" w:hAnsi="Arial" w:cs="Arial"/>
                <w:b/>
                <w:bCs/>
                <w:sz w:val="18"/>
                <w:szCs w:val="18"/>
              </w:rPr>
              <w:t>5 días contados</w:t>
            </w:r>
            <w:r w:rsidRPr="000D1C0B">
              <w:rPr>
                <w:rFonts w:ascii="Arial" w:hAnsi="Arial" w:cs="Arial"/>
                <w:sz w:val="18"/>
                <w:szCs w:val="18"/>
              </w:rPr>
              <w:t xml:space="preserve"> desde el envío de la respectiva notificación a esta Superintendencia.</w:t>
            </w:r>
          </w:p>
          <w:p w14:paraId="783D9A6F" w14:textId="6E4266AC" w:rsidR="005A0BC1" w:rsidRDefault="005A0BC1" w:rsidP="005A0BC1">
            <w:pPr>
              <w:autoSpaceDE w:val="0"/>
              <w:autoSpaceDN w:val="0"/>
              <w:adjustRightInd w:val="0"/>
              <w:spacing w:after="0" w:line="240" w:lineRule="auto"/>
              <w:jc w:val="both"/>
              <w:rPr>
                <w:rFonts w:ascii="Arial" w:hAnsi="Arial" w:cs="Arial"/>
                <w:sz w:val="18"/>
                <w:szCs w:val="18"/>
              </w:rPr>
            </w:pPr>
          </w:p>
          <w:p w14:paraId="0469C182" w14:textId="77777777" w:rsidR="00DF6B17" w:rsidRPr="000D1C0B" w:rsidRDefault="00DF6B17" w:rsidP="005A0BC1">
            <w:pPr>
              <w:autoSpaceDE w:val="0"/>
              <w:autoSpaceDN w:val="0"/>
              <w:adjustRightInd w:val="0"/>
              <w:spacing w:after="0" w:line="240" w:lineRule="auto"/>
              <w:jc w:val="both"/>
              <w:rPr>
                <w:rFonts w:ascii="Arial" w:hAnsi="Arial" w:cs="Arial"/>
                <w:sz w:val="18"/>
                <w:szCs w:val="18"/>
              </w:rPr>
            </w:pPr>
          </w:p>
          <w:p w14:paraId="6E5A8B75" w14:textId="6E3F483D" w:rsidR="005A0BC1" w:rsidRPr="000D1C0B" w:rsidRDefault="005A0BC1" w:rsidP="005A0BC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lastRenderedPageBreak/>
              <w:t>Segundo párrafo del numeral 6:</w:t>
            </w:r>
          </w:p>
          <w:p w14:paraId="22A50BE8"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6F3F3079" w14:textId="6FAAED44" w:rsidR="005A0BC1" w:rsidRPr="000D1C0B" w:rsidRDefault="00D82573"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 </w:t>
            </w:r>
            <w:r w:rsidR="005A0BC1" w:rsidRPr="000D1C0B">
              <w:rPr>
                <w:rFonts w:ascii="Arial" w:hAnsi="Arial" w:cs="Arial"/>
                <w:sz w:val="18"/>
                <w:szCs w:val="18"/>
              </w:rPr>
              <w:t xml:space="preserve">Por lo anterior, en cualquiera de estas situaciones, la sociedad operadora, deberá informar las causales de manera previa a esta Superintendencia, con </w:t>
            </w:r>
            <w:r w:rsidR="005A0BC1" w:rsidRPr="000D1C0B">
              <w:rPr>
                <w:rFonts w:ascii="Arial" w:hAnsi="Arial" w:cs="Arial"/>
                <w:b/>
                <w:bCs/>
                <w:sz w:val="18"/>
                <w:szCs w:val="18"/>
              </w:rPr>
              <w:t>al menos cinco días hábiles</w:t>
            </w:r>
            <w:r w:rsidR="005A0BC1" w:rsidRPr="000D1C0B">
              <w:rPr>
                <w:rFonts w:ascii="Arial" w:hAnsi="Arial" w:cs="Arial"/>
                <w:sz w:val="18"/>
                <w:szCs w:val="18"/>
              </w:rPr>
              <w:t xml:space="preserve"> de anticipación a las fechas originalmente programadas.</w:t>
            </w:r>
          </w:p>
        </w:tc>
        <w:tc>
          <w:tcPr>
            <w:tcW w:w="5247" w:type="dxa"/>
          </w:tcPr>
          <w:p w14:paraId="61F1326F" w14:textId="069C9959" w:rsidR="005A0BC1" w:rsidRPr="000D1C0B" w:rsidRDefault="005A0BC1" w:rsidP="005A0BC1">
            <w:pPr>
              <w:spacing w:after="0" w:line="240" w:lineRule="auto"/>
              <w:jc w:val="both"/>
              <w:rPr>
                <w:rFonts w:ascii="Arial" w:hAnsi="Arial" w:cs="Arial"/>
                <w:sz w:val="18"/>
                <w:szCs w:val="18"/>
              </w:rPr>
            </w:pPr>
            <w:r w:rsidRPr="000D1C0B">
              <w:rPr>
                <w:rFonts w:ascii="Arial" w:hAnsi="Arial" w:cs="Arial"/>
                <w:b/>
                <w:bCs/>
                <w:sz w:val="18"/>
                <w:szCs w:val="18"/>
              </w:rPr>
              <w:lastRenderedPageBreak/>
              <w:t>Reemplácese el primer párrafo en el numeral</w:t>
            </w:r>
            <w:r w:rsidRPr="000D1C0B">
              <w:rPr>
                <w:rFonts w:ascii="Arial" w:hAnsi="Arial" w:cs="Arial"/>
                <w:sz w:val="18"/>
                <w:szCs w:val="18"/>
              </w:rPr>
              <w:t xml:space="preserve"> 1: </w:t>
            </w:r>
          </w:p>
          <w:p w14:paraId="7D28A8C8" w14:textId="77777777" w:rsidR="005A0BC1" w:rsidRPr="000D1C0B" w:rsidRDefault="005A0BC1" w:rsidP="005A0BC1">
            <w:pPr>
              <w:spacing w:after="0" w:line="240" w:lineRule="auto"/>
              <w:jc w:val="both"/>
              <w:rPr>
                <w:rFonts w:ascii="Arial" w:hAnsi="Arial" w:cs="Arial"/>
                <w:sz w:val="18"/>
                <w:szCs w:val="18"/>
              </w:rPr>
            </w:pPr>
          </w:p>
          <w:p w14:paraId="1BE00668" w14:textId="73FD2B2D" w:rsidR="005A0BC1"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El reglamento y/o las bases de torneos de juego, o las modificaciones de éstas o aquél, deberán ser notificadas a la Superintendencia de Casinos de Juego </w:t>
            </w:r>
            <w:r w:rsidRPr="000D1C0B">
              <w:rPr>
                <w:rFonts w:ascii="Arial" w:hAnsi="Arial" w:cs="Arial"/>
                <w:b/>
                <w:bCs/>
                <w:sz w:val="18"/>
                <w:szCs w:val="18"/>
              </w:rPr>
              <w:t xml:space="preserve">con una anticipación </w:t>
            </w:r>
            <w:r w:rsidRPr="000D1C0B">
              <w:rPr>
                <w:rFonts w:ascii="Arial" w:hAnsi="Arial" w:cs="Arial"/>
                <w:sz w:val="18"/>
                <w:szCs w:val="18"/>
              </w:rPr>
              <w:t xml:space="preserve">de, al menos </w:t>
            </w:r>
            <w:r w:rsidR="00EA4741" w:rsidRPr="000D1C0B">
              <w:rPr>
                <w:rFonts w:ascii="Arial" w:hAnsi="Arial" w:cs="Arial"/>
                <w:b/>
                <w:bCs/>
                <w:sz w:val="18"/>
                <w:szCs w:val="18"/>
              </w:rPr>
              <w:t xml:space="preserve">1 </w:t>
            </w:r>
            <w:r w:rsidRPr="000D1C0B">
              <w:rPr>
                <w:rFonts w:ascii="Arial" w:hAnsi="Arial" w:cs="Arial"/>
                <w:b/>
                <w:bCs/>
                <w:sz w:val="18"/>
                <w:szCs w:val="18"/>
              </w:rPr>
              <w:t>día hábil</w:t>
            </w:r>
            <w:r w:rsidRPr="000D1C0B">
              <w:rPr>
                <w:rFonts w:ascii="Arial" w:hAnsi="Arial" w:cs="Arial"/>
                <w:sz w:val="18"/>
                <w:szCs w:val="18"/>
              </w:rPr>
              <w:t xml:space="preserve"> respecto de la fecha en que la sociedad operadora pretenda dar inicio al torneo o a la implementación de sus modificaciones, indicando en la carta conductora la fecha prevista para ello.</w:t>
            </w:r>
          </w:p>
          <w:p w14:paraId="526E4FFD" w14:textId="77777777" w:rsidR="00B836CF" w:rsidRPr="000D1C0B" w:rsidRDefault="00B836CF" w:rsidP="005A0BC1">
            <w:pPr>
              <w:autoSpaceDE w:val="0"/>
              <w:autoSpaceDN w:val="0"/>
              <w:adjustRightInd w:val="0"/>
              <w:spacing w:after="0" w:line="240" w:lineRule="auto"/>
              <w:jc w:val="both"/>
              <w:rPr>
                <w:rFonts w:ascii="Arial" w:hAnsi="Arial" w:cs="Arial"/>
                <w:sz w:val="18"/>
                <w:szCs w:val="18"/>
              </w:rPr>
            </w:pPr>
          </w:p>
          <w:p w14:paraId="7C628018" w14:textId="64D6A9F5"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1A42FA57" w14:textId="168AA962" w:rsidR="000D1C0B" w:rsidRPr="000D1C0B" w:rsidRDefault="000D1C0B" w:rsidP="005A0BC1">
            <w:pPr>
              <w:autoSpaceDE w:val="0"/>
              <w:autoSpaceDN w:val="0"/>
              <w:adjustRightInd w:val="0"/>
              <w:spacing w:after="0" w:line="240" w:lineRule="auto"/>
              <w:jc w:val="both"/>
              <w:rPr>
                <w:rFonts w:ascii="Arial" w:hAnsi="Arial" w:cs="Arial"/>
                <w:sz w:val="18"/>
                <w:szCs w:val="18"/>
              </w:rPr>
            </w:pPr>
          </w:p>
          <w:p w14:paraId="6090DCE8" w14:textId="77777777" w:rsidR="000D1C0B" w:rsidRPr="000D1C0B" w:rsidRDefault="000D1C0B" w:rsidP="005A0BC1">
            <w:pPr>
              <w:autoSpaceDE w:val="0"/>
              <w:autoSpaceDN w:val="0"/>
              <w:adjustRightInd w:val="0"/>
              <w:spacing w:after="0" w:line="240" w:lineRule="auto"/>
              <w:jc w:val="both"/>
              <w:rPr>
                <w:rFonts w:ascii="Arial" w:hAnsi="Arial" w:cs="Arial"/>
                <w:sz w:val="18"/>
                <w:szCs w:val="18"/>
              </w:rPr>
            </w:pPr>
          </w:p>
          <w:p w14:paraId="69D92163" w14:textId="4DBDF181" w:rsidR="005A0BC1" w:rsidRPr="000D1C0B" w:rsidRDefault="00F46718" w:rsidP="005A0BC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 xml:space="preserve">Elimínese el </w:t>
            </w:r>
            <w:r w:rsidR="00607E6E" w:rsidRPr="000D1C0B">
              <w:rPr>
                <w:rFonts w:ascii="Arial" w:hAnsi="Arial" w:cs="Arial"/>
                <w:b/>
                <w:bCs/>
                <w:sz w:val="18"/>
                <w:szCs w:val="18"/>
              </w:rPr>
              <w:t xml:space="preserve">segundo </w:t>
            </w:r>
            <w:r w:rsidRPr="000D1C0B">
              <w:rPr>
                <w:rFonts w:ascii="Arial" w:hAnsi="Arial" w:cs="Arial"/>
                <w:b/>
                <w:bCs/>
                <w:sz w:val="18"/>
                <w:szCs w:val="18"/>
              </w:rPr>
              <w:t>párrafo del numeral 4</w:t>
            </w:r>
          </w:p>
          <w:p w14:paraId="49E2B8CB"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55E05695" w14:textId="102161C5"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6BB08CF8" w14:textId="6F1CEE17" w:rsidR="00F46718" w:rsidRPr="000D1C0B" w:rsidRDefault="00F46718" w:rsidP="005A0BC1">
            <w:pPr>
              <w:autoSpaceDE w:val="0"/>
              <w:autoSpaceDN w:val="0"/>
              <w:adjustRightInd w:val="0"/>
              <w:spacing w:after="0" w:line="240" w:lineRule="auto"/>
              <w:jc w:val="both"/>
              <w:rPr>
                <w:rFonts w:ascii="Arial" w:hAnsi="Arial" w:cs="Arial"/>
                <w:sz w:val="18"/>
                <w:szCs w:val="18"/>
              </w:rPr>
            </w:pPr>
          </w:p>
          <w:p w14:paraId="46076976" w14:textId="310F901A" w:rsidR="00F46718" w:rsidRPr="000D1C0B" w:rsidRDefault="00F46718" w:rsidP="005A0BC1">
            <w:pPr>
              <w:autoSpaceDE w:val="0"/>
              <w:autoSpaceDN w:val="0"/>
              <w:adjustRightInd w:val="0"/>
              <w:spacing w:after="0" w:line="240" w:lineRule="auto"/>
              <w:jc w:val="both"/>
              <w:rPr>
                <w:rFonts w:ascii="Arial" w:hAnsi="Arial" w:cs="Arial"/>
                <w:sz w:val="18"/>
                <w:szCs w:val="18"/>
              </w:rPr>
            </w:pPr>
          </w:p>
          <w:p w14:paraId="3D17FAD4" w14:textId="77777777" w:rsidR="00B505ED" w:rsidRPr="000D1C0B" w:rsidRDefault="00B505ED" w:rsidP="005A0BC1">
            <w:pPr>
              <w:autoSpaceDE w:val="0"/>
              <w:autoSpaceDN w:val="0"/>
              <w:adjustRightInd w:val="0"/>
              <w:spacing w:after="0" w:line="240" w:lineRule="auto"/>
              <w:jc w:val="both"/>
              <w:rPr>
                <w:rFonts w:ascii="Arial" w:hAnsi="Arial" w:cs="Arial"/>
                <w:sz w:val="18"/>
                <w:szCs w:val="18"/>
              </w:rPr>
            </w:pPr>
          </w:p>
          <w:p w14:paraId="49C87EC9" w14:textId="77777777" w:rsidR="00F46718" w:rsidRPr="000D1C0B" w:rsidRDefault="00F46718" w:rsidP="005A0BC1">
            <w:pPr>
              <w:autoSpaceDE w:val="0"/>
              <w:autoSpaceDN w:val="0"/>
              <w:adjustRightInd w:val="0"/>
              <w:spacing w:after="0" w:line="240" w:lineRule="auto"/>
              <w:jc w:val="both"/>
              <w:rPr>
                <w:rFonts w:ascii="Arial" w:hAnsi="Arial" w:cs="Arial"/>
                <w:sz w:val="18"/>
                <w:szCs w:val="18"/>
              </w:rPr>
            </w:pPr>
          </w:p>
          <w:p w14:paraId="769B662E" w14:textId="77777777" w:rsidR="000D1C0B" w:rsidRPr="000D1C0B" w:rsidRDefault="000D1C0B" w:rsidP="005A0BC1">
            <w:pPr>
              <w:autoSpaceDE w:val="0"/>
              <w:autoSpaceDN w:val="0"/>
              <w:adjustRightInd w:val="0"/>
              <w:spacing w:after="0" w:line="240" w:lineRule="auto"/>
              <w:jc w:val="both"/>
              <w:rPr>
                <w:rFonts w:ascii="Arial" w:hAnsi="Arial" w:cs="Arial"/>
                <w:b/>
                <w:bCs/>
                <w:sz w:val="18"/>
                <w:szCs w:val="18"/>
              </w:rPr>
            </w:pPr>
          </w:p>
          <w:p w14:paraId="563193C1" w14:textId="77777777" w:rsidR="000D1C0B" w:rsidRPr="000D1C0B" w:rsidRDefault="000D1C0B" w:rsidP="005A0BC1">
            <w:pPr>
              <w:autoSpaceDE w:val="0"/>
              <w:autoSpaceDN w:val="0"/>
              <w:adjustRightInd w:val="0"/>
              <w:spacing w:after="0" w:line="240" w:lineRule="auto"/>
              <w:jc w:val="both"/>
              <w:rPr>
                <w:rFonts w:ascii="Arial" w:hAnsi="Arial" w:cs="Arial"/>
                <w:b/>
                <w:bCs/>
                <w:sz w:val="18"/>
                <w:szCs w:val="18"/>
              </w:rPr>
            </w:pPr>
          </w:p>
          <w:p w14:paraId="1B30DFEB" w14:textId="42ABDC5C" w:rsidR="005A0BC1"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lastRenderedPageBreak/>
              <w:t>Remplácese el segundo párrafo del numeral 6</w:t>
            </w:r>
            <w:r w:rsidRPr="000D1C0B">
              <w:rPr>
                <w:rFonts w:ascii="Arial" w:hAnsi="Arial" w:cs="Arial"/>
                <w:sz w:val="18"/>
                <w:szCs w:val="18"/>
              </w:rPr>
              <w:t>:</w:t>
            </w:r>
          </w:p>
          <w:p w14:paraId="3D0B08BF"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1AFB09E4" w14:textId="0093F45B" w:rsidR="005A0BC1" w:rsidRPr="000D1C0B" w:rsidRDefault="00D82573"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 </w:t>
            </w:r>
            <w:r w:rsidR="005A0BC1" w:rsidRPr="000D1C0B">
              <w:rPr>
                <w:rFonts w:ascii="Arial" w:hAnsi="Arial" w:cs="Arial"/>
                <w:sz w:val="18"/>
                <w:szCs w:val="18"/>
              </w:rPr>
              <w:t xml:space="preserve">Por lo anterior, en cualquiera de estas situaciones, la sociedad operadora, deberá informar las causales de manera previa a esta Superintendencia, con </w:t>
            </w:r>
            <w:r w:rsidR="005A0BC1" w:rsidRPr="000D1C0B">
              <w:rPr>
                <w:rFonts w:ascii="Arial" w:hAnsi="Arial" w:cs="Arial"/>
                <w:b/>
                <w:bCs/>
                <w:sz w:val="18"/>
                <w:szCs w:val="18"/>
              </w:rPr>
              <w:t xml:space="preserve">al menos 1 día hábil </w:t>
            </w:r>
            <w:r w:rsidR="005A0BC1" w:rsidRPr="000D1C0B">
              <w:rPr>
                <w:rFonts w:ascii="Arial" w:hAnsi="Arial" w:cs="Arial"/>
                <w:sz w:val="18"/>
                <w:szCs w:val="18"/>
              </w:rPr>
              <w:t>de anticipación a las fechas originalmente programadas.</w:t>
            </w:r>
          </w:p>
        </w:tc>
      </w:tr>
      <w:tr w:rsidR="00C033AD" w:rsidRPr="000D1C0B" w14:paraId="2BB5A963" w14:textId="77777777" w:rsidTr="00A74791">
        <w:trPr>
          <w:trHeight w:val="512"/>
        </w:trPr>
        <w:tc>
          <w:tcPr>
            <w:tcW w:w="416" w:type="dxa"/>
          </w:tcPr>
          <w:p w14:paraId="2C50B352" w14:textId="4B367FB9" w:rsidR="005A0BC1" w:rsidRPr="000D1C0B" w:rsidRDefault="004C123A" w:rsidP="005A0BC1">
            <w:pPr>
              <w:spacing w:line="240" w:lineRule="auto"/>
              <w:jc w:val="center"/>
              <w:rPr>
                <w:rFonts w:ascii="Arial" w:hAnsi="Arial" w:cs="Arial"/>
                <w:spacing w:val="-3"/>
                <w:sz w:val="18"/>
                <w:szCs w:val="18"/>
              </w:rPr>
            </w:pPr>
            <w:r w:rsidRPr="000D1C0B">
              <w:rPr>
                <w:rFonts w:ascii="Arial" w:hAnsi="Arial" w:cs="Arial"/>
                <w:spacing w:val="-3"/>
                <w:sz w:val="18"/>
                <w:szCs w:val="18"/>
              </w:rPr>
              <w:lastRenderedPageBreak/>
              <w:t>6</w:t>
            </w:r>
          </w:p>
        </w:tc>
        <w:tc>
          <w:tcPr>
            <w:tcW w:w="1267" w:type="dxa"/>
          </w:tcPr>
          <w:p w14:paraId="16BDA50C" w14:textId="1AA6A55C" w:rsidR="005A0BC1" w:rsidRPr="000D1C0B" w:rsidRDefault="005A0BC1"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t xml:space="preserve">Circular N°42/2013 </w:t>
            </w:r>
          </w:p>
        </w:tc>
        <w:tc>
          <w:tcPr>
            <w:tcW w:w="2582" w:type="dxa"/>
          </w:tcPr>
          <w:p w14:paraId="0471879E" w14:textId="77777777" w:rsidR="005A0BC1" w:rsidRPr="000D1C0B" w:rsidRDefault="005A0BC1" w:rsidP="005A0BC1">
            <w:pPr>
              <w:spacing w:line="240" w:lineRule="auto"/>
              <w:jc w:val="both"/>
              <w:rPr>
                <w:rFonts w:ascii="Arial" w:hAnsi="Arial" w:cs="Arial"/>
                <w:bCs/>
                <w:spacing w:val="-3"/>
                <w:sz w:val="18"/>
                <w:szCs w:val="18"/>
              </w:rPr>
            </w:pPr>
            <w:r w:rsidRPr="000D1C0B">
              <w:rPr>
                <w:rFonts w:ascii="Arial" w:hAnsi="Arial" w:cs="Arial"/>
                <w:bCs/>
                <w:spacing w:val="-3"/>
                <w:sz w:val="18"/>
                <w:szCs w:val="18"/>
              </w:rPr>
              <w:t>Notificación de eventos especiales</w:t>
            </w:r>
          </w:p>
        </w:tc>
        <w:tc>
          <w:tcPr>
            <w:tcW w:w="3666" w:type="dxa"/>
          </w:tcPr>
          <w:p w14:paraId="126C6C1A" w14:textId="7EBAB1C6" w:rsidR="005A0BC1" w:rsidRPr="000D1C0B" w:rsidRDefault="005A0BC1" w:rsidP="005A0BC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Primer párrafo del numeral 2:</w:t>
            </w:r>
          </w:p>
          <w:p w14:paraId="647BE1A8"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2775B41D" w14:textId="62539E95" w:rsidR="005A0BC1" w:rsidRPr="000D1C0B" w:rsidRDefault="005A0BC1" w:rsidP="00D1682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Los eventos especiales o actividades afines o complementarias al desarrollo de los juegos</w:t>
            </w:r>
            <w:r w:rsidR="00D16821" w:rsidRPr="000D1C0B">
              <w:rPr>
                <w:rFonts w:ascii="Arial" w:hAnsi="Arial" w:cs="Arial"/>
                <w:sz w:val="18"/>
                <w:szCs w:val="18"/>
              </w:rPr>
              <w:t xml:space="preserve"> </w:t>
            </w:r>
            <w:r w:rsidRPr="000D1C0B">
              <w:rPr>
                <w:rFonts w:ascii="Arial" w:hAnsi="Arial" w:cs="Arial"/>
                <w:sz w:val="18"/>
                <w:szCs w:val="18"/>
              </w:rPr>
              <w:t xml:space="preserve">de azar que se explotan en las salas de </w:t>
            </w:r>
            <w:proofErr w:type="gramStart"/>
            <w:r w:rsidRPr="000D1C0B">
              <w:rPr>
                <w:rFonts w:ascii="Arial" w:hAnsi="Arial" w:cs="Arial"/>
                <w:sz w:val="18"/>
                <w:szCs w:val="18"/>
              </w:rPr>
              <w:t>juego,</w:t>
            </w:r>
            <w:proofErr w:type="gramEnd"/>
            <w:r w:rsidRPr="000D1C0B">
              <w:rPr>
                <w:rFonts w:ascii="Arial" w:hAnsi="Arial" w:cs="Arial"/>
                <w:sz w:val="18"/>
                <w:szCs w:val="18"/>
              </w:rPr>
              <w:t xml:space="preserve"> deberán ser notificados a esta Superintendencia con una </w:t>
            </w:r>
            <w:r w:rsidRPr="000D1C0B">
              <w:rPr>
                <w:rFonts w:ascii="Arial" w:hAnsi="Arial" w:cs="Arial"/>
                <w:b/>
                <w:bCs/>
                <w:sz w:val="18"/>
                <w:szCs w:val="18"/>
              </w:rPr>
              <w:t xml:space="preserve">anticipación </w:t>
            </w:r>
            <w:r w:rsidRPr="000D1C0B">
              <w:rPr>
                <w:rFonts w:ascii="Arial" w:hAnsi="Arial" w:cs="Arial"/>
                <w:sz w:val="18"/>
                <w:szCs w:val="18"/>
              </w:rPr>
              <w:t xml:space="preserve">de, a lo menos, </w:t>
            </w:r>
            <w:r w:rsidRPr="000D1C0B">
              <w:rPr>
                <w:rFonts w:ascii="Arial" w:hAnsi="Arial" w:cs="Arial"/>
                <w:b/>
                <w:bCs/>
                <w:sz w:val="18"/>
                <w:szCs w:val="18"/>
              </w:rPr>
              <w:t>5 días hábiles</w:t>
            </w:r>
            <w:r w:rsidRPr="000D1C0B">
              <w:rPr>
                <w:rFonts w:ascii="Arial" w:hAnsi="Arial" w:cs="Arial"/>
                <w:sz w:val="18"/>
                <w:szCs w:val="18"/>
              </w:rPr>
              <w:t xml:space="preserve"> respecto de la fecha en que la sociedad operadora pretenda dar inicio a dicho evento, indicando en la carta conductora la fecha y la hora prevista para ello.</w:t>
            </w:r>
          </w:p>
          <w:p w14:paraId="36187C7C" w14:textId="77777777" w:rsidR="005A0BC1" w:rsidRPr="000D1C0B" w:rsidRDefault="005A0BC1" w:rsidP="005A0BC1">
            <w:pPr>
              <w:pStyle w:val="Default"/>
              <w:jc w:val="both"/>
              <w:rPr>
                <w:sz w:val="18"/>
                <w:szCs w:val="18"/>
              </w:rPr>
            </w:pPr>
          </w:p>
          <w:p w14:paraId="15C09180" w14:textId="1D365516" w:rsidR="005A0BC1" w:rsidRPr="000D1C0B" w:rsidRDefault="005A0BC1" w:rsidP="005A0BC1">
            <w:pPr>
              <w:pStyle w:val="Default"/>
              <w:jc w:val="both"/>
              <w:rPr>
                <w:b/>
                <w:bCs/>
                <w:sz w:val="18"/>
                <w:szCs w:val="18"/>
              </w:rPr>
            </w:pPr>
            <w:r w:rsidRPr="000D1C0B">
              <w:rPr>
                <w:b/>
                <w:bCs/>
                <w:sz w:val="18"/>
                <w:szCs w:val="18"/>
              </w:rPr>
              <w:t>Cuarto párrafo del numeral 2:</w:t>
            </w:r>
          </w:p>
          <w:p w14:paraId="486AF7B2" w14:textId="02076910" w:rsidR="005A0BC1" w:rsidRPr="000D1C0B" w:rsidRDefault="005A0BC1" w:rsidP="005A0BC1">
            <w:pPr>
              <w:pStyle w:val="Default"/>
              <w:jc w:val="both"/>
              <w:rPr>
                <w:sz w:val="18"/>
                <w:szCs w:val="18"/>
              </w:rPr>
            </w:pPr>
          </w:p>
          <w:p w14:paraId="71563645" w14:textId="00571F52" w:rsidR="005A0BC1" w:rsidRPr="000D1C0B" w:rsidRDefault="005A0BC1" w:rsidP="005A0BC1">
            <w:pPr>
              <w:pStyle w:val="Default"/>
              <w:jc w:val="both"/>
              <w:rPr>
                <w:sz w:val="18"/>
                <w:szCs w:val="18"/>
              </w:rPr>
            </w:pPr>
            <w:r w:rsidRPr="000D1C0B">
              <w:rPr>
                <w:sz w:val="18"/>
                <w:szCs w:val="18"/>
              </w:rPr>
              <w:t xml:space="preserve">Las sociedades que decidan suspender la realización de un Evento </w:t>
            </w:r>
            <w:proofErr w:type="gramStart"/>
            <w:r w:rsidRPr="000D1C0B">
              <w:rPr>
                <w:sz w:val="18"/>
                <w:szCs w:val="18"/>
              </w:rPr>
              <w:t>especial,</w:t>
            </w:r>
            <w:proofErr w:type="gramEnd"/>
            <w:r w:rsidRPr="000D1C0B">
              <w:rPr>
                <w:sz w:val="18"/>
                <w:szCs w:val="18"/>
              </w:rPr>
              <w:t xml:space="preserve"> deberán comunicarlo a esta Superintendencia con anterioridad a la fecha notificada</w:t>
            </w:r>
            <w:r w:rsidR="001E615D" w:rsidRPr="000D1C0B">
              <w:rPr>
                <w:sz w:val="18"/>
                <w:szCs w:val="18"/>
              </w:rPr>
              <w:t>, aplicándose en lo demás y en lo que fuera pertinente, las instrucciones impartidas en esta Circular.</w:t>
            </w:r>
          </w:p>
          <w:p w14:paraId="72BC882B" w14:textId="009CBB70" w:rsidR="005A0BC1" w:rsidRPr="000D1C0B" w:rsidRDefault="005A0BC1" w:rsidP="005A0BC1">
            <w:pPr>
              <w:pStyle w:val="Default"/>
              <w:jc w:val="both"/>
              <w:rPr>
                <w:sz w:val="18"/>
                <w:szCs w:val="18"/>
              </w:rPr>
            </w:pPr>
          </w:p>
          <w:p w14:paraId="17CF79DA" w14:textId="274EE3D6" w:rsidR="005A0BC1" w:rsidRPr="000D1C0B" w:rsidRDefault="005A0BC1" w:rsidP="005A0BC1">
            <w:pPr>
              <w:pStyle w:val="Default"/>
              <w:jc w:val="both"/>
              <w:rPr>
                <w:b/>
                <w:bCs/>
                <w:sz w:val="18"/>
                <w:szCs w:val="18"/>
              </w:rPr>
            </w:pPr>
            <w:r w:rsidRPr="000D1C0B">
              <w:rPr>
                <w:b/>
                <w:bCs/>
                <w:sz w:val="18"/>
                <w:szCs w:val="18"/>
              </w:rPr>
              <w:t>Numeral 3:</w:t>
            </w:r>
          </w:p>
          <w:p w14:paraId="18875C71" w14:textId="2DFDE3A3" w:rsidR="005A0BC1" w:rsidRPr="000D1C0B" w:rsidRDefault="001E615D" w:rsidP="005A0BC1">
            <w:pPr>
              <w:pStyle w:val="Default"/>
              <w:jc w:val="both"/>
              <w:rPr>
                <w:b/>
                <w:bCs/>
                <w:sz w:val="18"/>
                <w:szCs w:val="18"/>
              </w:rPr>
            </w:pPr>
            <w:r w:rsidRPr="000D1C0B">
              <w:rPr>
                <w:b/>
                <w:bCs/>
                <w:sz w:val="18"/>
                <w:szCs w:val="18"/>
              </w:rPr>
              <w:t>IMPLEMENTACIÓN DE LOS EVENTOS ESPECIALES Y SUS MODIFICACIONES</w:t>
            </w:r>
          </w:p>
          <w:p w14:paraId="67770EC2" w14:textId="77777777" w:rsidR="005A0BC1" w:rsidRPr="000D1C0B" w:rsidRDefault="005A0BC1" w:rsidP="005A0BC1">
            <w:pPr>
              <w:pStyle w:val="Default"/>
              <w:jc w:val="both"/>
              <w:rPr>
                <w:sz w:val="18"/>
                <w:szCs w:val="18"/>
              </w:rPr>
            </w:pPr>
            <w:r w:rsidRPr="000D1C0B">
              <w:rPr>
                <w:sz w:val="18"/>
                <w:szCs w:val="18"/>
              </w:rPr>
              <w:t>Las sociedades operadoras sólo podrán implementar un evento especial con posterioridad a que los mismos hayan sido presentados a esta Superintendencia mediante la correspondiente notificación.</w:t>
            </w:r>
          </w:p>
          <w:p w14:paraId="1FCCB6DE" w14:textId="73A2DC1C" w:rsidR="001E615D" w:rsidRPr="000D1C0B" w:rsidRDefault="001E615D" w:rsidP="005A0BC1">
            <w:pPr>
              <w:pStyle w:val="Default"/>
              <w:jc w:val="both"/>
              <w:rPr>
                <w:b/>
                <w:bCs/>
                <w:sz w:val="18"/>
                <w:szCs w:val="18"/>
              </w:rPr>
            </w:pPr>
            <w:r w:rsidRPr="000D1C0B">
              <w:rPr>
                <w:b/>
                <w:bCs/>
                <w:sz w:val="18"/>
                <w:szCs w:val="18"/>
              </w:rPr>
              <w:lastRenderedPageBreak/>
              <w:t>Numeral 4:</w:t>
            </w:r>
          </w:p>
          <w:p w14:paraId="49E3263E" w14:textId="77777777" w:rsidR="00C13A5B" w:rsidRPr="000D1C0B" w:rsidRDefault="00C13A5B" w:rsidP="005A0BC1">
            <w:pPr>
              <w:pStyle w:val="Default"/>
              <w:jc w:val="both"/>
              <w:rPr>
                <w:b/>
                <w:bCs/>
                <w:sz w:val="18"/>
                <w:szCs w:val="18"/>
              </w:rPr>
            </w:pPr>
          </w:p>
          <w:p w14:paraId="5A174795" w14:textId="0223DB10" w:rsidR="001E615D" w:rsidRPr="000D1C0B" w:rsidRDefault="007320EB" w:rsidP="005A0BC1">
            <w:pPr>
              <w:pStyle w:val="Default"/>
              <w:jc w:val="both"/>
              <w:rPr>
                <w:sz w:val="18"/>
                <w:szCs w:val="18"/>
              </w:rPr>
            </w:pPr>
            <w:r w:rsidRPr="000D1C0B">
              <w:rPr>
                <w:sz w:val="18"/>
                <w:szCs w:val="18"/>
              </w:rPr>
              <w:t xml:space="preserve">Las sociedades operadoras podrán informar la fecha y hora de realización del evento especial por los medios de comunicación que estimen convenientes, </w:t>
            </w:r>
            <w:r w:rsidRPr="000D1C0B">
              <w:rPr>
                <w:b/>
                <w:bCs/>
                <w:sz w:val="18"/>
                <w:szCs w:val="18"/>
              </w:rPr>
              <w:t>pudiendo publicitar la realización del evento especial de juego, una vez transcurridos 2 días contados desde la correspondiente notificación a esta Superintendencia</w:t>
            </w:r>
            <w:r w:rsidRPr="000D1C0B">
              <w:rPr>
                <w:sz w:val="18"/>
                <w:szCs w:val="18"/>
              </w:rPr>
              <w:t xml:space="preserve">. En este contexto, la sociedad operadora deberá publicitar en todos los accesos a las salas de juegos, </w:t>
            </w:r>
            <w:r w:rsidRPr="000D1C0B">
              <w:rPr>
                <w:b/>
                <w:bCs/>
                <w:sz w:val="18"/>
                <w:szCs w:val="18"/>
              </w:rPr>
              <w:t>así como en su sitio electrónico,</w:t>
            </w:r>
            <w:r w:rsidRPr="000D1C0B">
              <w:rPr>
                <w:sz w:val="18"/>
                <w:szCs w:val="18"/>
              </w:rPr>
              <w:t xml:space="preserve"> que se realizará el Evento Especial, indicando de manera clara y visible al público la fecha y horarios </w:t>
            </w:r>
            <w:proofErr w:type="gramStart"/>
            <w:r w:rsidRPr="000D1C0B">
              <w:rPr>
                <w:sz w:val="18"/>
                <w:szCs w:val="18"/>
              </w:rPr>
              <w:t>del mismo</w:t>
            </w:r>
            <w:proofErr w:type="gramEnd"/>
            <w:r w:rsidRPr="000D1C0B">
              <w:rPr>
                <w:sz w:val="18"/>
                <w:szCs w:val="18"/>
              </w:rPr>
              <w:t>.</w:t>
            </w:r>
          </w:p>
        </w:tc>
        <w:tc>
          <w:tcPr>
            <w:tcW w:w="5247" w:type="dxa"/>
          </w:tcPr>
          <w:p w14:paraId="1669FBF9" w14:textId="2F490827" w:rsidR="005A0BC1" w:rsidRPr="000D1C0B" w:rsidRDefault="005A0BC1" w:rsidP="005A0BC1">
            <w:pPr>
              <w:spacing w:after="0" w:line="240" w:lineRule="auto"/>
              <w:jc w:val="both"/>
              <w:rPr>
                <w:rFonts w:ascii="Arial" w:hAnsi="Arial" w:cs="Arial"/>
                <w:b/>
                <w:bCs/>
                <w:sz w:val="18"/>
                <w:szCs w:val="18"/>
              </w:rPr>
            </w:pPr>
            <w:r w:rsidRPr="000D1C0B">
              <w:rPr>
                <w:rFonts w:ascii="Arial" w:hAnsi="Arial" w:cs="Arial"/>
                <w:b/>
                <w:bCs/>
                <w:sz w:val="18"/>
                <w:szCs w:val="18"/>
              </w:rPr>
              <w:lastRenderedPageBreak/>
              <w:t>Reemplácese el primer párrafo del numeral 2:</w:t>
            </w:r>
          </w:p>
          <w:p w14:paraId="7AF43B79" w14:textId="77777777" w:rsidR="005A0BC1" w:rsidRPr="000D1C0B" w:rsidRDefault="005A0BC1" w:rsidP="005A0BC1">
            <w:pPr>
              <w:spacing w:after="0" w:line="240" w:lineRule="auto"/>
              <w:jc w:val="both"/>
              <w:rPr>
                <w:rFonts w:ascii="Arial" w:hAnsi="Arial" w:cs="Arial"/>
                <w:sz w:val="18"/>
                <w:szCs w:val="18"/>
              </w:rPr>
            </w:pPr>
          </w:p>
          <w:p w14:paraId="28F43EEB" w14:textId="4017AFFD" w:rsidR="005A0BC1"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Los eventos especiales o actividades afines o complementarias al desarrollo de los juegos</w:t>
            </w:r>
            <w:r w:rsidR="00D16821" w:rsidRPr="000D1C0B">
              <w:rPr>
                <w:rFonts w:ascii="Arial" w:hAnsi="Arial" w:cs="Arial"/>
                <w:sz w:val="18"/>
                <w:szCs w:val="18"/>
              </w:rPr>
              <w:t xml:space="preserve"> </w:t>
            </w:r>
            <w:r w:rsidRPr="000D1C0B">
              <w:rPr>
                <w:rFonts w:ascii="Arial" w:hAnsi="Arial" w:cs="Arial"/>
                <w:sz w:val="18"/>
                <w:szCs w:val="18"/>
              </w:rPr>
              <w:t xml:space="preserve">de azar que se explotan en las salas de </w:t>
            </w:r>
            <w:proofErr w:type="gramStart"/>
            <w:r w:rsidRPr="000D1C0B">
              <w:rPr>
                <w:rFonts w:ascii="Arial" w:hAnsi="Arial" w:cs="Arial"/>
                <w:sz w:val="18"/>
                <w:szCs w:val="18"/>
              </w:rPr>
              <w:t>juego,</w:t>
            </w:r>
            <w:proofErr w:type="gramEnd"/>
            <w:r w:rsidRPr="000D1C0B">
              <w:rPr>
                <w:rFonts w:ascii="Arial" w:hAnsi="Arial" w:cs="Arial"/>
                <w:sz w:val="18"/>
                <w:szCs w:val="18"/>
              </w:rPr>
              <w:t xml:space="preserve"> deberán ser notificados a esta Superintendencia </w:t>
            </w:r>
            <w:r w:rsidR="007F7347" w:rsidRPr="000D1C0B">
              <w:rPr>
                <w:rFonts w:ascii="Arial" w:hAnsi="Arial" w:cs="Arial"/>
                <w:sz w:val="18"/>
                <w:szCs w:val="18"/>
              </w:rPr>
              <w:t>dentro de los</w:t>
            </w:r>
            <w:r w:rsidR="007F7347" w:rsidRPr="000D1C0B">
              <w:rPr>
                <w:rFonts w:ascii="Arial" w:hAnsi="Arial" w:cs="Arial"/>
                <w:b/>
                <w:bCs/>
                <w:sz w:val="18"/>
                <w:szCs w:val="18"/>
              </w:rPr>
              <w:t xml:space="preserve"> </w:t>
            </w:r>
            <w:r w:rsidR="006E394C" w:rsidRPr="000D1C0B">
              <w:rPr>
                <w:rFonts w:ascii="Arial" w:hAnsi="Arial" w:cs="Arial"/>
                <w:b/>
                <w:bCs/>
                <w:sz w:val="18"/>
                <w:szCs w:val="18"/>
              </w:rPr>
              <w:t>10</w:t>
            </w:r>
            <w:r w:rsidR="00253DE0" w:rsidRPr="000D1C0B">
              <w:rPr>
                <w:rFonts w:ascii="Arial" w:hAnsi="Arial" w:cs="Arial"/>
                <w:b/>
                <w:bCs/>
                <w:sz w:val="18"/>
                <w:szCs w:val="18"/>
              </w:rPr>
              <w:t xml:space="preserve"> </w:t>
            </w:r>
            <w:r w:rsidRPr="000D1C0B">
              <w:rPr>
                <w:rFonts w:ascii="Arial" w:hAnsi="Arial" w:cs="Arial"/>
                <w:b/>
                <w:bCs/>
                <w:sz w:val="18"/>
                <w:szCs w:val="18"/>
              </w:rPr>
              <w:t>días hábiles</w:t>
            </w:r>
            <w:r w:rsidR="00C13A5B" w:rsidRPr="000D1C0B">
              <w:rPr>
                <w:rFonts w:ascii="Arial" w:hAnsi="Arial" w:cs="Arial"/>
                <w:b/>
                <w:bCs/>
                <w:sz w:val="18"/>
                <w:szCs w:val="18"/>
              </w:rPr>
              <w:t xml:space="preserve"> siguientes</w:t>
            </w:r>
            <w:r w:rsidRPr="000D1C0B">
              <w:rPr>
                <w:rFonts w:ascii="Arial" w:hAnsi="Arial" w:cs="Arial"/>
                <w:sz w:val="18"/>
                <w:szCs w:val="18"/>
              </w:rPr>
              <w:t xml:space="preserve"> respecto de la fecha en que la sociedad operadora dio inicio a dicho evento, indicando en la carta conductora la fecha y la hora.</w:t>
            </w:r>
          </w:p>
          <w:p w14:paraId="010088AC" w14:textId="46FE4741" w:rsidR="005A0BC1" w:rsidRPr="000D1C0B" w:rsidRDefault="005A0BC1" w:rsidP="005A0BC1">
            <w:pPr>
              <w:autoSpaceDE w:val="0"/>
              <w:autoSpaceDN w:val="0"/>
              <w:adjustRightInd w:val="0"/>
              <w:spacing w:after="0" w:line="240" w:lineRule="auto"/>
              <w:jc w:val="both"/>
              <w:rPr>
                <w:rFonts w:ascii="Arial" w:hAnsi="Arial" w:cs="Arial"/>
                <w:b/>
                <w:bCs/>
                <w:sz w:val="18"/>
                <w:szCs w:val="18"/>
              </w:rPr>
            </w:pPr>
          </w:p>
          <w:p w14:paraId="240050EC" w14:textId="3B2D2C13" w:rsidR="000D1C0B" w:rsidRPr="000D1C0B" w:rsidRDefault="000D1C0B" w:rsidP="005A0BC1">
            <w:pPr>
              <w:autoSpaceDE w:val="0"/>
              <w:autoSpaceDN w:val="0"/>
              <w:adjustRightInd w:val="0"/>
              <w:spacing w:after="0" w:line="240" w:lineRule="auto"/>
              <w:jc w:val="both"/>
              <w:rPr>
                <w:rFonts w:ascii="Arial" w:hAnsi="Arial" w:cs="Arial"/>
                <w:b/>
                <w:bCs/>
                <w:sz w:val="18"/>
                <w:szCs w:val="18"/>
              </w:rPr>
            </w:pPr>
          </w:p>
          <w:p w14:paraId="4F00B389" w14:textId="68F4786B" w:rsidR="000D1C0B" w:rsidRPr="000D1C0B" w:rsidRDefault="000D1C0B" w:rsidP="005A0BC1">
            <w:pPr>
              <w:autoSpaceDE w:val="0"/>
              <w:autoSpaceDN w:val="0"/>
              <w:adjustRightInd w:val="0"/>
              <w:spacing w:after="0" w:line="240" w:lineRule="auto"/>
              <w:jc w:val="both"/>
              <w:rPr>
                <w:rFonts w:ascii="Arial" w:hAnsi="Arial" w:cs="Arial"/>
                <w:b/>
                <w:bCs/>
                <w:sz w:val="18"/>
                <w:szCs w:val="18"/>
              </w:rPr>
            </w:pPr>
          </w:p>
          <w:p w14:paraId="05BC7F0F" w14:textId="77777777" w:rsidR="000D1C0B" w:rsidRPr="000D1C0B" w:rsidRDefault="000D1C0B" w:rsidP="005A0BC1">
            <w:pPr>
              <w:autoSpaceDE w:val="0"/>
              <w:autoSpaceDN w:val="0"/>
              <w:adjustRightInd w:val="0"/>
              <w:spacing w:after="0" w:line="240" w:lineRule="auto"/>
              <w:jc w:val="both"/>
              <w:rPr>
                <w:rFonts w:ascii="Arial" w:hAnsi="Arial" w:cs="Arial"/>
                <w:b/>
                <w:bCs/>
                <w:sz w:val="18"/>
                <w:szCs w:val="18"/>
              </w:rPr>
            </w:pPr>
          </w:p>
          <w:p w14:paraId="6468E17C" w14:textId="269F3CAC" w:rsidR="00D7658F" w:rsidRPr="000D1C0B" w:rsidRDefault="00D7658F" w:rsidP="005A0BC1">
            <w:pPr>
              <w:autoSpaceDE w:val="0"/>
              <w:autoSpaceDN w:val="0"/>
              <w:adjustRightInd w:val="0"/>
              <w:spacing w:after="0" w:line="240" w:lineRule="auto"/>
              <w:jc w:val="both"/>
              <w:rPr>
                <w:rFonts w:ascii="Arial" w:hAnsi="Arial" w:cs="Arial"/>
                <w:b/>
                <w:bCs/>
                <w:sz w:val="18"/>
                <w:szCs w:val="18"/>
              </w:rPr>
            </w:pPr>
          </w:p>
          <w:p w14:paraId="572E409D" w14:textId="1F577C9A" w:rsidR="00D7658F" w:rsidRPr="000D1C0B" w:rsidRDefault="00D7658F" w:rsidP="00D7658F">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Elimínese el cuarto párrafo del numeral 2</w:t>
            </w:r>
          </w:p>
          <w:p w14:paraId="45E7582B" w14:textId="77777777" w:rsidR="00D7658F" w:rsidRPr="000D1C0B" w:rsidRDefault="00D7658F" w:rsidP="005A0BC1">
            <w:pPr>
              <w:autoSpaceDE w:val="0"/>
              <w:autoSpaceDN w:val="0"/>
              <w:adjustRightInd w:val="0"/>
              <w:spacing w:after="0" w:line="240" w:lineRule="auto"/>
              <w:jc w:val="both"/>
              <w:rPr>
                <w:rFonts w:ascii="Arial" w:hAnsi="Arial" w:cs="Arial"/>
                <w:b/>
                <w:bCs/>
                <w:sz w:val="18"/>
                <w:szCs w:val="18"/>
              </w:rPr>
            </w:pPr>
          </w:p>
          <w:p w14:paraId="341F410B" w14:textId="7A53DBCF" w:rsidR="005A0BC1" w:rsidRPr="000D1C0B" w:rsidRDefault="005A0BC1" w:rsidP="005A0BC1">
            <w:pPr>
              <w:autoSpaceDE w:val="0"/>
              <w:autoSpaceDN w:val="0"/>
              <w:adjustRightInd w:val="0"/>
              <w:spacing w:after="0" w:line="240" w:lineRule="auto"/>
              <w:jc w:val="both"/>
              <w:rPr>
                <w:rFonts w:ascii="Arial" w:hAnsi="Arial" w:cs="Arial"/>
                <w:b/>
                <w:bCs/>
                <w:sz w:val="18"/>
                <w:szCs w:val="18"/>
              </w:rPr>
            </w:pPr>
          </w:p>
          <w:p w14:paraId="7E24996B" w14:textId="5D1E9C93" w:rsidR="00C13A5B" w:rsidRPr="000D1C0B" w:rsidRDefault="00C13A5B" w:rsidP="005A0BC1">
            <w:pPr>
              <w:autoSpaceDE w:val="0"/>
              <w:autoSpaceDN w:val="0"/>
              <w:adjustRightInd w:val="0"/>
              <w:spacing w:after="0" w:line="240" w:lineRule="auto"/>
              <w:jc w:val="both"/>
              <w:rPr>
                <w:rFonts w:ascii="Arial" w:hAnsi="Arial" w:cs="Arial"/>
                <w:b/>
                <w:bCs/>
                <w:sz w:val="18"/>
                <w:szCs w:val="18"/>
              </w:rPr>
            </w:pPr>
          </w:p>
          <w:p w14:paraId="799265C5" w14:textId="77777777" w:rsidR="001E615D" w:rsidRPr="000D1C0B" w:rsidRDefault="001E615D" w:rsidP="005A0BC1">
            <w:pPr>
              <w:autoSpaceDE w:val="0"/>
              <w:autoSpaceDN w:val="0"/>
              <w:adjustRightInd w:val="0"/>
              <w:spacing w:after="0" w:line="240" w:lineRule="auto"/>
              <w:jc w:val="both"/>
              <w:rPr>
                <w:rFonts w:ascii="Arial" w:hAnsi="Arial" w:cs="Arial"/>
                <w:b/>
                <w:bCs/>
                <w:sz w:val="18"/>
                <w:szCs w:val="18"/>
              </w:rPr>
            </w:pPr>
          </w:p>
          <w:p w14:paraId="2045487B" w14:textId="2B63224A" w:rsidR="00D7658F" w:rsidRPr="000D1C0B" w:rsidRDefault="00D7658F" w:rsidP="005A0BC1">
            <w:pPr>
              <w:autoSpaceDE w:val="0"/>
              <w:autoSpaceDN w:val="0"/>
              <w:adjustRightInd w:val="0"/>
              <w:spacing w:after="0" w:line="240" w:lineRule="auto"/>
              <w:jc w:val="both"/>
              <w:rPr>
                <w:rFonts w:ascii="Arial" w:hAnsi="Arial" w:cs="Arial"/>
                <w:b/>
                <w:bCs/>
                <w:sz w:val="18"/>
                <w:szCs w:val="18"/>
              </w:rPr>
            </w:pPr>
          </w:p>
          <w:p w14:paraId="1527416F" w14:textId="1E05FCEB" w:rsidR="000D1C0B" w:rsidRPr="000D1C0B" w:rsidRDefault="000D1C0B" w:rsidP="005A0BC1">
            <w:pPr>
              <w:autoSpaceDE w:val="0"/>
              <w:autoSpaceDN w:val="0"/>
              <w:adjustRightInd w:val="0"/>
              <w:spacing w:after="0" w:line="240" w:lineRule="auto"/>
              <w:jc w:val="both"/>
              <w:rPr>
                <w:rFonts w:ascii="Arial" w:hAnsi="Arial" w:cs="Arial"/>
                <w:b/>
                <w:bCs/>
                <w:sz w:val="18"/>
                <w:szCs w:val="18"/>
              </w:rPr>
            </w:pPr>
          </w:p>
          <w:p w14:paraId="66C482AF" w14:textId="77777777" w:rsidR="000D1C0B" w:rsidRPr="000D1C0B" w:rsidRDefault="000D1C0B" w:rsidP="005A0BC1">
            <w:pPr>
              <w:autoSpaceDE w:val="0"/>
              <w:autoSpaceDN w:val="0"/>
              <w:adjustRightInd w:val="0"/>
              <w:spacing w:after="0" w:line="240" w:lineRule="auto"/>
              <w:jc w:val="both"/>
              <w:rPr>
                <w:rFonts w:ascii="Arial" w:hAnsi="Arial" w:cs="Arial"/>
                <w:b/>
                <w:bCs/>
                <w:sz w:val="18"/>
                <w:szCs w:val="18"/>
              </w:rPr>
            </w:pPr>
          </w:p>
          <w:p w14:paraId="3641A16A" w14:textId="77777777" w:rsidR="001E615D" w:rsidRPr="000D1C0B" w:rsidRDefault="001E615D" w:rsidP="005A0BC1">
            <w:pPr>
              <w:autoSpaceDE w:val="0"/>
              <w:autoSpaceDN w:val="0"/>
              <w:adjustRightInd w:val="0"/>
              <w:spacing w:after="0" w:line="240" w:lineRule="auto"/>
              <w:jc w:val="both"/>
              <w:rPr>
                <w:rFonts w:ascii="Arial" w:hAnsi="Arial" w:cs="Arial"/>
                <w:b/>
                <w:bCs/>
                <w:sz w:val="18"/>
                <w:szCs w:val="18"/>
              </w:rPr>
            </w:pPr>
          </w:p>
          <w:p w14:paraId="1A05AA86"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231F33BB" w14:textId="3BCFD8CC" w:rsidR="00D7658F" w:rsidRPr="000D1C0B" w:rsidRDefault="005A0BC1" w:rsidP="00D7658F">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Elimínese el numeral 3</w:t>
            </w:r>
            <w:r w:rsidR="00900A3E" w:rsidRPr="000D1C0B">
              <w:rPr>
                <w:rFonts w:ascii="Arial" w:hAnsi="Arial" w:cs="Arial"/>
                <w:b/>
                <w:bCs/>
                <w:sz w:val="18"/>
                <w:szCs w:val="18"/>
              </w:rPr>
              <w:t xml:space="preserve">, pasando los </w:t>
            </w:r>
            <w:r w:rsidRPr="000D1C0B">
              <w:rPr>
                <w:rFonts w:ascii="Arial" w:hAnsi="Arial" w:cs="Arial"/>
                <w:b/>
                <w:bCs/>
                <w:sz w:val="18"/>
                <w:szCs w:val="18"/>
              </w:rPr>
              <w:t>numeral</w:t>
            </w:r>
            <w:r w:rsidR="00900A3E" w:rsidRPr="000D1C0B">
              <w:rPr>
                <w:rFonts w:ascii="Arial" w:hAnsi="Arial" w:cs="Arial"/>
                <w:b/>
                <w:bCs/>
                <w:sz w:val="18"/>
                <w:szCs w:val="18"/>
              </w:rPr>
              <w:t>es</w:t>
            </w:r>
            <w:r w:rsidRPr="000D1C0B">
              <w:rPr>
                <w:rFonts w:ascii="Arial" w:hAnsi="Arial" w:cs="Arial"/>
                <w:b/>
                <w:bCs/>
                <w:sz w:val="18"/>
                <w:szCs w:val="18"/>
              </w:rPr>
              <w:t xml:space="preserve"> 4 y 5 </w:t>
            </w:r>
            <w:r w:rsidR="00900A3E" w:rsidRPr="000D1C0B">
              <w:rPr>
                <w:rFonts w:ascii="Arial" w:hAnsi="Arial" w:cs="Arial"/>
                <w:b/>
                <w:bCs/>
                <w:sz w:val="18"/>
                <w:szCs w:val="18"/>
              </w:rPr>
              <w:t>a</w:t>
            </w:r>
            <w:r w:rsidRPr="000D1C0B">
              <w:rPr>
                <w:rFonts w:ascii="Arial" w:hAnsi="Arial" w:cs="Arial"/>
                <w:b/>
                <w:bCs/>
                <w:sz w:val="18"/>
                <w:szCs w:val="18"/>
              </w:rPr>
              <w:t xml:space="preserve"> </w:t>
            </w:r>
            <w:r w:rsidR="00900A3E" w:rsidRPr="000D1C0B">
              <w:rPr>
                <w:rFonts w:ascii="Arial" w:hAnsi="Arial" w:cs="Arial"/>
                <w:b/>
                <w:bCs/>
                <w:sz w:val="18"/>
                <w:szCs w:val="18"/>
              </w:rPr>
              <w:t xml:space="preserve">ser </w:t>
            </w:r>
            <w:r w:rsidRPr="000D1C0B">
              <w:rPr>
                <w:rFonts w:ascii="Arial" w:hAnsi="Arial" w:cs="Arial"/>
                <w:b/>
                <w:bCs/>
                <w:sz w:val="18"/>
                <w:szCs w:val="18"/>
              </w:rPr>
              <w:t>3 y 4</w:t>
            </w:r>
            <w:r w:rsidR="00D7658F" w:rsidRPr="000D1C0B">
              <w:rPr>
                <w:rFonts w:ascii="Arial" w:hAnsi="Arial" w:cs="Arial"/>
                <w:b/>
                <w:bCs/>
                <w:sz w:val="18"/>
                <w:szCs w:val="18"/>
              </w:rPr>
              <w:t xml:space="preserve"> </w:t>
            </w:r>
          </w:p>
          <w:p w14:paraId="0C5BA968"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1FAD779B" w14:textId="77777777" w:rsidR="007320EB" w:rsidRPr="000D1C0B" w:rsidRDefault="007320EB" w:rsidP="005A0BC1">
            <w:pPr>
              <w:autoSpaceDE w:val="0"/>
              <w:autoSpaceDN w:val="0"/>
              <w:adjustRightInd w:val="0"/>
              <w:spacing w:after="0" w:line="240" w:lineRule="auto"/>
              <w:jc w:val="both"/>
              <w:rPr>
                <w:rFonts w:ascii="Arial" w:hAnsi="Arial" w:cs="Arial"/>
                <w:sz w:val="18"/>
                <w:szCs w:val="18"/>
              </w:rPr>
            </w:pPr>
          </w:p>
          <w:p w14:paraId="0764C252" w14:textId="77777777" w:rsidR="007320EB" w:rsidRPr="000D1C0B" w:rsidRDefault="007320EB" w:rsidP="005A0BC1">
            <w:pPr>
              <w:autoSpaceDE w:val="0"/>
              <w:autoSpaceDN w:val="0"/>
              <w:adjustRightInd w:val="0"/>
              <w:spacing w:after="0" w:line="240" w:lineRule="auto"/>
              <w:jc w:val="both"/>
              <w:rPr>
                <w:rFonts w:ascii="Arial" w:hAnsi="Arial" w:cs="Arial"/>
                <w:sz w:val="18"/>
                <w:szCs w:val="18"/>
              </w:rPr>
            </w:pPr>
          </w:p>
          <w:p w14:paraId="1A62429B" w14:textId="77777777" w:rsidR="007320EB" w:rsidRPr="000D1C0B" w:rsidRDefault="007320EB" w:rsidP="005A0BC1">
            <w:pPr>
              <w:autoSpaceDE w:val="0"/>
              <w:autoSpaceDN w:val="0"/>
              <w:adjustRightInd w:val="0"/>
              <w:spacing w:after="0" w:line="240" w:lineRule="auto"/>
              <w:jc w:val="both"/>
              <w:rPr>
                <w:rFonts w:ascii="Arial" w:hAnsi="Arial" w:cs="Arial"/>
                <w:sz w:val="18"/>
                <w:szCs w:val="18"/>
              </w:rPr>
            </w:pPr>
          </w:p>
          <w:p w14:paraId="509889E6" w14:textId="77777777" w:rsidR="007320EB" w:rsidRPr="000D1C0B" w:rsidRDefault="007320EB" w:rsidP="005A0BC1">
            <w:pPr>
              <w:autoSpaceDE w:val="0"/>
              <w:autoSpaceDN w:val="0"/>
              <w:adjustRightInd w:val="0"/>
              <w:spacing w:after="0" w:line="240" w:lineRule="auto"/>
              <w:jc w:val="both"/>
              <w:rPr>
                <w:rFonts w:ascii="Arial" w:hAnsi="Arial" w:cs="Arial"/>
                <w:sz w:val="18"/>
                <w:szCs w:val="18"/>
              </w:rPr>
            </w:pPr>
          </w:p>
          <w:p w14:paraId="1CDFC512" w14:textId="1BD66013" w:rsidR="007320EB" w:rsidRPr="000D1C0B" w:rsidRDefault="007320EB" w:rsidP="005A0BC1">
            <w:pPr>
              <w:autoSpaceDE w:val="0"/>
              <w:autoSpaceDN w:val="0"/>
              <w:adjustRightInd w:val="0"/>
              <w:spacing w:after="0" w:line="240" w:lineRule="auto"/>
              <w:jc w:val="both"/>
              <w:rPr>
                <w:rFonts w:ascii="Arial" w:hAnsi="Arial" w:cs="Arial"/>
                <w:color w:val="FF0000"/>
                <w:sz w:val="18"/>
                <w:szCs w:val="18"/>
              </w:rPr>
            </w:pPr>
          </w:p>
          <w:p w14:paraId="6A005AC8" w14:textId="2A3EECF8" w:rsidR="007320EB" w:rsidRPr="000D1C0B" w:rsidRDefault="007320EB" w:rsidP="007320EB">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lastRenderedPageBreak/>
              <w:t>Remplácese el numeral 4:</w:t>
            </w:r>
          </w:p>
          <w:p w14:paraId="4B15B4C5" w14:textId="77777777" w:rsidR="00C13A5B" w:rsidRPr="000D1C0B" w:rsidRDefault="00C13A5B" w:rsidP="007320EB">
            <w:pPr>
              <w:autoSpaceDE w:val="0"/>
              <w:autoSpaceDN w:val="0"/>
              <w:adjustRightInd w:val="0"/>
              <w:spacing w:after="0" w:line="240" w:lineRule="auto"/>
              <w:jc w:val="both"/>
              <w:rPr>
                <w:rFonts w:ascii="Arial" w:hAnsi="Arial" w:cs="Arial"/>
                <w:b/>
                <w:bCs/>
                <w:sz w:val="18"/>
                <w:szCs w:val="18"/>
              </w:rPr>
            </w:pPr>
          </w:p>
          <w:p w14:paraId="6FD7250F" w14:textId="6268E451" w:rsidR="007320EB" w:rsidRPr="000D1C0B" w:rsidDel="00C51D41" w:rsidRDefault="007320EB" w:rsidP="007320EB">
            <w:pPr>
              <w:autoSpaceDE w:val="0"/>
              <w:autoSpaceDN w:val="0"/>
              <w:adjustRightInd w:val="0"/>
              <w:spacing w:after="0" w:line="240" w:lineRule="auto"/>
              <w:jc w:val="both"/>
              <w:rPr>
                <w:rFonts w:ascii="Arial" w:hAnsi="Arial" w:cs="Arial"/>
                <w:color w:val="FF0000"/>
                <w:sz w:val="18"/>
                <w:szCs w:val="18"/>
              </w:rPr>
            </w:pPr>
            <w:r w:rsidRPr="000D1C0B">
              <w:rPr>
                <w:rFonts w:ascii="Arial" w:hAnsi="Arial" w:cs="Arial"/>
                <w:color w:val="000000"/>
                <w:sz w:val="18"/>
                <w:szCs w:val="18"/>
              </w:rPr>
              <w:t>Las sociedades operadoras podrán informar la fecha y hora de realización del evento especial por los medios de comunicación que estimen convenientes. En este contexto, la sociedad operadora deberá publicitar en todos los accesos a las salas de juegos</w:t>
            </w:r>
            <w:r w:rsidR="000D1C0B">
              <w:rPr>
                <w:rFonts w:ascii="Arial" w:hAnsi="Arial" w:cs="Arial"/>
                <w:color w:val="000000"/>
                <w:sz w:val="18"/>
                <w:szCs w:val="18"/>
              </w:rPr>
              <w:t>,</w:t>
            </w:r>
            <w:r w:rsidRPr="000D1C0B">
              <w:rPr>
                <w:rFonts w:ascii="Arial" w:hAnsi="Arial" w:cs="Arial"/>
                <w:color w:val="000000"/>
                <w:sz w:val="18"/>
                <w:szCs w:val="18"/>
              </w:rPr>
              <w:t xml:space="preserve"> que se realizará el Evento Especial, indicando de manera clara y visible al público la fecha y horarios </w:t>
            </w:r>
            <w:proofErr w:type="gramStart"/>
            <w:r w:rsidRPr="000D1C0B">
              <w:rPr>
                <w:rFonts w:ascii="Arial" w:hAnsi="Arial" w:cs="Arial"/>
                <w:color w:val="000000"/>
                <w:sz w:val="18"/>
                <w:szCs w:val="18"/>
              </w:rPr>
              <w:t>del mismo</w:t>
            </w:r>
            <w:proofErr w:type="gramEnd"/>
            <w:r w:rsidRPr="000D1C0B">
              <w:rPr>
                <w:rFonts w:ascii="Arial" w:hAnsi="Arial" w:cs="Arial"/>
                <w:color w:val="000000"/>
                <w:sz w:val="18"/>
                <w:szCs w:val="18"/>
              </w:rPr>
              <w:t>.</w:t>
            </w:r>
          </w:p>
        </w:tc>
      </w:tr>
      <w:tr w:rsidR="00C033AD" w:rsidRPr="000D1C0B" w14:paraId="34BBE9B5" w14:textId="77777777" w:rsidTr="00A74791">
        <w:trPr>
          <w:trHeight w:val="512"/>
        </w:trPr>
        <w:tc>
          <w:tcPr>
            <w:tcW w:w="416" w:type="dxa"/>
          </w:tcPr>
          <w:p w14:paraId="732FF508" w14:textId="48E6C7EF" w:rsidR="005A0BC1" w:rsidRPr="000D1C0B" w:rsidRDefault="004C123A" w:rsidP="005A0BC1">
            <w:pPr>
              <w:spacing w:line="240" w:lineRule="auto"/>
              <w:jc w:val="center"/>
              <w:rPr>
                <w:rFonts w:ascii="Arial" w:hAnsi="Arial" w:cs="Arial"/>
                <w:b/>
                <w:bCs/>
                <w:spacing w:val="-3"/>
                <w:sz w:val="18"/>
                <w:szCs w:val="18"/>
              </w:rPr>
            </w:pPr>
            <w:r w:rsidRPr="000D1C0B">
              <w:rPr>
                <w:rFonts w:ascii="Arial" w:hAnsi="Arial" w:cs="Arial"/>
                <w:b/>
                <w:bCs/>
                <w:spacing w:val="-3"/>
                <w:sz w:val="18"/>
                <w:szCs w:val="18"/>
              </w:rPr>
              <w:lastRenderedPageBreak/>
              <w:t>7</w:t>
            </w:r>
          </w:p>
        </w:tc>
        <w:tc>
          <w:tcPr>
            <w:tcW w:w="1267" w:type="dxa"/>
          </w:tcPr>
          <w:p w14:paraId="750B4909" w14:textId="77777777" w:rsidR="005A0BC1" w:rsidRPr="000D1C0B" w:rsidRDefault="005A0BC1"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N°43/2013</w:t>
            </w:r>
          </w:p>
          <w:p w14:paraId="5BB8C3FA" w14:textId="77777777" w:rsidR="005A0BC1" w:rsidRPr="000D1C0B" w:rsidRDefault="005A0BC1" w:rsidP="005A0BC1">
            <w:pPr>
              <w:spacing w:line="240" w:lineRule="auto"/>
              <w:jc w:val="center"/>
              <w:rPr>
                <w:rFonts w:ascii="Arial" w:hAnsi="Arial" w:cs="Arial"/>
                <w:bCs/>
                <w:spacing w:val="-3"/>
                <w:sz w:val="18"/>
                <w:szCs w:val="18"/>
              </w:rPr>
            </w:pPr>
          </w:p>
          <w:p w14:paraId="11D82B58" w14:textId="6DB1DEAF" w:rsidR="005A0BC1" w:rsidRPr="000D1C0B" w:rsidRDefault="005A0BC1" w:rsidP="005A0BC1">
            <w:pPr>
              <w:spacing w:line="240" w:lineRule="auto"/>
              <w:jc w:val="center"/>
              <w:rPr>
                <w:rFonts w:ascii="Arial" w:hAnsi="Arial" w:cs="Arial"/>
                <w:bCs/>
                <w:spacing w:val="-3"/>
                <w:sz w:val="18"/>
                <w:szCs w:val="18"/>
              </w:rPr>
            </w:pPr>
          </w:p>
        </w:tc>
        <w:tc>
          <w:tcPr>
            <w:tcW w:w="2582" w:type="dxa"/>
          </w:tcPr>
          <w:p w14:paraId="2D039720" w14:textId="3EED1A8E" w:rsidR="005A0BC1" w:rsidRPr="000D1C0B" w:rsidRDefault="005A0BC1" w:rsidP="005A0BC1">
            <w:pPr>
              <w:spacing w:line="240" w:lineRule="auto"/>
              <w:jc w:val="both"/>
              <w:rPr>
                <w:rFonts w:ascii="Arial" w:hAnsi="Arial" w:cs="Arial"/>
                <w:bCs/>
                <w:spacing w:val="-3"/>
                <w:sz w:val="18"/>
                <w:szCs w:val="18"/>
              </w:rPr>
            </w:pPr>
          </w:p>
        </w:tc>
        <w:tc>
          <w:tcPr>
            <w:tcW w:w="3666" w:type="dxa"/>
          </w:tcPr>
          <w:p w14:paraId="787E8B5C" w14:textId="3081D0DF" w:rsidR="000C1C42" w:rsidRPr="000D1C0B" w:rsidRDefault="000C1C42" w:rsidP="005117E6">
            <w:pPr>
              <w:pStyle w:val="Default"/>
              <w:jc w:val="both"/>
              <w:rPr>
                <w:b/>
                <w:bCs/>
                <w:sz w:val="18"/>
                <w:szCs w:val="18"/>
              </w:rPr>
            </w:pPr>
            <w:r w:rsidRPr="000D1C0B">
              <w:rPr>
                <w:b/>
                <w:bCs/>
                <w:sz w:val="18"/>
                <w:szCs w:val="18"/>
              </w:rPr>
              <w:t>Tercer párrafo del numeral 1:</w:t>
            </w:r>
          </w:p>
          <w:p w14:paraId="27BBF1C3" w14:textId="7F36D97E" w:rsidR="000C1C42" w:rsidRPr="000D1C0B" w:rsidRDefault="000C1C42" w:rsidP="005117E6">
            <w:pPr>
              <w:pStyle w:val="Default"/>
              <w:jc w:val="both"/>
              <w:rPr>
                <w:sz w:val="18"/>
                <w:szCs w:val="18"/>
                <w:highlight w:val="cyan"/>
              </w:rPr>
            </w:pPr>
          </w:p>
          <w:p w14:paraId="6398B89A" w14:textId="150F2402" w:rsidR="000C1C42" w:rsidRPr="000D1C0B" w:rsidRDefault="000C1C42" w:rsidP="005117E6">
            <w:pPr>
              <w:pStyle w:val="Default"/>
              <w:jc w:val="both"/>
              <w:rPr>
                <w:sz w:val="18"/>
                <w:szCs w:val="18"/>
              </w:rPr>
            </w:pPr>
            <w:r w:rsidRPr="000D1C0B">
              <w:rPr>
                <w:sz w:val="18"/>
                <w:szCs w:val="18"/>
              </w:rPr>
              <w:t xml:space="preserve">Los documentos antes </w:t>
            </w:r>
            <w:r w:rsidRPr="000D1C0B">
              <w:rPr>
                <w:b/>
                <w:bCs/>
                <w:sz w:val="18"/>
                <w:szCs w:val="18"/>
              </w:rPr>
              <w:t>señalados deberán estar protocolizados ante Notario Público</w:t>
            </w:r>
            <w:r w:rsidRPr="000D1C0B">
              <w:rPr>
                <w:sz w:val="18"/>
                <w:szCs w:val="18"/>
              </w:rPr>
              <w:t>; en el caso de la letra c) precedente, se deberá protocolizar el documento que contiene el texto íntegro de las bases de la promoción y/o del procedimiento, según correspondiere.</w:t>
            </w:r>
          </w:p>
          <w:p w14:paraId="00E52391" w14:textId="77777777" w:rsidR="000D1C0B" w:rsidRPr="000D1C0B" w:rsidRDefault="000D1C0B" w:rsidP="005117E6">
            <w:pPr>
              <w:pStyle w:val="Default"/>
              <w:jc w:val="both"/>
              <w:rPr>
                <w:sz w:val="18"/>
                <w:szCs w:val="18"/>
                <w:highlight w:val="cyan"/>
              </w:rPr>
            </w:pPr>
          </w:p>
          <w:p w14:paraId="4F5B9AAD" w14:textId="35D26022" w:rsidR="00A4271E" w:rsidRPr="000D1C0B" w:rsidRDefault="00A4271E" w:rsidP="005117E6">
            <w:pPr>
              <w:pStyle w:val="Default"/>
              <w:jc w:val="both"/>
              <w:rPr>
                <w:b/>
                <w:bCs/>
                <w:sz w:val="18"/>
                <w:szCs w:val="18"/>
              </w:rPr>
            </w:pPr>
            <w:r w:rsidRPr="000D1C0B">
              <w:rPr>
                <w:b/>
                <w:bCs/>
                <w:sz w:val="18"/>
                <w:szCs w:val="18"/>
              </w:rPr>
              <w:t>Numeral 5:</w:t>
            </w:r>
          </w:p>
          <w:p w14:paraId="13E34120" w14:textId="62BECFCB" w:rsidR="00A4271E" w:rsidRPr="000D1C0B" w:rsidRDefault="00A4271E" w:rsidP="005117E6">
            <w:pPr>
              <w:pStyle w:val="Default"/>
              <w:jc w:val="both"/>
              <w:rPr>
                <w:sz w:val="18"/>
                <w:szCs w:val="18"/>
                <w:highlight w:val="cyan"/>
              </w:rPr>
            </w:pPr>
          </w:p>
          <w:p w14:paraId="27627265" w14:textId="3D9785D9" w:rsidR="00A4271E" w:rsidRPr="000D1C0B" w:rsidRDefault="00A4271E" w:rsidP="005117E6">
            <w:pPr>
              <w:pStyle w:val="Default"/>
              <w:jc w:val="both"/>
              <w:rPr>
                <w:sz w:val="18"/>
                <w:szCs w:val="18"/>
              </w:rPr>
            </w:pPr>
            <w:r w:rsidRPr="000D1C0B">
              <w:rPr>
                <w:sz w:val="18"/>
                <w:szCs w:val="18"/>
              </w:rPr>
              <w:t xml:space="preserve">A fin de otorgar publicidad y certeza a las condiciones de la respectiva promoción o del correspondiente procedimiento anexo, las sociedades operadoras deberán: </w:t>
            </w:r>
          </w:p>
          <w:p w14:paraId="5884D50D" w14:textId="381D39F6" w:rsidR="00A4271E" w:rsidRPr="000D1C0B" w:rsidRDefault="00A4271E" w:rsidP="003A5A55">
            <w:pPr>
              <w:pStyle w:val="Default"/>
              <w:numPr>
                <w:ilvl w:val="0"/>
                <w:numId w:val="44"/>
              </w:numPr>
              <w:jc w:val="both"/>
              <w:rPr>
                <w:sz w:val="18"/>
                <w:szCs w:val="18"/>
              </w:rPr>
            </w:pPr>
            <w:r w:rsidRPr="000D1C0B">
              <w:rPr>
                <w:sz w:val="18"/>
                <w:szCs w:val="18"/>
              </w:rPr>
              <w:t xml:space="preserve">Protocolizar ante Notario Público las bases de la promoción y/o el documento que contiene el procedimiento anexo que incide en una promoción, con anterioridad a la notificación a la Superintendencia e </w:t>
            </w:r>
            <w:r w:rsidRPr="000D1C0B">
              <w:rPr>
                <w:sz w:val="18"/>
                <w:szCs w:val="18"/>
              </w:rPr>
              <w:lastRenderedPageBreak/>
              <w:t xml:space="preserve">implementación de la promoción y/o aplicación del procedimiento; y </w:t>
            </w:r>
          </w:p>
          <w:p w14:paraId="060187AD" w14:textId="544556C7" w:rsidR="00A4271E" w:rsidRPr="000D1C0B" w:rsidRDefault="00A4271E" w:rsidP="003A5A55">
            <w:pPr>
              <w:pStyle w:val="Default"/>
              <w:ind w:left="720"/>
              <w:jc w:val="both"/>
              <w:rPr>
                <w:sz w:val="18"/>
                <w:szCs w:val="18"/>
              </w:rPr>
            </w:pPr>
          </w:p>
          <w:p w14:paraId="23C916F5" w14:textId="347F26A6" w:rsidR="00A4271E" w:rsidRPr="000D1C0B" w:rsidRDefault="00A4271E" w:rsidP="003A5A55">
            <w:pPr>
              <w:pStyle w:val="Default"/>
              <w:numPr>
                <w:ilvl w:val="0"/>
                <w:numId w:val="44"/>
              </w:numPr>
              <w:jc w:val="both"/>
              <w:rPr>
                <w:sz w:val="18"/>
                <w:szCs w:val="18"/>
              </w:rPr>
            </w:pPr>
            <w:r w:rsidRPr="000D1C0B">
              <w:rPr>
                <w:sz w:val="18"/>
                <w:szCs w:val="18"/>
              </w:rPr>
              <w:t xml:space="preserve">Mantener a disposición del público una copia íntegra y actualizada de las bases de la promoción y/o del documento que contiene el procedimiento, debidamente protocolizadas ante Notario Público, durante todo el tiempo de vigencia de aquella o de 8 aplicación de aquel, tanto en la página web del casino como en el servicio de admisión del casino de juego. </w:t>
            </w:r>
          </w:p>
          <w:p w14:paraId="6746DB7F" w14:textId="60876725" w:rsidR="00A4271E" w:rsidRPr="000D1C0B" w:rsidRDefault="00A4271E" w:rsidP="00A4271E">
            <w:pPr>
              <w:pStyle w:val="Default"/>
              <w:jc w:val="both"/>
              <w:rPr>
                <w:sz w:val="18"/>
                <w:szCs w:val="18"/>
                <w:highlight w:val="cyan"/>
              </w:rPr>
            </w:pPr>
            <w:r w:rsidRPr="000D1C0B">
              <w:rPr>
                <w:sz w:val="18"/>
                <w:szCs w:val="18"/>
              </w:rPr>
              <w:t>Las sociedades operadoras sólo podrán realizar acciones de promoción o publicitar la realización de una promoción, una vez que hayan protocolizado ante Notario Público las bases de la respectiva promoción y transcurridos 2 días contados desde la respectiva notificación a esta Superintendencia.</w:t>
            </w:r>
          </w:p>
          <w:p w14:paraId="2658BD7C" w14:textId="22C7AADE" w:rsidR="005117E6" w:rsidRPr="000D1C0B" w:rsidRDefault="005117E6" w:rsidP="005117E6">
            <w:pPr>
              <w:pStyle w:val="Default"/>
              <w:jc w:val="both"/>
              <w:rPr>
                <w:sz w:val="18"/>
                <w:szCs w:val="18"/>
                <w:highlight w:val="cyan"/>
              </w:rPr>
            </w:pPr>
          </w:p>
        </w:tc>
        <w:tc>
          <w:tcPr>
            <w:tcW w:w="5247" w:type="dxa"/>
          </w:tcPr>
          <w:p w14:paraId="71AC558F" w14:textId="5AEF661E" w:rsidR="000C1C42" w:rsidRPr="000D1C0B" w:rsidRDefault="000C1C42" w:rsidP="00FF0CAA">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lastRenderedPageBreak/>
              <w:t>Reemplácese el tercer párrafo del numeral 1:</w:t>
            </w:r>
          </w:p>
          <w:p w14:paraId="7B5B55F7" w14:textId="77777777" w:rsidR="000C1C42" w:rsidRPr="000D1C0B" w:rsidRDefault="000C1C42" w:rsidP="000C1C42">
            <w:pPr>
              <w:pStyle w:val="Default"/>
              <w:jc w:val="both"/>
              <w:rPr>
                <w:sz w:val="18"/>
                <w:szCs w:val="18"/>
                <w:highlight w:val="cyan"/>
              </w:rPr>
            </w:pPr>
          </w:p>
          <w:p w14:paraId="3A1EEC59" w14:textId="683156CA" w:rsidR="00A4271E" w:rsidRPr="000D1C0B" w:rsidRDefault="000C1C42" w:rsidP="000C1C42">
            <w:pPr>
              <w:pStyle w:val="Default"/>
              <w:jc w:val="both"/>
              <w:rPr>
                <w:sz w:val="18"/>
                <w:szCs w:val="18"/>
                <w:highlight w:val="cyan"/>
              </w:rPr>
            </w:pPr>
            <w:r w:rsidRPr="000D1C0B">
              <w:rPr>
                <w:sz w:val="18"/>
                <w:szCs w:val="18"/>
              </w:rPr>
              <w:t xml:space="preserve">Los documentos antes señalados </w:t>
            </w:r>
            <w:r w:rsidRPr="000D1C0B">
              <w:rPr>
                <w:b/>
                <w:bCs/>
                <w:sz w:val="18"/>
                <w:szCs w:val="18"/>
              </w:rPr>
              <w:t xml:space="preserve">deberán contar con firma electrónica avanzada, del </w:t>
            </w:r>
            <w:r w:rsidRPr="000D1C0B">
              <w:rPr>
                <w:rStyle w:val="cf01"/>
                <w:rFonts w:ascii="Arial" w:hAnsi="Arial" w:cs="Arial"/>
                <w:b/>
                <w:bCs/>
              </w:rPr>
              <w:t>representante legal de la sociedad operadora o de los apoderados debidamente autorizados ante esta Superintendencia</w:t>
            </w:r>
            <w:r w:rsidRPr="000D1C0B">
              <w:rPr>
                <w:sz w:val="18"/>
                <w:szCs w:val="18"/>
              </w:rPr>
              <w:t xml:space="preserve">; en el caso de la letra c) precedente, </w:t>
            </w:r>
            <w:r w:rsidR="00A4271E" w:rsidRPr="000D1C0B">
              <w:rPr>
                <w:sz w:val="18"/>
                <w:szCs w:val="18"/>
              </w:rPr>
              <w:t>el documento integro deberá contar igualmente con firma electrónica avanzada, en las mismas condiciones.</w:t>
            </w:r>
          </w:p>
          <w:p w14:paraId="524DE0CD" w14:textId="1AA0754D" w:rsidR="00A4271E" w:rsidRPr="000D1C0B" w:rsidRDefault="00A4271E" w:rsidP="000C1C42">
            <w:pPr>
              <w:pStyle w:val="Default"/>
              <w:jc w:val="both"/>
              <w:rPr>
                <w:sz w:val="18"/>
                <w:szCs w:val="18"/>
                <w:highlight w:val="cyan"/>
              </w:rPr>
            </w:pPr>
          </w:p>
          <w:p w14:paraId="378A606E" w14:textId="0E21D17C" w:rsidR="005117E6" w:rsidRPr="000D1C0B" w:rsidRDefault="000105D9" w:rsidP="005117E6">
            <w:pPr>
              <w:pStyle w:val="Default"/>
              <w:jc w:val="both"/>
              <w:rPr>
                <w:b/>
                <w:bCs/>
                <w:sz w:val="18"/>
                <w:szCs w:val="18"/>
              </w:rPr>
            </w:pPr>
            <w:r w:rsidRPr="000D1C0B">
              <w:rPr>
                <w:b/>
                <w:bCs/>
                <w:sz w:val="18"/>
                <w:szCs w:val="18"/>
              </w:rPr>
              <w:t xml:space="preserve">Reemplácese el </w:t>
            </w:r>
            <w:r w:rsidR="005117E6" w:rsidRPr="000D1C0B">
              <w:rPr>
                <w:b/>
                <w:bCs/>
                <w:sz w:val="18"/>
                <w:szCs w:val="18"/>
              </w:rPr>
              <w:t>numeral 5:</w:t>
            </w:r>
          </w:p>
          <w:p w14:paraId="52A23580" w14:textId="77777777" w:rsidR="005117E6" w:rsidRPr="000D1C0B" w:rsidRDefault="005117E6" w:rsidP="005117E6">
            <w:pPr>
              <w:pStyle w:val="Default"/>
              <w:jc w:val="both"/>
              <w:rPr>
                <w:b/>
                <w:bCs/>
                <w:sz w:val="18"/>
                <w:szCs w:val="18"/>
              </w:rPr>
            </w:pPr>
          </w:p>
          <w:p w14:paraId="1BEE4BFA" w14:textId="77777777" w:rsidR="003A5A55" w:rsidRPr="000D1C0B" w:rsidRDefault="003A5A55" w:rsidP="003A5A55">
            <w:pPr>
              <w:pStyle w:val="Default"/>
              <w:jc w:val="both"/>
              <w:rPr>
                <w:sz w:val="18"/>
                <w:szCs w:val="18"/>
              </w:rPr>
            </w:pPr>
            <w:r w:rsidRPr="000D1C0B">
              <w:rPr>
                <w:sz w:val="18"/>
                <w:szCs w:val="18"/>
              </w:rPr>
              <w:t xml:space="preserve">A fin de otorgar publicidad y certeza a las condiciones de la respectiva promoción o del correspondiente procedimiento anexo, las sociedades operadoras deberán: </w:t>
            </w:r>
          </w:p>
          <w:p w14:paraId="1FE58911" w14:textId="77777777" w:rsidR="003A5A55" w:rsidRPr="000D1C0B" w:rsidRDefault="003A5A55" w:rsidP="003A5A55">
            <w:pPr>
              <w:pStyle w:val="Default"/>
              <w:jc w:val="both"/>
              <w:rPr>
                <w:sz w:val="18"/>
                <w:szCs w:val="18"/>
              </w:rPr>
            </w:pPr>
          </w:p>
          <w:p w14:paraId="43C82372" w14:textId="223F6C00" w:rsidR="003A5A55" w:rsidRPr="000D1C0B" w:rsidRDefault="003A5A55" w:rsidP="003A5A55">
            <w:pPr>
              <w:pStyle w:val="Default"/>
              <w:numPr>
                <w:ilvl w:val="0"/>
                <w:numId w:val="45"/>
              </w:numPr>
              <w:jc w:val="both"/>
              <w:rPr>
                <w:sz w:val="18"/>
                <w:szCs w:val="18"/>
              </w:rPr>
            </w:pPr>
            <w:r w:rsidRPr="000D1C0B">
              <w:rPr>
                <w:sz w:val="18"/>
                <w:szCs w:val="18"/>
              </w:rPr>
              <w:t xml:space="preserve">Las bases de la promoción y/o el documento que contiene el procedimiento anexo que incide en una promoción deben haber sido firmadas con firma electrónica avanzada por el </w:t>
            </w:r>
            <w:r w:rsidRPr="000D1C0B">
              <w:rPr>
                <w:rStyle w:val="cf01"/>
                <w:rFonts w:ascii="Arial" w:hAnsi="Arial" w:cs="Arial"/>
              </w:rPr>
              <w:t>representante legal de la sociedad operadora o los apoderados debidamente autorizados ante esta Superintendencia</w:t>
            </w:r>
            <w:r w:rsidRPr="000D1C0B">
              <w:rPr>
                <w:sz w:val="18"/>
                <w:szCs w:val="18"/>
              </w:rPr>
              <w:t xml:space="preserve">, con anterioridad a la notificación a la Superintendencia e </w:t>
            </w:r>
            <w:r w:rsidRPr="000D1C0B">
              <w:rPr>
                <w:sz w:val="18"/>
                <w:szCs w:val="18"/>
              </w:rPr>
              <w:lastRenderedPageBreak/>
              <w:t xml:space="preserve">implementación de la promoción y/o aplicación del procedimiento; y </w:t>
            </w:r>
          </w:p>
          <w:p w14:paraId="7004B72F" w14:textId="77777777" w:rsidR="003A5A55" w:rsidRPr="000D1C0B" w:rsidRDefault="003A5A55" w:rsidP="003A5A55">
            <w:pPr>
              <w:pStyle w:val="Default"/>
              <w:ind w:left="720"/>
              <w:jc w:val="both"/>
              <w:rPr>
                <w:sz w:val="18"/>
                <w:szCs w:val="18"/>
              </w:rPr>
            </w:pPr>
          </w:p>
          <w:p w14:paraId="7FF4800E" w14:textId="58AB95A9" w:rsidR="003A5A55" w:rsidRPr="000D1C0B" w:rsidRDefault="003A5A55" w:rsidP="003A5A55">
            <w:pPr>
              <w:pStyle w:val="Default"/>
              <w:numPr>
                <w:ilvl w:val="0"/>
                <w:numId w:val="45"/>
              </w:numPr>
              <w:jc w:val="both"/>
              <w:rPr>
                <w:sz w:val="18"/>
                <w:szCs w:val="18"/>
              </w:rPr>
            </w:pPr>
            <w:r w:rsidRPr="000D1C0B">
              <w:rPr>
                <w:sz w:val="18"/>
                <w:szCs w:val="18"/>
              </w:rPr>
              <w:t xml:space="preserve">Mantener a disposición del público una copia íntegra y actualizada de las bases de la promoción y/o del documento que contiene el procedimiento, debidamente </w:t>
            </w:r>
            <w:r w:rsidR="00E85C0A" w:rsidRPr="000D1C0B">
              <w:rPr>
                <w:sz w:val="18"/>
                <w:szCs w:val="18"/>
              </w:rPr>
              <w:t>firmadas electrónicamente en los términos del literal anterior</w:t>
            </w:r>
            <w:r w:rsidRPr="000D1C0B">
              <w:rPr>
                <w:sz w:val="18"/>
                <w:szCs w:val="18"/>
              </w:rPr>
              <w:t xml:space="preserve">, durante todo el tiempo de vigencia de aquella o de 8 aplicación de aquel, tanto en la página web del casino como en el servicio de admisión del casino de juego. </w:t>
            </w:r>
          </w:p>
          <w:p w14:paraId="61E18E32" w14:textId="47DB76EC" w:rsidR="003A5A55" w:rsidRDefault="003A5A55" w:rsidP="003A5A55">
            <w:pPr>
              <w:pStyle w:val="Default"/>
              <w:ind w:left="720"/>
              <w:jc w:val="both"/>
              <w:rPr>
                <w:sz w:val="18"/>
                <w:szCs w:val="18"/>
                <w:highlight w:val="cyan"/>
              </w:rPr>
            </w:pPr>
          </w:p>
          <w:p w14:paraId="496E1905" w14:textId="1FC2B421" w:rsidR="00DF6B17" w:rsidRDefault="00DF6B17" w:rsidP="003A5A55">
            <w:pPr>
              <w:pStyle w:val="Default"/>
              <w:ind w:left="720"/>
              <w:jc w:val="both"/>
              <w:rPr>
                <w:sz w:val="18"/>
                <w:szCs w:val="18"/>
                <w:highlight w:val="cyan"/>
              </w:rPr>
            </w:pPr>
          </w:p>
          <w:p w14:paraId="0B850B44" w14:textId="0A0DE8CD" w:rsidR="00DF6B17" w:rsidRDefault="00DF6B17" w:rsidP="003A5A55">
            <w:pPr>
              <w:pStyle w:val="Default"/>
              <w:ind w:left="720"/>
              <w:jc w:val="both"/>
              <w:rPr>
                <w:sz w:val="18"/>
                <w:szCs w:val="18"/>
                <w:highlight w:val="cyan"/>
              </w:rPr>
            </w:pPr>
          </w:p>
          <w:p w14:paraId="52A8C3AF" w14:textId="2F67E7CB" w:rsidR="00DF6B17" w:rsidRDefault="00DF6B17" w:rsidP="003A5A55">
            <w:pPr>
              <w:pStyle w:val="Default"/>
              <w:ind w:left="720"/>
              <w:jc w:val="both"/>
              <w:rPr>
                <w:sz w:val="18"/>
                <w:szCs w:val="18"/>
                <w:highlight w:val="cyan"/>
              </w:rPr>
            </w:pPr>
          </w:p>
          <w:p w14:paraId="40341AB5" w14:textId="77777777" w:rsidR="00DF6B17" w:rsidRPr="000D1C0B" w:rsidRDefault="00DF6B17" w:rsidP="003A5A55">
            <w:pPr>
              <w:pStyle w:val="Default"/>
              <w:ind w:left="720"/>
              <w:jc w:val="both"/>
              <w:rPr>
                <w:sz w:val="18"/>
                <w:szCs w:val="18"/>
                <w:highlight w:val="cyan"/>
              </w:rPr>
            </w:pPr>
          </w:p>
          <w:p w14:paraId="251910C6" w14:textId="3D79720D" w:rsidR="003A5A55" w:rsidRPr="000D1C0B" w:rsidRDefault="003A5A55" w:rsidP="003A5A55">
            <w:pPr>
              <w:pStyle w:val="Default"/>
              <w:jc w:val="both"/>
              <w:rPr>
                <w:sz w:val="18"/>
                <w:szCs w:val="18"/>
                <w:highlight w:val="cyan"/>
              </w:rPr>
            </w:pPr>
            <w:r w:rsidRPr="000D1C0B">
              <w:rPr>
                <w:sz w:val="18"/>
                <w:szCs w:val="18"/>
              </w:rPr>
              <w:t xml:space="preserve">Las sociedades operadoras sólo podrán realizar acciones de promoción o publicitar la realización de una promoción, una vez que </w:t>
            </w:r>
            <w:r w:rsidR="00E85C0A" w:rsidRPr="000D1C0B">
              <w:rPr>
                <w:sz w:val="18"/>
                <w:szCs w:val="18"/>
              </w:rPr>
              <w:t>las bases hayan sido</w:t>
            </w:r>
            <w:r w:rsidRPr="000D1C0B">
              <w:rPr>
                <w:sz w:val="18"/>
                <w:szCs w:val="18"/>
              </w:rPr>
              <w:t xml:space="preserve"> </w:t>
            </w:r>
            <w:r w:rsidR="00E85C0A" w:rsidRPr="000D1C0B">
              <w:rPr>
                <w:sz w:val="18"/>
                <w:szCs w:val="18"/>
              </w:rPr>
              <w:t>suscritas con firma electrónica avanzada</w:t>
            </w:r>
            <w:r w:rsidRPr="000D1C0B">
              <w:rPr>
                <w:sz w:val="18"/>
                <w:szCs w:val="18"/>
              </w:rPr>
              <w:t>.</w:t>
            </w:r>
          </w:p>
          <w:p w14:paraId="6780013A" w14:textId="55982D7B" w:rsidR="008910D6" w:rsidRPr="000D1C0B" w:rsidDel="00C51D41" w:rsidRDefault="008910D6" w:rsidP="005117E6">
            <w:pPr>
              <w:autoSpaceDE w:val="0"/>
              <w:autoSpaceDN w:val="0"/>
              <w:adjustRightInd w:val="0"/>
              <w:spacing w:after="0" w:line="240" w:lineRule="auto"/>
              <w:jc w:val="both"/>
              <w:rPr>
                <w:rFonts w:ascii="Arial" w:hAnsi="Arial" w:cs="Arial"/>
                <w:b/>
                <w:bCs/>
                <w:color w:val="FF0000"/>
                <w:sz w:val="18"/>
                <w:szCs w:val="18"/>
                <w:highlight w:val="cyan"/>
              </w:rPr>
            </w:pPr>
          </w:p>
        </w:tc>
      </w:tr>
      <w:tr w:rsidR="00C033AD" w:rsidRPr="000D1C0B" w14:paraId="2FA295E0" w14:textId="77777777" w:rsidTr="00A74791">
        <w:trPr>
          <w:trHeight w:val="512"/>
        </w:trPr>
        <w:tc>
          <w:tcPr>
            <w:tcW w:w="416" w:type="dxa"/>
          </w:tcPr>
          <w:p w14:paraId="7FE5D793" w14:textId="4936FEE2" w:rsidR="005A0BC1" w:rsidRPr="000D1C0B" w:rsidRDefault="004C123A" w:rsidP="005A0BC1">
            <w:pPr>
              <w:spacing w:line="240" w:lineRule="auto"/>
              <w:jc w:val="center"/>
              <w:rPr>
                <w:rFonts w:ascii="Arial" w:hAnsi="Arial" w:cs="Arial"/>
                <w:spacing w:val="-3"/>
                <w:sz w:val="18"/>
                <w:szCs w:val="18"/>
              </w:rPr>
            </w:pPr>
            <w:r w:rsidRPr="000D1C0B">
              <w:rPr>
                <w:rFonts w:ascii="Arial" w:hAnsi="Arial" w:cs="Arial"/>
                <w:spacing w:val="-3"/>
                <w:sz w:val="18"/>
                <w:szCs w:val="18"/>
              </w:rPr>
              <w:lastRenderedPageBreak/>
              <w:t>8</w:t>
            </w:r>
          </w:p>
        </w:tc>
        <w:tc>
          <w:tcPr>
            <w:tcW w:w="1267" w:type="dxa"/>
          </w:tcPr>
          <w:p w14:paraId="2F8C0F0D" w14:textId="77777777" w:rsidR="005A0BC1" w:rsidRPr="000D1C0B" w:rsidRDefault="005A0BC1"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N°94/2018</w:t>
            </w:r>
          </w:p>
        </w:tc>
        <w:tc>
          <w:tcPr>
            <w:tcW w:w="2582" w:type="dxa"/>
          </w:tcPr>
          <w:p w14:paraId="2B2A27E3" w14:textId="77777777" w:rsidR="005A0BC1" w:rsidRPr="000D1C0B" w:rsidRDefault="005A0BC1" w:rsidP="005A0BC1">
            <w:pPr>
              <w:spacing w:line="240" w:lineRule="auto"/>
              <w:jc w:val="both"/>
              <w:rPr>
                <w:rFonts w:ascii="Arial" w:hAnsi="Arial" w:cs="Arial"/>
                <w:bCs/>
                <w:spacing w:val="-3"/>
                <w:sz w:val="18"/>
                <w:szCs w:val="18"/>
              </w:rPr>
            </w:pPr>
            <w:r w:rsidRPr="000D1C0B">
              <w:rPr>
                <w:rFonts w:ascii="Arial" w:hAnsi="Arial" w:cs="Arial"/>
                <w:bCs/>
                <w:spacing w:val="-3"/>
                <w:sz w:val="18"/>
                <w:szCs w:val="18"/>
              </w:rPr>
              <w:t>Notificación de sistema CCTV</w:t>
            </w:r>
          </w:p>
        </w:tc>
        <w:tc>
          <w:tcPr>
            <w:tcW w:w="3666" w:type="dxa"/>
          </w:tcPr>
          <w:p w14:paraId="0B48F1DB" w14:textId="44A25EED" w:rsidR="005A0BC1" w:rsidRPr="000D1C0B" w:rsidRDefault="005A0BC1" w:rsidP="005A0BC1">
            <w:pPr>
              <w:pStyle w:val="Default"/>
              <w:numPr>
                <w:ilvl w:val="0"/>
                <w:numId w:val="30"/>
              </w:numPr>
              <w:jc w:val="both"/>
              <w:rPr>
                <w:b/>
                <w:bCs/>
                <w:sz w:val="18"/>
                <w:szCs w:val="18"/>
              </w:rPr>
            </w:pPr>
            <w:r w:rsidRPr="000D1C0B">
              <w:rPr>
                <w:b/>
                <w:bCs/>
                <w:sz w:val="18"/>
                <w:szCs w:val="18"/>
              </w:rPr>
              <w:t>Tercer párrafo del numeral 6:</w:t>
            </w:r>
          </w:p>
          <w:p w14:paraId="08730F7E" w14:textId="77777777" w:rsidR="005A0BC1" w:rsidRPr="000D1C0B" w:rsidRDefault="005A0BC1" w:rsidP="005A0BC1">
            <w:pPr>
              <w:pStyle w:val="Default"/>
              <w:numPr>
                <w:ilvl w:val="0"/>
                <w:numId w:val="30"/>
              </w:numPr>
              <w:jc w:val="both"/>
              <w:rPr>
                <w:sz w:val="18"/>
                <w:szCs w:val="18"/>
              </w:rPr>
            </w:pPr>
          </w:p>
          <w:p w14:paraId="4125F957" w14:textId="377DAE0C" w:rsidR="00846932" w:rsidRPr="000D1C0B" w:rsidRDefault="005A0BC1" w:rsidP="00900A3E">
            <w:pPr>
              <w:pStyle w:val="Default"/>
              <w:numPr>
                <w:ilvl w:val="0"/>
                <w:numId w:val="30"/>
              </w:numPr>
              <w:jc w:val="both"/>
              <w:rPr>
                <w:sz w:val="18"/>
                <w:szCs w:val="18"/>
              </w:rPr>
            </w:pPr>
            <w:r w:rsidRPr="000D1C0B">
              <w:rPr>
                <w:sz w:val="18"/>
                <w:szCs w:val="18"/>
              </w:rPr>
              <w:t xml:space="preserve">Con respecto al aumento, disminución o modificación de equipamiento de CCTV, las sociedades operadoras deberán enviar a la Superintendencia dentro de los </w:t>
            </w:r>
            <w:r w:rsidRPr="000D1C0B">
              <w:rPr>
                <w:b/>
                <w:bCs/>
                <w:sz w:val="18"/>
                <w:szCs w:val="18"/>
              </w:rPr>
              <w:t>10 días corridos contados</w:t>
            </w:r>
            <w:r w:rsidRPr="000D1C0B">
              <w:rPr>
                <w:sz w:val="18"/>
                <w:szCs w:val="18"/>
              </w:rPr>
              <w:t xml:space="preserve"> desde realizada la implementación, el listado actualizado de cámaras del sistema CCTV a través del Anexo N°1.</w:t>
            </w:r>
          </w:p>
        </w:tc>
        <w:tc>
          <w:tcPr>
            <w:tcW w:w="5247" w:type="dxa"/>
          </w:tcPr>
          <w:p w14:paraId="3FCBF6E2" w14:textId="08650BAE" w:rsidR="005A0BC1" w:rsidRPr="000D1C0B" w:rsidRDefault="005A0BC1" w:rsidP="005A0BC1">
            <w:pPr>
              <w:spacing w:after="0" w:line="240" w:lineRule="auto"/>
              <w:jc w:val="both"/>
              <w:rPr>
                <w:rFonts w:ascii="Arial" w:hAnsi="Arial" w:cs="Arial"/>
                <w:b/>
                <w:bCs/>
                <w:sz w:val="18"/>
                <w:szCs w:val="18"/>
              </w:rPr>
            </w:pPr>
            <w:r w:rsidRPr="000D1C0B">
              <w:rPr>
                <w:rFonts w:ascii="Arial" w:hAnsi="Arial" w:cs="Arial"/>
                <w:b/>
                <w:bCs/>
                <w:sz w:val="18"/>
                <w:szCs w:val="18"/>
              </w:rPr>
              <w:t>Reemplácese el tercer párrafo del numeral 6:</w:t>
            </w:r>
          </w:p>
          <w:p w14:paraId="0ECB0C81" w14:textId="77777777" w:rsidR="005A0BC1" w:rsidRPr="000D1C0B" w:rsidRDefault="005A0BC1" w:rsidP="005A0BC1">
            <w:pPr>
              <w:spacing w:after="0" w:line="240" w:lineRule="auto"/>
              <w:jc w:val="both"/>
              <w:rPr>
                <w:rFonts w:ascii="Arial" w:hAnsi="Arial" w:cs="Arial"/>
                <w:sz w:val="18"/>
                <w:szCs w:val="18"/>
              </w:rPr>
            </w:pPr>
          </w:p>
          <w:p w14:paraId="1EAB6085" w14:textId="50E500A8" w:rsidR="005A0BC1" w:rsidRPr="000D1C0B" w:rsidDel="00C51D41" w:rsidRDefault="005A0BC1" w:rsidP="005A0BC1">
            <w:pPr>
              <w:spacing w:after="0" w:line="240" w:lineRule="auto"/>
              <w:jc w:val="both"/>
              <w:rPr>
                <w:rFonts w:ascii="Arial" w:hAnsi="Arial" w:cs="Arial"/>
                <w:b/>
                <w:bCs/>
                <w:color w:val="FF0000"/>
                <w:sz w:val="18"/>
                <w:szCs w:val="18"/>
              </w:rPr>
            </w:pPr>
            <w:r w:rsidRPr="000D1C0B">
              <w:rPr>
                <w:rFonts w:ascii="Arial" w:hAnsi="Arial" w:cs="Arial"/>
                <w:sz w:val="18"/>
                <w:szCs w:val="18"/>
              </w:rPr>
              <w:t xml:space="preserve">Con respecto al aumento, disminución o modificación de equipamiento de CCTV, las sociedades operadoras deberán enviar a la Superintendencia </w:t>
            </w:r>
            <w:r w:rsidRPr="000D1C0B">
              <w:rPr>
                <w:rFonts w:ascii="Arial" w:hAnsi="Arial" w:cs="Arial"/>
                <w:b/>
                <w:bCs/>
                <w:sz w:val="18"/>
                <w:szCs w:val="18"/>
              </w:rPr>
              <w:t>máximo 10 días hábiles contados</w:t>
            </w:r>
            <w:r w:rsidRPr="000D1C0B">
              <w:rPr>
                <w:rFonts w:ascii="Arial" w:hAnsi="Arial" w:cs="Arial"/>
                <w:sz w:val="18"/>
                <w:szCs w:val="18"/>
              </w:rPr>
              <w:t xml:space="preserve"> desde realizada la implementación, el listado actualizado de cámaras del sistema CCTV a través del Anexo N°1.</w:t>
            </w:r>
          </w:p>
        </w:tc>
      </w:tr>
      <w:tr w:rsidR="00C033AD" w:rsidRPr="000D1C0B" w14:paraId="3B51A6F2" w14:textId="77777777" w:rsidTr="00A74791">
        <w:trPr>
          <w:trHeight w:val="512"/>
        </w:trPr>
        <w:tc>
          <w:tcPr>
            <w:tcW w:w="416" w:type="dxa"/>
          </w:tcPr>
          <w:p w14:paraId="5005E412" w14:textId="01E739A6" w:rsidR="005A0BC1" w:rsidRPr="000D1C0B" w:rsidRDefault="004C123A" w:rsidP="005A0BC1">
            <w:pPr>
              <w:spacing w:line="240" w:lineRule="auto"/>
              <w:jc w:val="center"/>
              <w:rPr>
                <w:rFonts w:ascii="Arial" w:hAnsi="Arial" w:cs="Arial"/>
                <w:b/>
                <w:bCs/>
                <w:spacing w:val="-3"/>
                <w:sz w:val="18"/>
                <w:szCs w:val="18"/>
              </w:rPr>
            </w:pPr>
            <w:r w:rsidRPr="000D1C0B">
              <w:rPr>
                <w:rFonts w:ascii="Arial" w:hAnsi="Arial" w:cs="Arial"/>
                <w:bCs/>
                <w:spacing w:val="-3"/>
                <w:sz w:val="18"/>
                <w:szCs w:val="18"/>
              </w:rPr>
              <w:t>9</w:t>
            </w:r>
          </w:p>
        </w:tc>
        <w:tc>
          <w:tcPr>
            <w:tcW w:w="1267" w:type="dxa"/>
          </w:tcPr>
          <w:p w14:paraId="217E7653" w14:textId="77777777" w:rsidR="005A0BC1" w:rsidRPr="000D1C0B" w:rsidRDefault="005A0BC1"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N°102/2019</w:t>
            </w:r>
          </w:p>
          <w:p w14:paraId="765F3774" w14:textId="77777777" w:rsidR="005A0BC1" w:rsidRPr="000D1C0B" w:rsidRDefault="005A0BC1"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t xml:space="preserve"> modificada por</w:t>
            </w:r>
          </w:p>
          <w:p w14:paraId="07410924" w14:textId="2A1B5A2D" w:rsidR="005A0BC1" w:rsidRPr="000D1C0B" w:rsidRDefault="005A0BC1"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lastRenderedPageBreak/>
              <w:t>Circular N°122/2021</w:t>
            </w:r>
          </w:p>
        </w:tc>
        <w:tc>
          <w:tcPr>
            <w:tcW w:w="2582" w:type="dxa"/>
          </w:tcPr>
          <w:p w14:paraId="6508560F" w14:textId="77777777" w:rsidR="005A0BC1" w:rsidRPr="000D1C0B" w:rsidRDefault="005A0BC1" w:rsidP="005A0BC1">
            <w:pPr>
              <w:spacing w:line="240" w:lineRule="auto"/>
              <w:jc w:val="both"/>
              <w:rPr>
                <w:rFonts w:ascii="Arial" w:hAnsi="Arial" w:cs="Arial"/>
                <w:bCs/>
                <w:spacing w:val="-3"/>
                <w:sz w:val="18"/>
                <w:szCs w:val="18"/>
              </w:rPr>
            </w:pPr>
            <w:r w:rsidRPr="000D1C0B">
              <w:rPr>
                <w:rFonts w:ascii="Arial" w:hAnsi="Arial" w:cs="Arial"/>
                <w:bCs/>
                <w:spacing w:val="-3"/>
                <w:sz w:val="18"/>
                <w:szCs w:val="18"/>
              </w:rPr>
              <w:lastRenderedPageBreak/>
              <w:t>Notificación de coordinador/a y/o usuarios/as del sistema de autoexclusión voluntaria de jugadores/as</w:t>
            </w:r>
          </w:p>
        </w:tc>
        <w:tc>
          <w:tcPr>
            <w:tcW w:w="3666" w:type="dxa"/>
          </w:tcPr>
          <w:p w14:paraId="0BDA6F32" w14:textId="08394FB0" w:rsidR="005A0BC1" w:rsidRPr="000D1C0B" w:rsidRDefault="009C762D" w:rsidP="009C762D">
            <w:pPr>
              <w:pStyle w:val="Default"/>
              <w:jc w:val="both"/>
              <w:rPr>
                <w:b/>
                <w:bCs/>
                <w:sz w:val="18"/>
                <w:szCs w:val="18"/>
              </w:rPr>
            </w:pPr>
            <w:r w:rsidRPr="000D1C0B">
              <w:rPr>
                <w:b/>
                <w:bCs/>
                <w:sz w:val="18"/>
                <w:szCs w:val="18"/>
              </w:rPr>
              <w:t>Literal c del n</w:t>
            </w:r>
            <w:r w:rsidR="005A0BC1" w:rsidRPr="000D1C0B">
              <w:rPr>
                <w:b/>
                <w:bCs/>
                <w:sz w:val="18"/>
                <w:szCs w:val="18"/>
              </w:rPr>
              <w:t xml:space="preserve">umeral </w:t>
            </w:r>
            <w:r w:rsidR="00B33824" w:rsidRPr="000D1C0B">
              <w:rPr>
                <w:b/>
                <w:bCs/>
                <w:sz w:val="18"/>
                <w:szCs w:val="18"/>
              </w:rPr>
              <w:t>8</w:t>
            </w:r>
            <w:r w:rsidR="005A0BC1" w:rsidRPr="000D1C0B">
              <w:rPr>
                <w:b/>
                <w:bCs/>
                <w:sz w:val="18"/>
                <w:szCs w:val="18"/>
              </w:rPr>
              <w:t>:</w:t>
            </w:r>
          </w:p>
          <w:p w14:paraId="55E87A4C" w14:textId="77777777" w:rsidR="005A0BC1" w:rsidRPr="000D1C0B" w:rsidRDefault="005A0BC1" w:rsidP="005A0BC1">
            <w:pPr>
              <w:pStyle w:val="Default"/>
              <w:numPr>
                <w:ilvl w:val="0"/>
                <w:numId w:val="30"/>
              </w:numPr>
              <w:jc w:val="both"/>
              <w:rPr>
                <w:sz w:val="18"/>
                <w:szCs w:val="18"/>
              </w:rPr>
            </w:pPr>
          </w:p>
          <w:p w14:paraId="52A8AB19" w14:textId="18061FB5" w:rsidR="005A0BC1" w:rsidRPr="000D1C0B" w:rsidRDefault="005A0BC1" w:rsidP="005A0BC1">
            <w:pPr>
              <w:pStyle w:val="Default"/>
              <w:numPr>
                <w:ilvl w:val="0"/>
                <w:numId w:val="30"/>
              </w:numPr>
              <w:jc w:val="both"/>
              <w:rPr>
                <w:sz w:val="18"/>
                <w:szCs w:val="18"/>
              </w:rPr>
            </w:pPr>
            <w:r w:rsidRPr="000D1C0B">
              <w:rPr>
                <w:sz w:val="18"/>
                <w:szCs w:val="18"/>
              </w:rPr>
              <w:t xml:space="preserve">Las sociedades operadoras y concesionarias de casinos municipales, </w:t>
            </w:r>
            <w:r w:rsidRPr="000D1C0B">
              <w:rPr>
                <w:sz w:val="18"/>
                <w:szCs w:val="18"/>
              </w:rPr>
              <w:lastRenderedPageBreak/>
              <w:t xml:space="preserve">deberán nombrar formalmente un coordinador para el debido tratamiento de la base de datos, cuya designación deberá ser informada a la Superintendencia con la </w:t>
            </w:r>
            <w:proofErr w:type="gramStart"/>
            <w:r w:rsidRPr="000D1C0B">
              <w:rPr>
                <w:sz w:val="18"/>
                <w:szCs w:val="18"/>
              </w:rPr>
              <w:t>entrada en vigencia</w:t>
            </w:r>
            <w:proofErr w:type="gramEnd"/>
            <w:r w:rsidRPr="000D1C0B">
              <w:rPr>
                <w:sz w:val="18"/>
                <w:szCs w:val="18"/>
              </w:rPr>
              <w:t xml:space="preserve"> de esta circular y cada vez que sea modificado, dentro de </w:t>
            </w:r>
            <w:r w:rsidRPr="000D1C0B">
              <w:rPr>
                <w:b/>
                <w:bCs/>
                <w:sz w:val="18"/>
                <w:szCs w:val="18"/>
              </w:rPr>
              <w:t>dos días hábiles</w:t>
            </w:r>
            <w:r w:rsidRPr="000D1C0B">
              <w:rPr>
                <w:sz w:val="18"/>
                <w:szCs w:val="18"/>
              </w:rPr>
              <w:t xml:space="preserve"> desde su designación.</w:t>
            </w:r>
          </w:p>
        </w:tc>
        <w:tc>
          <w:tcPr>
            <w:tcW w:w="5247" w:type="dxa"/>
          </w:tcPr>
          <w:p w14:paraId="6760B6D2" w14:textId="56124497" w:rsidR="005A0BC1" w:rsidRPr="000D1C0B" w:rsidRDefault="005A0BC1" w:rsidP="005A0BC1">
            <w:pPr>
              <w:spacing w:after="0" w:line="240" w:lineRule="auto"/>
              <w:jc w:val="both"/>
              <w:rPr>
                <w:rFonts w:ascii="Arial" w:hAnsi="Arial" w:cs="Arial"/>
                <w:b/>
                <w:bCs/>
                <w:sz w:val="18"/>
                <w:szCs w:val="18"/>
              </w:rPr>
            </w:pPr>
            <w:r w:rsidRPr="000D1C0B">
              <w:rPr>
                <w:rFonts w:ascii="Arial" w:hAnsi="Arial" w:cs="Arial"/>
                <w:b/>
                <w:bCs/>
                <w:sz w:val="18"/>
                <w:szCs w:val="18"/>
              </w:rPr>
              <w:lastRenderedPageBreak/>
              <w:t xml:space="preserve">Reemplácese el </w:t>
            </w:r>
            <w:r w:rsidR="009C762D" w:rsidRPr="000D1C0B">
              <w:rPr>
                <w:rFonts w:ascii="Arial" w:hAnsi="Arial" w:cs="Arial"/>
                <w:b/>
                <w:bCs/>
                <w:sz w:val="18"/>
                <w:szCs w:val="18"/>
              </w:rPr>
              <w:t xml:space="preserve">literal c del </w:t>
            </w:r>
            <w:r w:rsidRPr="000D1C0B">
              <w:rPr>
                <w:rFonts w:ascii="Arial" w:hAnsi="Arial" w:cs="Arial"/>
                <w:b/>
                <w:bCs/>
                <w:sz w:val="18"/>
                <w:szCs w:val="18"/>
              </w:rPr>
              <w:t xml:space="preserve">numeral </w:t>
            </w:r>
            <w:r w:rsidR="00B33824" w:rsidRPr="000D1C0B">
              <w:rPr>
                <w:rFonts w:ascii="Arial" w:hAnsi="Arial" w:cs="Arial"/>
                <w:b/>
                <w:bCs/>
                <w:sz w:val="18"/>
                <w:szCs w:val="18"/>
              </w:rPr>
              <w:t>8</w:t>
            </w:r>
            <w:r w:rsidRPr="000D1C0B">
              <w:rPr>
                <w:rFonts w:ascii="Arial" w:hAnsi="Arial" w:cs="Arial"/>
                <w:b/>
                <w:bCs/>
                <w:sz w:val="18"/>
                <w:szCs w:val="18"/>
              </w:rPr>
              <w:t>:</w:t>
            </w:r>
          </w:p>
          <w:p w14:paraId="04527BAC" w14:textId="77777777" w:rsidR="005A0BC1" w:rsidRPr="000D1C0B" w:rsidRDefault="005A0BC1" w:rsidP="005A0BC1">
            <w:pPr>
              <w:spacing w:after="0" w:line="240" w:lineRule="auto"/>
              <w:jc w:val="both"/>
              <w:rPr>
                <w:rFonts w:ascii="Arial" w:hAnsi="Arial" w:cs="Arial"/>
                <w:sz w:val="18"/>
                <w:szCs w:val="18"/>
              </w:rPr>
            </w:pPr>
          </w:p>
          <w:p w14:paraId="6B5F1FBE" w14:textId="2D2D7EDE" w:rsidR="005A0BC1" w:rsidRPr="000D1C0B" w:rsidDel="00C51D41" w:rsidRDefault="005A0BC1" w:rsidP="005A0BC1">
            <w:pPr>
              <w:spacing w:after="0" w:line="240" w:lineRule="auto"/>
              <w:jc w:val="both"/>
              <w:rPr>
                <w:rFonts w:ascii="Arial" w:hAnsi="Arial" w:cs="Arial"/>
                <w:b/>
                <w:bCs/>
                <w:color w:val="FF0000"/>
                <w:sz w:val="18"/>
                <w:szCs w:val="18"/>
              </w:rPr>
            </w:pPr>
            <w:r w:rsidRPr="000D1C0B">
              <w:rPr>
                <w:rFonts w:ascii="Arial" w:hAnsi="Arial" w:cs="Arial"/>
                <w:sz w:val="18"/>
                <w:szCs w:val="18"/>
              </w:rPr>
              <w:t xml:space="preserve">Las sociedades operadoras y concesionarias de casinos municipales, deberán nombrar formalmente un coordinador </w:t>
            </w:r>
            <w:r w:rsidRPr="000D1C0B">
              <w:rPr>
                <w:rFonts w:ascii="Arial" w:hAnsi="Arial" w:cs="Arial"/>
                <w:sz w:val="18"/>
                <w:szCs w:val="18"/>
              </w:rPr>
              <w:lastRenderedPageBreak/>
              <w:t xml:space="preserve">para el debido tratamiento de la base de datos, cuya designación deberá ser informada a la Superintendencia con la </w:t>
            </w:r>
            <w:proofErr w:type="gramStart"/>
            <w:r w:rsidRPr="000D1C0B">
              <w:rPr>
                <w:rFonts w:ascii="Arial" w:hAnsi="Arial" w:cs="Arial"/>
                <w:sz w:val="18"/>
                <w:szCs w:val="18"/>
              </w:rPr>
              <w:t>entrada en vigencia</w:t>
            </w:r>
            <w:proofErr w:type="gramEnd"/>
            <w:r w:rsidRPr="000D1C0B">
              <w:rPr>
                <w:rFonts w:ascii="Arial" w:hAnsi="Arial" w:cs="Arial"/>
                <w:sz w:val="18"/>
                <w:szCs w:val="18"/>
              </w:rPr>
              <w:t xml:space="preserve"> de esta circular y cada vez que sea modificado, </w:t>
            </w:r>
            <w:r w:rsidR="006455BF" w:rsidRPr="000D1C0B">
              <w:rPr>
                <w:rFonts w:ascii="Arial" w:hAnsi="Arial" w:cs="Arial"/>
                <w:b/>
                <w:bCs/>
                <w:sz w:val="18"/>
                <w:szCs w:val="18"/>
              </w:rPr>
              <w:t xml:space="preserve">dentro de </w:t>
            </w:r>
            <w:r w:rsidR="00E85C0A" w:rsidRPr="000D1C0B">
              <w:rPr>
                <w:rFonts w:ascii="Arial" w:hAnsi="Arial" w:cs="Arial"/>
                <w:b/>
                <w:bCs/>
                <w:sz w:val="18"/>
                <w:szCs w:val="18"/>
              </w:rPr>
              <w:t>3</w:t>
            </w:r>
            <w:r w:rsidRPr="000D1C0B">
              <w:rPr>
                <w:rFonts w:ascii="Arial" w:hAnsi="Arial" w:cs="Arial"/>
                <w:b/>
                <w:bCs/>
                <w:sz w:val="18"/>
                <w:szCs w:val="18"/>
              </w:rPr>
              <w:t xml:space="preserve"> día</w:t>
            </w:r>
            <w:r w:rsidR="006455BF" w:rsidRPr="000D1C0B">
              <w:rPr>
                <w:rFonts w:ascii="Arial" w:hAnsi="Arial" w:cs="Arial"/>
                <w:b/>
                <w:bCs/>
                <w:sz w:val="18"/>
                <w:szCs w:val="18"/>
              </w:rPr>
              <w:t>s</w:t>
            </w:r>
            <w:r w:rsidRPr="000D1C0B">
              <w:rPr>
                <w:rFonts w:ascii="Arial" w:hAnsi="Arial" w:cs="Arial"/>
                <w:b/>
                <w:bCs/>
                <w:sz w:val="18"/>
                <w:szCs w:val="18"/>
              </w:rPr>
              <w:t xml:space="preserve"> hábil</w:t>
            </w:r>
            <w:r w:rsidR="006455BF" w:rsidRPr="000D1C0B">
              <w:rPr>
                <w:rFonts w:ascii="Arial" w:hAnsi="Arial" w:cs="Arial"/>
                <w:b/>
                <w:bCs/>
                <w:sz w:val="18"/>
                <w:szCs w:val="18"/>
              </w:rPr>
              <w:t>es</w:t>
            </w:r>
            <w:r w:rsidRPr="000D1C0B">
              <w:rPr>
                <w:rFonts w:ascii="Arial" w:hAnsi="Arial" w:cs="Arial"/>
                <w:b/>
                <w:bCs/>
                <w:sz w:val="18"/>
                <w:szCs w:val="18"/>
              </w:rPr>
              <w:t xml:space="preserve"> </w:t>
            </w:r>
            <w:r w:rsidRPr="000D1C0B">
              <w:rPr>
                <w:rFonts w:ascii="Arial" w:hAnsi="Arial" w:cs="Arial"/>
                <w:sz w:val="18"/>
                <w:szCs w:val="18"/>
              </w:rPr>
              <w:t>desde su designación.</w:t>
            </w:r>
          </w:p>
        </w:tc>
      </w:tr>
      <w:tr w:rsidR="00C033AD" w:rsidRPr="000D1C0B" w14:paraId="0FAD4776" w14:textId="77777777" w:rsidTr="00A74791">
        <w:trPr>
          <w:trHeight w:val="1684"/>
        </w:trPr>
        <w:tc>
          <w:tcPr>
            <w:tcW w:w="416" w:type="dxa"/>
          </w:tcPr>
          <w:p w14:paraId="69184151" w14:textId="473E0714" w:rsidR="005A0BC1" w:rsidRPr="000D1C0B" w:rsidRDefault="00D74070"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lastRenderedPageBreak/>
              <w:t>1</w:t>
            </w:r>
            <w:r w:rsidR="004C123A" w:rsidRPr="000D1C0B">
              <w:rPr>
                <w:rFonts w:ascii="Arial" w:hAnsi="Arial" w:cs="Arial"/>
                <w:bCs/>
                <w:spacing w:val="-3"/>
                <w:sz w:val="18"/>
                <w:szCs w:val="18"/>
              </w:rPr>
              <w:t>0</w:t>
            </w:r>
          </w:p>
        </w:tc>
        <w:tc>
          <w:tcPr>
            <w:tcW w:w="1267" w:type="dxa"/>
          </w:tcPr>
          <w:p w14:paraId="087A71C5" w14:textId="618888AB" w:rsidR="005A0BC1" w:rsidRPr="000D1C0B" w:rsidRDefault="005A0BC1"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N°102/2019</w:t>
            </w:r>
          </w:p>
          <w:p w14:paraId="5C6B38A1" w14:textId="0B84F4F3" w:rsidR="005A0BC1" w:rsidRPr="000D1C0B" w:rsidRDefault="005A0BC1"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t xml:space="preserve"> modificada por</w:t>
            </w:r>
          </w:p>
          <w:p w14:paraId="628EA547" w14:textId="7A4B7E7F" w:rsidR="005A0BC1" w:rsidRPr="000D1C0B" w:rsidRDefault="005A0BC1"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N°122/2021</w:t>
            </w:r>
          </w:p>
        </w:tc>
        <w:tc>
          <w:tcPr>
            <w:tcW w:w="2582" w:type="dxa"/>
          </w:tcPr>
          <w:p w14:paraId="1567815E" w14:textId="56B23048" w:rsidR="005A0BC1" w:rsidRPr="000D1C0B" w:rsidRDefault="005A0BC1" w:rsidP="005A0BC1">
            <w:pPr>
              <w:spacing w:line="240" w:lineRule="auto"/>
              <w:jc w:val="both"/>
              <w:rPr>
                <w:rFonts w:ascii="Arial" w:hAnsi="Arial" w:cs="Arial"/>
                <w:bCs/>
                <w:spacing w:val="-3"/>
                <w:sz w:val="18"/>
                <w:szCs w:val="18"/>
              </w:rPr>
            </w:pPr>
            <w:r w:rsidRPr="000D1C0B">
              <w:rPr>
                <w:rFonts w:ascii="Arial" w:hAnsi="Arial" w:cs="Arial"/>
                <w:bCs/>
                <w:spacing w:val="-3"/>
                <w:sz w:val="18"/>
                <w:szCs w:val="18"/>
              </w:rPr>
              <w:t>Notificación de procedimientos operativos</w:t>
            </w:r>
          </w:p>
        </w:tc>
        <w:tc>
          <w:tcPr>
            <w:tcW w:w="3666" w:type="dxa"/>
          </w:tcPr>
          <w:p w14:paraId="568B23A2" w14:textId="648A7096" w:rsidR="005A0BC1" w:rsidRPr="000D1C0B" w:rsidRDefault="007F3D60" w:rsidP="005A0BC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Segundo párrafo del n</w:t>
            </w:r>
            <w:r w:rsidR="009C762D" w:rsidRPr="000D1C0B">
              <w:rPr>
                <w:rFonts w:ascii="Arial" w:hAnsi="Arial" w:cs="Arial"/>
                <w:b/>
                <w:bCs/>
                <w:sz w:val="18"/>
                <w:szCs w:val="18"/>
              </w:rPr>
              <w:t>umeral 9</w:t>
            </w:r>
            <w:r w:rsidR="005A0BC1" w:rsidRPr="000D1C0B">
              <w:rPr>
                <w:rFonts w:ascii="Arial" w:hAnsi="Arial" w:cs="Arial"/>
                <w:b/>
                <w:bCs/>
                <w:sz w:val="18"/>
                <w:szCs w:val="18"/>
              </w:rPr>
              <w:t>:</w:t>
            </w:r>
          </w:p>
          <w:p w14:paraId="32E2DF09"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3EDAAE31" w14:textId="7B7CFE6D" w:rsidR="005A0BC1" w:rsidRPr="000D1C0B" w:rsidRDefault="005A0BC1" w:rsidP="005A0BC1">
            <w:pPr>
              <w:autoSpaceDE w:val="0"/>
              <w:autoSpaceDN w:val="0"/>
              <w:adjustRightInd w:val="0"/>
              <w:spacing w:after="0" w:line="240" w:lineRule="auto"/>
              <w:jc w:val="both"/>
              <w:rPr>
                <w:rFonts w:ascii="Arial" w:hAnsi="Arial" w:cs="Arial"/>
                <w:b/>
                <w:bCs/>
                <w:sz w:val="18"/>
                <w:szCs w:val="18"/>
              </w:rPr>
            </w:pPr>
            <w:r w:rsidRPr="000D1C0B">
              <w:rPr>
                <w:rFonts w:ascii="Arial" w:hAnsi="Arial" w:cs="Arial"/>
                <w:sz w:val="18"/>
                <w:szCs w:val="18"/>
              </w:rPr>
              <w:t xml:space="preserve">Las modificaciones que se introduzcan al referido procedimiento deberán ser informadas dentro del plazo de </w:t>
            </w:r>
            <w:r w:rsidRPr="000D1C0B">
              <w:rPr>
                <w:rFonts w:ascii="Arial" w:hAnsi="Arial" w:cs="Arial"/>
                <w:b/>
                <w:bCs/>
                <w:sz w:val="18"/>
                <w:szCs w:val="18"/>
              </w:rPr>
              <w:t>5 días hábiles</w:t>
            </w:r>
            <w:r w:rsidRPr="000D1C0B">
              <w:rPr>
                <w:rFonts w:ascii="Arial" w:hAnsi="Arial" w:cs="Arial"/>
                <w:sz w:val="18"/>
                <w:szCs w:val="18"/>
              </w:rPr>
              <w:t xml:space="preserve"> contados desde la fecha de su implementación.</w:t>
            </w:r>
          </w:p>
        </w:tc>
        <w:tc>
          <w:tcPr>
            <w:tcW w:w="5247" w:type="dxa"/>
          </w:tcPr>
          <w:p w14:paraId="68A3B39A" w14:textId="7D42700A" w:rsidR="005A0BC1" w:rsidRPr="000D1C0B" w:rsidRDefault="005A0BC1" w:rsidP="005A0BC1">
            <w:pPr>
              <w:spacing w:after="0" w:line="240" w:lineRule="auto"/>
              <w:jc w:val="both"/>
              <w:rPr>
                <w:rFonts w:ascii="Arial" w:hAnsi="Arial" w:cs="Arial"/>
                <w:b/>
                <w:bCs/>
                <w:sz w:val="18"/>
                <w:szCs w:val="18"/>
              </w:rPr>
            </w:pPr>
            <w:r w:rsidRPr="000D1C0B">
              <w:rPr>
                <w:rFonts w:ascii="Arial" w:hAnsi="Arial" w:cs="Arial"/>
                <w:b/>
                <w:bCs/>
                <w:sz w:val="18"/>
                <w:szCs w:val="18"/>
              </w:rPr>
              <w:t xml:space="preserve">Reemplácese el </w:t>
            </w:r>
            <w:r w:rsidR="007F3D60" w:rsidRPr="000D1C0B">
              <w:rPr>
                <w:rFonts w:ascii="Arial" w:hAnsi="Arial" w:cs="Arial"/>
                <w:b/>
                <w:bCs/>
                <w:sz w:val="18"/>
                <w:szCs w:val="18"/>
              </w:rPr>
              <w:t xml:space="preserve">segundo párrafo del </w:t>
            </w:r>
            <w:r w:rsidR="009C762D" w:rsidRPr="000D1C0B">
              <w:rPr>
                <w:rFonts w:ascii="Arial" w:hAnsi="Arial" w:cs="Arial"/>
                <w:b/>
                <w:bCs/>
                <w:sz w:val="18"/>
                <w:szCs w:val="18"/>
              </w:rPr>
              <w:t>numeral 9</w:t>
            </w:r>
            <w:r w:rsidRPr="000D1C0B">
              <w:rPr>
                <w:rFonts w:ascii="Arial" w:hAnsi="Arial" w:cs="Arial"/>
                <w:b/>
                <w:bCs/>
                <w:sz w:val="18"/>
                <w:szCs w:val="18"/>
              </w:rPr>
              <w:t>:</w:t>
            </w:r>
          </w:p>
          <w:p w14:paraId="6B2DFC80" w14:textId="3D68E890" w:rsidR="005A0BC1" w:rsidRPr="000D1C0B" w:rsidRDefault="005A0BC1" w:rsidP="005A0BC1">
            <w:pPr>
              <w:spacing w:after="0" w:line="240" w:lineRule="auto"/>
              <w:jc w:val="both"/>
              <w:rPr>
                <w:rFonts w:ascii="Arial" w:hAnsi="Arial" w:cs="Arial"/>
                <w:sz w:val="18"/>
                <w:szCs w:val="18"/>
              </w:rPr>
            </w:pPr>
          </w:p>
          <w:p w14:paraId="66596CBC" w14:textId="5646F6F5" w:rsidR="005A0BC1" w:rsidRPr="000D1C0B" w:rsidRDefault="005A0BC1" w:rsidP="005A0BC1">
            <w:pPr>
              <w:autoSpaceDE w:val="0"/>
              <w:autoSpaceDN w:val="0"/>
              <w:adjustRightInd w:val="0"/>
              <w:spacing w:after="0" w:line="240" w:lineRule="auto"/>
              <w:jc w:val="both"/>
              <w:rPr>
                <w:rFonts w:ascii="Arial" w:hAnsi="Arial" w:cs="Arial"/>
                <w:b/>
                <w:bCs/>
                <w:sz w:val="18"/>
                <w:szCs w:val="18"/>
              </w:rPr>
            </w:pPr>
            <w:r w:rsidRPr="000D1C0B">
              <w:rPr>
                <w:rFonts w:ascii="Arial" w:hAnsi="Arial" w:cs="Arial"/>
                <w:sz w:val="18"/>
                <w:szCs w:val="18"/>
              </w:rPr>
              <w:t xml:space="preserve">Las modificaciones que se introduzcan al referido procedimiento deberán ser informadas dentro del plazo de </w:t>
            </w:r>
            <w:r w:rsidRPr="000D1C0B">
              <w:rPr>
                <w:rFonts w:ascii="Arial" w:hAnsi="Arial" w:cs="Arial"/>
                <w:b/>
                <w:bCs/>
                <w:sz w:val="18"/>
                <w:szCs w:val="18"/>
              </w:rPr>
              <w:t>10 días hábiles</w:t>
            </w:r>
            <w:r w:rsidRPr="000D1C0B">
              <w:rPr>
                <w:rFonts w:ascii="Arial" w:hAnsi="Arial" w:cs="Arial"/>
                <w:sz w:val="18"/>
                <w:szCs w:val="18"/>
              </w:rPr>
              <w:t xml:space="preserve"> contados desde la fecha de su implementación.</w:t>
            </w:r>
          </w:p>
        </w:tc>
      </w:tr>
      <w:tr w:rsidR="00C033AD" w:rsidRPr="000D1C0B" w14:paraId="5CD04216" w14:textId="77777777" w:rsidTr="00A74791">
        <w:trPr>
          <w:trHeight w:val="512"/>
        </w:trPr>
        <w:tc>
          <w:tcPr>
            <w:tcW w:w="416" w:type="dxa"/>
          </w:tcPr>
          <w:p w14:paraId="467E738C" w14:textId="7841CBD3" w:rsidR="005A0BC1" w:rsidRPr="000D1C0B" w:rsidRDefault="00C033AD"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t>11</w:t>
            </w:r>
          </w:p>
        </w:tc>
        <w:tc>
          <w:tcPr>
            <w:tcW w:w="1267" w:type="dxa"/>
          </w:tcPr>
          <w:p w14:paraId="7C238F55" w14:textId="77777777" w:rsidR="005A0BC1" w:rsidRPr="000D1C0B" w:rsidRDefault="005A0BC1"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N°103/2019</w:t>
            </w:r>
          </w:p>
        </w:tc>
        <w:tc>
          <w:tcPr>
            <w:tcW w:w="2582" w:type="dxa"/>
          </w:tcPr>
          <w:p w14:paraId="7B3EA909" w14:textId="77777777" w:rsidR="005A0BC1" w:rsidRPr="000D1C0B" w:rsidRDefault="005A0BC1" w:rsidP="005A0BC1">
            <w:pPr>
              <w:spacing w:line="240" w:lineRule="auto"/>
              <w:jc w:val="both"/>
              <w:rPr>
                <w:rFonts w:ascii="Arial" w:hAnsi="Arial" w:cs="Arial"/>
                <w:bCs/>
                <w:spacing w:val="-3"/>
                <w:sz w:val="18"/>
                <w:szCs w:val="18"/>
              </w:rPr>
            </w:pPr>
            <w:r w:rsidRPr="000D1C0B">
              <w:rPr>
                <w:rFonts w:ascii="Arial" w:hAnsi="Arial" w:cs="Arial"/>
                <w:bCs/>
                <w:spacing w:val="-3"/>
                <w:sz w:val="18"/>
                <w:szCs w:val="18"/>
              </w:rPr>
              <w:t>Notificación de cumplimiento normativo</w:t>
            </w:r>
          </w:p>
        </w:tc>
        <w:tc>
          <w:tcPr>
            <w:tcW w:w="3666" w:type="dxa"/>
          </w:tcPr>
          <w:p w14:paraId="0B0D1EF1" w14:textId="77777777" w:rsidR="00543E5F" w:rsidRPr="000D1C0B" w:rsidRDefault="00543E5F" w:rsidP="00543E5F">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Primer párrafo del numeral 5:</w:t>
            </w:r>
          </w:p>
          <w:p w14:paraId="1168CAF6" w14:textId="77777777" w:rsidR="00543E5F" w:rsidRPr="000D1C0B" w:rsidRDefault="00543E5F" w:rsidP="00543E5F">
            <w:pPr>
              <w:autoSpaceDE w:val="0"/>
              <w:autoSpaceDN w:val="0"/>
              <w:adjustRightInd w:val="0"/>
              <w:spacing w:after="0" w:line="240" w:lineRule="auto"/>
              <w:jc w:val="both"/>
              <w:rPr>
                <w:rFonts w:ascii="Arial" w:hAnsi="Arial" w:cs="Arial"/>
                <w:b/>
                <w:bCs/>
                <w:sz w:val="18"/>
                <w:szCs w:val="18"/>
              </w:rPr>
            </w:pPr>
          </w:p>
          <w:p w14:paraId="6D5CC5FA" w14:textId="38F9009C" w:rsidR="00543E5F" w:rsidRPr="000D1C0B" w:rsidRDefault="00543E5F" w:rsidP="00543E5F">
            <w:pPr>
              <w:autoSpaceDE w:val="0"/>
              <w:autoSpaceDN w:val="0"/>
              <w:adjustRightInd w:val="0"/>
              <w:spacing w:after="0" w:line="240" w:lineRule="auto"/>
              <w:jc w:val="both"/>
              <w:rPr>
                <w:rFonts w:ascii="Arial" w:hAnsi="Arial" w:cs="Arial"/>
                <w:color w:val="010000"/>
                <w:sz w:val="18"/>
                <w:szCs w:val="18"/>
              </w:rPr>
            </w:pPr>
            <w:r w:rsidRPr="000D1C0B">
              <w:rPr>
                <w:rFonts w:ascii="Arial" w:hAnsi="Arial" w:cs="Arial"/>
                <w:sz w:val="18"/>
                <w:szCs w:val="18"/>
              </w:rPr>
              <w:t>La sociedad operadora deberá remitir a esta Superintendencia</w:t>
            </w:r>
            <w:r w:rsidRPr="000D1C0B">
              <w:rPr>
                <w:rFonts w:ascii="Arial" w:hAnsi="Arial" w:cs="Arial"/>
                <w:b/>
                <w:bCs/>
                <w:sz w:val="18"/>
                <w:szCs w:val="18"/>
              </w:rPr>
              <w:t xml:space="preserve">, en los términos expuestos en el numeral 4 de la Circular </w:t>
            </w:r>
            <w:proofErr w:type="spellStart"/>
            <w:r w:rsidRPr="000D1C0B">
              <w:rPr>
                <w:rFonts w:ascii="Arial" w:hAnsi="Arial" w:cs="Arial"/>
                <w:b/>
                <w:bCs/>
                <w:sz w:val="18"/>
                <w:szCs w:val="18"/>
              </w:rPr>
              <w:t>N°</w:t>
            </w:r>
            <w:proofErr w:type="spellEnd"/>
            <w:r w:rsidRPr="000D1C0B">
              <w:rPr>
                <w:rFonts w:ascii="Arial" w:hAnsi="Arial" w:cs="Arial"/>
                <w:b/>
                <w:bCs/>
                <w:sz w:val="18"/>
                <w:szCs w:val="18"/>
              </w:rPr>
              <w:t xml:space="preserve"> 98, de 2 de enero de 2019, o la que la reemplace,</w:t>
            </w:r>
            <w:r w:rsidRPr="000D1C0B">
              <w:rPr>
                <w:rFonts w:ascii="Arial" w:hAnsi="Arial" w:cs="Arial"/>
                <w:sz w:val="18"/>
                <w:szCs w:val="18"/>
              </w:rPr>
              <w:t xml:space="preserve"> la siguiente información:</w:t>
            </w:r>
          </w:p>
          <w:p w14:paraId="06B24DA7" w14:textId="77777777" w:rsidR="00543E5F" w:rsidRPr="000D1C0B" w:rsidRDefault="00543E5F" w:rsidP="005A0BC1">
            <w:pPr>
              <w:autoSpaceDE w:val="0"/>
              <w:autoSpaceDN w:val="0"/>
              <w:adjustRightInd w:val="0"/>
              <w:spacing w:after="0" w:line="240" w:lineRule="auto"/>
              <w:jc w:val="both"/>
              <w:rPr>
                <w:rFonts w:ascii="Arial" w:hAnsi="Arial" w:cs="Arial"/>
                <w:b/>
                <w:bCs/>
                <w:color w:val="010000"/>
                <w:sz w:val="18"/>
                <w:szCs w:val="18"/>
              </w:rPr>
            </w:pPr>
          </w:p>
          <w:p w14:paraId="2DE7B389" w14:textId="33B01F6C" w:rsidR="005A0BC1" w:rsidRPr="000D1C0B" w:rsidRDefault="00E91342" w:rsidP="005A0BC1">
            <w:pPr>
              <w:autoSpaceDE w:val="0"/>
              <w:autoSpaceDN w:val="0"/>
              <w:adjustRightInd w:val="0"/>
              <w:spacing w:after="0" w:line="240" w:lineRule="auto"/>
              <w:jc w:val="both"/>
              <w:rPr>
                <w:rFonts w:ascii="Arial" w:hAnsi="Arial" w:cs="Arial"/>
                <w:b/>
                <w:bCs/>
                <w:color w:val="010000"/>
                <w:sz w:val="18"/>
                <w:szCs w:val="18"/>
              </w:rPr>
            </w:pPr>
            <w:r w:rsidRPr="000D1C0B">
              <w:rPr>
                <w:rFonts w:ascii="Arial" w:hAnsi="Arial" w:cs="Arial"/>
                <w:b/>
                <w:bCs/>
                <w:color w:val="010000"/>
                <w:sz w:val="18"/>
                <w:szCs w:val="18"/>
              </w:rPr>
              <w:t>Segundo</w:t>
            </w:r>
            <w:r w:rsidR="00176ADF" w:rsidRPr="000D1C0B">
              <w:rPr>
                <w:rFonts w:ascii="Arial" w:hAnsi="Arial" w:cs="Arial"/>
                <w:b/>
                <w:bCs/>
                <w:color w:val="010000"/>
                <w:sz w:val="18"/>
                <w:szCs w:val="18"/>
              </w:rPr>
              <w:t xml:space="preserve">, </w:t>
            </w:r>
            <w:r w:rsidRPr="000D1C0B">
              <w:rPr>
                <w:rFonts w:ascii="Arial" w:hAnsi="Arial" w:cs="Arial"/>
                <w:b/>
                <w:bCs/>
                <w:color w:val="010000"/>
                <w:sz w:val="18"/>
                <w:szCs w:val="18"/>
              </w:rPr>
              <w:t xml:space="preserve">tercer, </w:t>
            </w:r>
            <w:r w:rsidR="00176ADF" w:rsidRPr="000D1C0B">
              <w:rPr>
                <w:rFonts w:ascii="Arial" w:hAnsi="Arial" w:cs="Arial"/>
                <w:b/>
                <w:bCs/>
                <w:color w:val="010000"/>
                <w:sz w:val="18"/>
                <w:szCs w:val="18"/>
              </w:rPr>
              <w:t>cuarto</w:t>
            </w:r>
            <w:r w:rsidRPr="000D1C0B">
              <w:rPr>
                <w:rFonts w:ascii="Arial" w:hAnsi="Arial" w:cs="Arial"/>
                <w:b/>
                <w:bCs/>
                <w:color w:val="010000"/>
                <w:sz w:val="18"/>
                <w:szCs w:val="18"/>
              </w:rPr>
              <w:t xml:space="preserve"> y</w:t>
            </w:r>
            <w:r w:rsidR="00176ADF" w:rsidRPr="000D1C0B">
              <w:rPr>
                <w:rFonts w:ascii="Arial" w:hAnsi="Arial" w:cs="Arial"/>
                <w:b/>
                <w:bCs/>
                <w:color w:val="010000"/>
                <w:sz w:val="18"/>
                <w:szCs w:val="18"/>
              </w:rPr>
              <w:t xml:space="preserve"> quinto párrafo del n</w:t>
            </w:r>
            <w:r w:rsidR="005A0BC1" w:rsidRPr="000D1C0B">
              <w:rPr>
                <w:rFonts w:ascii="Arial" w:hAnsi="Arial" w:cs="Arial"/>
                <w:b/>
                <w:bCs/>
                <w:color w:val="010000"/>
                <w:sz w:val="18"/>
                <w:szCs w:val="18"/>
              </w:rPr>
              <w:t>umeral 5:</w:t>
            </w:r>
          </w:p>
          <w:p w14:paraId="68AC2268" w14:textId="77777777" w:rsidR="00087B9F" w:rsidRPr="000D1C0B" w:rsidRDefault="00087B9F" w:rsidP="005A0BC1">
            <w:pPr>
              <w:autoSpaceDE w:val="0"/>
              <w:autoSpaceDN w:val="0"/>
              <w:adjustRightInd w:val="0"/>
              <w:spacing w:after="0" w:line="240" w:lineRule="auto"/>
              <w:jc w:val="both"/>
              <w:rPr>
                <w:rFonts w:ascii="Arial" w:hAnsi="Arial" w:cs="Arial"/>
                <w:b/>
                <w:bCs/>
                <w:color w:val="010000"/>
                <w:sz w:val="18"/>
                <w:szCs w:val="18"/>
              </w:rPr>
            </w:pPr>
          </w:p>
          <w:p w14:paraId="2CDF4C96" w14:textId="77777777" w:rsidR="005A0BC1" w:rsidRPr="000D1C0B" w:rsidRDefault="005A0BC1" w:rsidP="005A0BC1">
            <w:pPr>
              <w:autoSpaceDE w:val="0"/>
              <w:autoSpaceDN w:val="0"/>
              <w:adjustRightInd w:val="0"/>
              <w:spacing w:after="0" w:line="240" w:lineRule="auto"/>
              <w:jc w:val="both"/>
              <w:rPr>
                <w:rFonts w:ascii="Arial" w:hAnsi="Arial" w:cs="Arial"/>
                <w:color w:val="010000"/>
                <w:sz w:val="18"/>
                <w:szCs w:val="18"/>
              </w:rPr>
            </w:pPr>
            <w:r w:rsidRPr="000D1C0B">
              <w:rPr>
                <w:rFonts w:ascii="Arial" w:hAnsi="Arial" w:cs="Arial"/>
                <w:color w:val="010000"/>
                <w:sz w:val="18"/>
                <w:szCs w:val="18"/>
              </w:rPr>
              <w:t xml:space="preserve">La información señalada en los literales a), c), d) y e), deberá ser remitida </w:t>
            </w:r>
            <w:r w:rsidRPr="000D1C0B">
              <w:rPr>
                <w:rFonts w:ascii="Arial" w:hAnsi="Arial" w:cs="Arial"/>
                <w:b/>
                <w:bCs/>
                <w:color w:val="010000"/>
                <w:sz w:val="18"/>
                <w:szCs w:val="18"/>
              </w:rPr>
              <w:t xml:space="preserve">dentro de los 30 días corridos </w:t>
            </w:r>
            <w:r w:rsidRPr="000D1C0B">
              <w:rPr>
                <w:rFonts w:ascii="Arial" w:hAnsi="Arial" w:cs="Arial"/>
                <w:color w:val="010000"/>
                <w:sz w:val="18"/>
                <w:szCs w:val="18"/>
              </w:rPr>
              <w:t>siguientes a su aprobación por parte del Directorio, con sus respectivas actas.</w:t>
            </w:r>
          </w:p>
          <w:p w14:paraId="0D89EAB7" w14:textId="77777777" w:rsidR="005A0BC1" w:rsidRPr="000D1C0B" w:rsidRDefault="005A0BC1" w:rsidP="005A0BC1">
            <w:pPr>
              <w:autoSpaceDE w:val="0"/>
              <w:autoSpaceDN w:val="0"/>
              <w:adjustRightInd w:val="0"/>
              <w:spacing w:after="0" w:line="240" w:lineRule="auto"/>
              <w:rPr>
                <w:rFonts w:ascii="Arial" w:hAnsi="Arial" w:cs="Arial"/>
                <w:color w:val="010000"/>
                <w:sz w:val="18"/>
                <w:szCs w:val="18"/>
              </w:rPr>
            </w:pPr>
          </w:p>
          <w:p w14:paraId="7EFE283F" w14:textId="77777777" w:rsidR="005A0BC1" w:rsidRPr="000D1C0B" w:rsidRDefault="005A0BC1" w:rsidP="005A0BC1">
            <w:pPr>
              <w:autoSpaceDE w:val="0"/>
              <w:autoSpaceDN w:val="0"/>
              <w:adjustRightInd w:val="0"/>
              <w:spacing w:after="0" w:line="240" w:lineRule="auto"/>
              <w:jc w:val="both"/>
              <w:rPr>
                <w:rFonts w:ascii="Arial" w:hAnsi="Arial" w:cs="Arial"/>
                <w:color w:val="000000"/>
                <w:sz w:val="18"/>
                <w:szCs w:val="18"/>
              </w:rPr>
            </w:pPr>
            <w:r w:rsidRPr="000D1C0B">
              <w:rPr>
                <w:rFonts w:ascii="Arial" w:hAnsi="Arial" w:cs="Arial"/>
                <w:color w:val="000000"/>
                <w:sz w:val="18"/>
                <w:szCs w:val="18"/>
              </w:rPr>
              <w:t xml:space="preserve">En el caso del literal e), cuando la revisión concluya en la necesidad de modificar el Manual de Cumplimiento Normativo, se deberá acompañar además la versión actualizada del citado Manual. </w:t>
            </w:r>
          </w:p>
          <w:p w14:paraId="775AFACF" w14:textId="77777777" w:rsidR="005A0BC1" w:rsidRPr="000D1C0B" w:rsidRDefault="005A0BC1" w:rsidP="005A0BC1">
            <w:pPr>
              <w:autoSpaceDE w:val="0"/>
              <w:autoSpaceDN w:val="0"/>
              <w:adjustRightInd w:val="0"/>
              <w:spacing w:after="0" w:line="240" w:lineRule="auto"/>
              <w:rPr>
                <w:rFonts w:ascii="Arial" w:hAnsi="Arial" w:cs="Arial"/>
                <w:color w:val="000000"/>
                <w:sz w:val="18"/>
                <w:szCs w:val="18"/>
              </w:rPr>
            </w:pPr>
          </w:p>
          <w:p w14:paraId="7854D633" w14:textId="77777777" w:rsidR="005A0BC1" w:rsidRPr="000D1C0B" w:rsidRDefault="005A0BC1" w:rsidP="005A0BC1">
            <w:pPr>
              <w:autoSpaceDE w:val="0"/>
              <w:autoSpaceDN w:val="0"/>
              <w:adjustRightInd w:val="0"/>
              <w:spacing w:after="0" w:line="240" w:lineRule="auto"/>
              <w:jc w:val="both"/>
              <w:rPr>
                <w:rFonts w:ascii="Arial" w:hAnsi="Arial" w:cs="Arial"/>
                <w:color w:val="000000"/>
                <w:sz w:val="18"/>
                <w:szCs w:val="18"/>
              </w:rPr>
            </w:pPr>
            <w:r w:rsidRPr="000D1C0B">
              <w:rPr>
                <w:rFonts w:ascii="Arial" w:hAnsi="Arial" w:cs="Arial"/>
                <w:color w:val="000000"/>
                <w:sz w:val="18"/>
                <w:szCs w:val="18"/>
              </w:rPr>
              <w:t xml:space="preserve">Respecto al literal b), deberá ser remitido a esta Superintendencia </w:t>
            </w:r>
            <w:r w:rsidRPr="000D1C0B">
              <w:rPr>
                <w:rFonts w:ascii="Arial" w:hAnsi="Arial" w:cs="Arial"/>
                <w:b/>
                <w:bCs/>
                <w:color w:val="000000"/>
                <w:sz w:val="18"/>
                <w:szCs w:val="18"/>
              </w:rPr>
              <w:t>a más tardar el 31 de marzo de cada año.</w:t>
            </w:r>
          </w:p>
          <w:p w14:paraId="69AA5E3B" w14:textId="77777777" w:rsidR="005A0BC1" w:rsidRPr="000D1C0B" w:rsidRDefault="005A0BC1" w:rsidP="005A0BC1">
            <w:pPr>
              <w:autoSpaceDE w:val="0"/>
              <w:autoSpaceDN w:val="0"/>
              <w:adjustRightInd w:val="0"/>
              <w:spacing w:after="0" w:line="240" w:lineRule="auto"/>
              <w:jc w:val="both"/>
              <w:rPr>
                <w:rFonts w:ascii="Arial" w:hAnsi="Arial" w:cs="Arial"/>
                <w:color w:val="010000"/>
                <w:sz w:val="18"/>
                <w:szCs w:val="18"/>
              </w:rPr>
            </w:pPr>
          </w:p>
          <w:p w14:paraId="47EDF971" w14:textId="77777777" w:rsidR="005A0BC1" w:rsidRPr="000D1C0B" w:rsidRDefault="005A0BC1" w:rsidP="005A0BC1">
            <w:pPr>
              <w:pStyle w:val="Default"/>
              <w:numPr>
                <w:ilvl w:val="0"/>
                <w:numId w:val="30"/>
              </w:numPr>
              <w:jc w:val="both"/>
              <w:rPr>
                <w:sz w:val="18"/>
                <w:szCs w:val="18"/>
              </w:rPr>
            </w:pPr>
            <w:proofErr w:type="gramStart"/>
            <w:r w:rsidRPr="000D1C0B">
              <w:rPr>
                <w:color w:val="010000"/>
                <w:sz w:val="18"/>
                <w:szCs w:val="18"/>
              </w:rPr>
              <w:t>En relación al</w:t>
            </w:r>
            <w:proofErr w:type="gramEnd"/>
            <w:r w:rsidRPr="000D1C0B">
              <w:rPr>
                <w:color w:val="010000"/>
                <w:sz w:val="18"/>
                <w:szCs w:val="18"/>
              </w:rPr>
              <w:t xml:space="preserve"> literal f), lo solicitado deberá ser remitido a esta Superintendencia dentro de los </w:t>
            </w:r>
            <w:r w:rsidRPr="000D1C0B">
              <w:rPr>
                <w:b/>
                <w:bCs/>
                <w:color w:val="010000"/>
                <w:sz w:val="18"/>
                <w:szCs w:val="18"/>
              </w:rPr>
              <w:t>30 días corridos</w:t>
            </w:r>
            <w:r w:rsidRPr="000D1C0B">
              <w:rPr>
                <w:color w:val="010000"/>
                <w:sz w:val="18"/>
                <w:szCs w:val="18"/>
              </w:rPr>
              <w:t xml:space="preserve"> siguientes a su ocurrencia.</w:t>
            </w:r>
          </w:p>
        </w:tc>
        <w:tc>
          <w:tcPr>
            <w:tcW w:w="5247" w:type="dxa"/>
          </w:tcPr>
          <w:p w14:paraId="3B0DE6C9" w14:textId="0D2BAD5E" w:rsidR="00543E5F" w:rsidRPr="000D1C0B" w:rsidRDefault="00543E5F" w:rsidP="00543E5F">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lastRenderedPageBreak/>
              <w:t>Reemplácese el primer párrafo del numeral 5:</w:t>
            </w:r>
          </w:p>
          <w:p w14:paraId="3800797D" w14:textId="77777777" w:rsidR="00543E5F" w:rsidRPr="000D1C0B" w:rsidRDefault="00543E5F" w:rsidP="005A0BC1">
            <w:pPr>
              <w:spacing w:after="0" w:line="240" w:lineRule="auto"/>
              <w:jc w:val="both"/>
              <w:rPr>
                <w:rFonts w:ascii="Arial" w:hAnsi="Arial" w:cs="Arial"/>
                <w:b/>
                <w:bCs/>
                <w:sz w:val="18"/>
                <w:szCs w:val="18"/>
              </w:rPr>
            </w:pPr>
          </w:p>
          <w:p w14:paraId="3F6CDEE5" w14:textId="26EA68DE" w:rsidR="00543E5F" w:rsidRPr="000D1C0B" w:rsidRDefault="00543E5F" w:rsidP="00A95804">
            <w:pPr>
              <w:spacing w:after="0" w:line="240" w:lineRule="auto"/>
              <w:jc w:val="both"/>
              <w:rPr>
                <w:rFonts w:ascii="Arial" w:hAnsi="Arial" w:cs="Arial"/>
                <w:sz w:val="18"/>
                <w:szCs w:val="18"/>
              </w:rPr>
            </w:pPr>
            <w:r w:rsidRPr="000D1C0B">
              <w:rPr>
                <w:rFonts w:ascii="Arial" w:hAnsi="Arial" w:cs="Arial"/>
                <w:sz w:val="18"/>
                <w:szCs w:val="18"/>
              </w:rPr>
              <w:t>La sociedad operadora deberá remitir a esta Superintendencia la siguiente información</w:t>
            </w:r>
            <w:r w:rsidR="00066DBA" w:rsidRPr="000D1C0B">
              <w:rPr>
                <w:rStyle w:val="Refdenotaalpie"/>
                <w:rFonts w:ascii="Arial" w:hAnsi="Arial" w:cs="Arial"/>
                <w:sz w:val="18"/>
                <w:szCs w:val="18"/>
              </w:rPr>
              <w:footnoteReference w:id="8"/>
            </w:r>
            <w:r w:rsidRPr="000D1C0B">
              <w:rPr>
                <w:rFonts w:ascii="Arial" w:hAnsi="Arial" w:cs="Arial"/>
                <w:sz w:val="18"/>
                <w:szCs w:val="18"/>
              </w:rPr>
              <w:t>:</w:t>
            </w:r>
          </w:p>
          <w:p w14:paraId="49F011B5" w14:textId="29F161EE" w:rsidR="00543E5F" w:rsidRDefault="00543E5F" w:rsidP="005A0BC1">
            <w:pPr>
              <w:spacing w:after="0" w:line="240" w:lineRule="auto"/>
              <w:jc w:val="both"/>
              <w:rPr>
                <w:rFonts w:ascii="Arial" w:hAnsi="Arial" w:cs="Arial"/>
                <w:b/>
                <w:bCs/>
                <w:sz w:val="18"/>
                <w:szCs w:val="18"/>
              </w:rPr>
            </w:pPr>
          </w:p>
          <w:p w14:paraId="2C46A893" w14:textId="2DBDE353" w:rsidR="00DF6B17" w:rsidRDefault="00DF6B17" w:rsidP="005A0BC1">
            <w:pPr>
              <w:spacing w:after="0" w:line="240" w:lineRule="auto"/>
              <w:jc w:val="both"/>
              <w:rPr>
                <w:rFonts w:ascii="Arial" w:hAnsi="Arial" w:cs="Arial"/>
                <w:b/>
                <w:bCs/>
                <w:sz w:val="18"/>
                <w:szCs w:val="18"/>
              </w:rPr>
            </w:pPr>
          </w:p>
          <w:p w14:paraId="68C6AB69" w14:textId="77777777" w:rsidR="00DF6B17" w:rsidRPr="000D1C0B" w:rsidRDefault="00DF6B17" w:rsidP="005A0BC1">
            <w:pPr>
              <w:spacing w:after="0" w:line="240" w:lineRule="auto"/>
              <w:jc w:val="both"/>
              <w:rPr>
                <w:rFonts w:ascii="Arial" w:hAnsi="Arial" w:cs="Arial"/>
                <w:b/>
                <w:bCs/>
                <w:sz w:val="18"/>
                <w:szCs w:val="18"/>
              </w:rPr>
            </w:pPr>
          </w:p>
          <w:p w14:paraId="6417F1B1" w14:textId="77777777" w:rsidR="00DD627B" w:rsidRPr="000D1C0B" w:rsidRDefault="00DD627B" w:rsidP="005A0BC1">
            <w:pPr>
              <w:spacing w:after="0" w:line="240" w:lineRule="auto"/>
              <w:jc w:val="both"/>
              <w:rPr>
                <w:rFonts w:ascii="Arial" w:hAnsi="Arial" w:cs="Arial"/>
                <w:b/>
                <w:bCs/>
                <w:sz w:val="18"/>
                <w:szCs w:val="18"/>
              </w:rPr>
            </w:pPr>
          </w:p>
          <w:p w14:paraId="5027DEFA" w14:textId="17942045" w:rsidR="005A0BC1" w:rsidRPr="000D1C0B" w:rsidRDefault="005A0BC1" w:rsidP="005A0BC1">
            <w:pPr>
              <w:spacing w:after="0" w:line="240" w:lineRule="auto"/>
              <w:jc w:val="both"/>
              <w:rPr>
                <w:rFonts w:ascii="Arial" w:hAnsi="Arial" w:cs="Arial"/>
                <w:sz w:val="18"/>
                <w:szCs w:val="18"/>
              </w:rPr>
            </w:pPr>
            <w:r w:rsidRPr="000D1C0B">
              <w:rPr>
                <w:rFonts w:ascii="Arial" w:hAnsi="Arial" w:cs="Arial"/>
                <w:b/>
                <w:bCs/>
                <w:sz w:val="18"/>
                <w:szCs w:val="18"/>
              </w:rPr>
              <w:t xml:space="preserve">Reemplácese el </w:t>
            </w:r>
            <w:r w:rsidR="00E91342" w:rsidRPr="000D1C0B">
              <w:rPr>
                <w:rFonts w:ascii="Arial" w:hAnsi="Arial" w:cs="Arial"/>
                <w:b/>
                <w:bCs/>
                <w:sz w:val="18"/>
                <w:szCs w:val="18"/>
              </w:rPr>
              <w:t xml:space="preserve">segundo, </w:t>
            </w:r>
            <w:r w:rsidR="00176ADF" w:rsidRPr="000D1C0B">
              <w:rPr>
                <w:rFonts w:ascii="Arial" w:hAnsi="Arial" w:cs="Arial"/>
                <w:b/>
                <w:bCs/>
                <w:sz w:val="18"/>
                <w:szCs w:val="18"/>
              </w:rPr>
              <w:t>t</w:t>
            </w:r>
            <w:r w:rsidR="00176ADF" w:rsidRPr="000D1C0B">
              <w:rPr>
                <w:rFonts w:ascii="Arial" w:hAnsi="Arial" w:cs="Arial"/>
                <w:b/>
                <w:bCs/>
                <w:color w:val="010000"/>
                <w:sz w:val="18"/>
                <w:szCs w:val="18"/>
              </w:rPr>
              <w:t>ercer, cuarto</w:t>
            </w:r>
            <w:r w:rsidR="00E91342" w:rsidRPr="000D1C0B">
              <w:rPr>
                <w:rFonts w:ascii="Arial" w:hAnsi="Arial" w:cs="Arial"/>
                <w:b/>
                <w:bCs/>
                <w:color w:val="010000"/>
                <w:sz w:val="18"/>
                <w:szCs w:val="18"/>
              </w:rPr>
              <w:t xml:space="preserve"> y</w:t>
            </w:r>
            <w:r w:rsidR="00176ADF" w:rsidRPr="000D1C0B">
              <w:rPr>
                <w:rFonts w:ascii="Arial" w:hAnsi="Arial" w:cs="Arial"/>
                <w:b/>
                <w:bCs/>
                <w:color w:val="010000"/>
                <w:sz w:val="18"/>
                <w:szCs w:val="18"/>
              </w:rPr>
              <w:t xml:space="preserve"> quinto párrafo del </w:t>
            </w:r>
            <w:r w:rsidRPr="000D1C0B">
              <w:rPr>
                <w:rFonts w:ascii="Arial" w:hAnsi="Arial" w:cs="Arial"/>
                <w:b/>
                <w:bCs/>
                <w:sz w:val="18"/>
                <w:szCs w:val="18"/>
              </w:rPr>
              <w:t>numeral 5</w:t>
            </w:r>
            <w:r w:rsidRPr="000D1C0B">
              <w:rPr>
                <w:rFonts w:ascii="Arial" w:hAnsi="Arial" w:cs="Arial"/>
                <w:sz w:val="18"/>
                <w:szCs w:val="18"/>
              </w:rPr>
              <w:t>:</w:t>
            </w:r>
          </w:p>
          <w:p w14:paraId="40A0B4A0" w14:textId="77777777" w:rsidR="005A0BC1" w:rsidRPr="000D1C0B" w:rsidRDefault="005A0BC1" w:rsidP="005A0BC1">
            <w:pPr>
              <w:spacing w:after="0" w:line="240" w:lineRule="auto"/>
              <w:jc w:val="both"/>
              <w:rPr>
                <w:rFonts w:ascii="Arial" w:hAnsi="Arial" w:cs="Arial"/>
                <w:sz w:val="18"/>
                <w:szCs w:val="18"/>
              </w:rPr>
            </w:pPr>
          </w:p>
          <w:p w14:paraId="24A1FC6E" w14:textId="77777777" w:rsidR="005A0BC1" w:rsidRPr="000D1C0B" w:rsidRDefault="005A0BC1" w:rsidP="005A0BC1">
            <w:pPr>
              <w:spacing w:after="0" w:line="240" w:lineRule="auto"/>
              <w:jc w:val="both"/>
              <w:rPr>
                <w:rFonts w:ascii="Arial" w:hAnsi="Arial" w:cs="Arial"/>
                <w:sz w:val="18"/>
                <w:szCs w:val="18"/>
              </w:rPr>
            </w:pPr>
            <w:r w:rsidRPr="000D1C0B">
              <w:rPr>
                <w:rFonts w:ascii="Arial" w:hAnsi="Arial" w:cs="Arial"/>
                <w:color w:val="010000"/>
                <w:sz w:val="18"/>
                <w:szCs w:val="18"/>
              </w:rPr>
              <w:t xml:space="preserve">La información señalada en los literales a), c), d) y e), deberá ser remitida </w:t>
            </w:r>
            <w:r w:rsidRPr="000D1C0B">
              <w:rPr>
                <w:rFonts w:ascii="Arial" w:hAnsi="Arial" w:cs="Arial"/>
                <w:b/>
                <w:bCs/>
                <w:color w:val="010000"/>
                <w:sz w:val="18"/>
                <w:szCs w:val="18"/>
              </w:rPr>
              <w:t>dentro de los 30 días hábiles</w:t>
            </w:r>
            <w:r w:rsidRPr="000D1C0B">
              <w:rPr>
                <w:rFonts w:ascii="Arial" w:hAnsi="Arial" w:cs="Arial"/>
                <w:color w:val="010000"/>
                <w:sz w:val="18"/>
                <w:szCs w:val="18"/>
              </w:rPr>
              <w:t xml:space="preserve"> siguientes a su aprobación por parte del Directorio, con sus respectivas actas.</w:t>
            </w:r>
          </w:p>
          <w:p w14:paraId="755DD91B" w14:textId="28AAC731" w:rsidR="005A0BC1" w:rsidRDefault="005A0BC1" w:rsidP="005A0BC1">
            <w:pPr>
              <w:spacing w:after="0" w:line="240" w:lineRule="auto"/>
              <w:jc w:val="both"/>
              <w:rPr>
                <w:rFonts w:ascii="Arial" w:hAnsi="Arial" w:cs="Arial"/>
                <w:sz w:val="18"/>
                <w:szCs w:val="18"/>
              </w:rPr>
            </w:pPr>
          </w:p>
          <w:p w14:paraId="3AA879CB" w14:textId="6C553629" w:rsidR="00DF6B17" w:rsidRDefault="00DF6B17" w:rsidP="005A0BC1">
            <w:pPr>
              <w:spacing w:after="0" w:line="240" w:lineRule="auto"/>
              <w:jc w:val="both"/>
              <w:rPr>
                <w:rFonts w:ascii="Arial" w:hAnsi="Arial" w:cs="Arial"/>
                <w:sz w:val="18"/>
                <w:szCs w:val="18"/>
              </w:rPr>
            </w:pPr>
          </w:p>
          <w:p w14:paraId="1C0BC5CC" w14:textId="77777777" w:rsidR="00DF6B17" w:rsidRPr="000D1C0B" w:rsidRDefault="00DF6B17" w:rsidP="005A0BC1">
            <w:pPr>
              <w:spacing w:after="0" w:line="240" w:lineRule="auto"/>
              <w:jc w:val="both"/>
              <w:rPr>
                <w:rFonts w:ascii="Arial" w:hAnsi="Arial" w:cs="Arial"/>
                <w:sz w:val="18"/>
                <w:szCs w:val="18"/>
              </w:rPr>
            </w:pPr>
          </w:p>
          <w:p w14:paraId="2C5ED626" w14:textId="77777777" w:rsidR="005A0BC1" w:rsidRPr="000D1C0B" w:rsidRDefault="005A0BC1" w:rsidP="005A0BC1">
            <w:pPr>
              <w:spacing w:after="0" w:line="240" w:lineRule="auto"/>
              <w:jc w:val="both"/>
              <w:rPr>
                <w:rFonts w:ascii="Arial" w:hAnsi="Arial" w:cs="Arial"/>
                <w:sz w:val="18"/>
                <w:szCs w:val="18"/>
              </w:rPr>
            </w:pPr>
            <w:r w:rsidRPr="000D1C0B">
              <w:rPr>
                <w:rFonts w:ascii="Arial" w:hAnsi="Arial" w:cs="Arial"/>
                <w:sz w:val="18"/>
                <w:szCs w:val="18"/>
              </w:rPr>
              <w:t xml:space="preserve">En el caso del literal e), cuando la revisión concluya en la necesidad de modificar el Manual de Cumplimiento Normativo, se deberá acompañar además la versión actualizada del citado Manual. </w:t>
            </w:r>
          </w:p>
          <w:p w14:paraId="4D4A34AA" w14:textId="77777777" w:rsidR="005A0BC1" w:rsidRPr="000D1C0B" w:rsidRDefault="005A0BC1" w:rsidP="005A0BC1">
            <w:pPr>
              <w:spacing w:after="0" w:line="240" w:lineRule="auto"/>
              <w:jc w:val="both"/>
              <w:rPr>
                <w:rFonts w:ascii="Arial" w:hAnsi="Arial" w:cs="Arial"/>
                <w:sz w:val="18"/>
                <w:szCs w:val="18"/>
              </w:rPr>
            </w:pPr>
          </w:p>
          <w:p w14:paraId="18AAF471" w14:textId="77777777" w:rsidR="00DF6B17" w:rsidRDefault="00DF6B17" w:rsidP="005A0BC1">
            <w:pPr>
              <w:spacing w:after="0" w:line="240" w:lineRule="auto"/>
              <w:jc w:val="both"/>
              <w:rPr>
                <w:rFonts w:ascii="Arial" w:hAnsi="Arial" w:cs="Arial"/>
                <w:sz w:val="18"/>
                <w:szCs w:val="18"/>
              </w:rPr>
            </w:pPr>
          </w:p>
          <w:p w14:paraId="32D334D3" w14:textId="0AAFE32D" w:rsidR="005A0BC1" w:rsidRPr="000D1C0B" w:rsidRDefault="005A0BC1" w:rsidP="005A0BC1">
            <w:pPr>
              <w:spacing w:after="0" w:line="240" w:lineRule="auto"/>
              <w:jc w:val="both"/>
              <w:rPr>
                <w:rFonts w:ascii="Arial" w:hAnsi="Arial" w:cs="Arial"/>
                <w:sz w:val="18"/>
                <w:szCs w:val="18"/>
              </w:rPr>
            </w:pPr>
            <w:r w:rsidRPr="000D1C0B">
              <w:rPr>
                <w:rFonts w:ascii="Arial" w:hAnsi="Arial" w:cs="Arial"/>
                <w:sz w:val="18"/>
                <w:szCs w:val="18"/>
              </w:rPr>
              <w:t xml:space="preserve">Respecto al literal b), deberá ser remitido a esta Superintendencia </w:t>
            </w:r>
            <w:r w:rsidRPr="000D1C0B">
              <w:rPr>
                <w:rFonts w:ascii="Arial" w:hAnsi="Arial" w:cs="Arial"/>
                <w:b/>
                <w:bCs/>
                <w:sz w:val="18"/>
                <w:szCs w:val="18"/>
              </w:rPr>
              <w:t>a más tardar el 31 de marzo de cada año.</w:t>
            </w:r>
          </w:p>
          <w:p w14:paraId="6B9E5F09" w14:textId="71704447" w:rsidR="005A0BC1" w:rsidRDefault="005A0BC1" w:rsidP="005A0BC1">
            <w:pPr>
              <w:spacing w:after="0" w:line="240" w:lineRule="auto"/>
              <w:jc w:val="both"/>
              <w:rPr>
                <w:rFonts w:ascii="Arial" w:hAnsi="Arial" w:cs="Arial"/>
                <w:sz w:val="18"/>
                <w:szCs w:val="18"/>
              </w:rPr>
            </w:pPr>
          </w:p>
          <w:p w14:paraId="7AF83E97" w14:textId="77777777" w:rsidR="00DF6B17" w:rsidRPr="000D1C0B" w:rsidRDefault="00DF6B17" w:rsidP="005A0BC1">
            <w:pPr>
              <w:spacing w:after="0" w:line="240" w:lineRule="auto"/>
              <w:jc w:val="both"/>
              <w:rPr>
                <w:rFonts w:ascii="Arial" w:hAnsi="Arial" w:cs="Arial"/>
                <w:sz w:val="18"/>
                <w:szCs w:val="18"/>
              </w:rPr>
            </w:pPr>
          </w:p>
          <w:p w14:paraId="35B0DB0D" w14:textId="77777777" w:rsidR="005A0BC1" w:rsidRPr="000D1C0B" w:rsidRDefault="005A0BC1" w:rsidP="005A0BC1">
            <w:pPr>
              <w:spacing w:after="0" w:line="240" w:lineRule="auto"/>
              <w:jc w:val="both"/>
              <w:rPr>
                <w:rFonts w:ascii="Arial" w:hAnsi="Arial" w:cs="Arial"/>
                <w:sz w:val="18"/>
                <w:szCs w:val="18"/>
              </w:rPr>
            </w:pPr>
            <w:proofErr w:type="gramStart"/>
            <w:r w:rsidRPr="000D1C0B">
              <w:rPr>
                <w:rFonts w:ascii="Arial" w:hAnsi="Arial" w:cs="Arial"/>
                <w:sz w:val="18"/>
                <w:szCs w:val="18"/>
              </w:rPr>
              <w:t>En relación al</w:t>
            </w:r>
            <w:proofErr w:type="gramEnd"/>
            <w:r w:rsidRPr="000D1C0B">
              <w:rPr>
                <w:rFonts w:ascii="Arial" w:hAnsi="Arial" w:cs="Arial"/>
                <w:sz w:val="18"/>
                <w:szCs w:val="18"/>
              </w:rPr>
              <w:t xml:space="preserve"> literal f), lo solicitado deberá ser remitido a esta Superintendencia dentro de los </w:t>
            </w:r>
            <w:r w:rsidRPr="000D1C0B">
              <w:rPr>
                <w:rFonts w:ascii="Arial" w:hAnsi="Arial" w:cs="Arial"/>
                <w:b/>
                <w:bCs/>
                <w:sz w:val="18"/>
                <w:szCs w:val="18"/>
              </w:rPr>
              <w:t>30 días hábiles</w:t>
            </w:r>
            <w:r w:rsidRPr="000D1C0B">
              <w:rPr>
                <w:rFonts w:ascii="Arial" w:hAnsi="Arial" w:cs="Arial"/>
                <w:sz w:val="18"/>
                <w:szCs w:val="18"/>
              </w:rPr>
              <w:t xml:space="preserve"> siguientes a su ocurrencia.</w:t>
            </w:r>
          </w:p>
        </w:tc>
      </w:tr>
      <w:tr w:rsidR="00C033AD" w:rsidRPr="000D1C0B" w14:paraId="5B24C860" w14:textId="77777777" w:rsidTr="00A74791">
        <w:trPr>
          <w:trHeight w:val="512"/>
        </w:trPr>
        <w:tc>
          <w:tcPr>
            <w:tcW w:w="416" w:type="dxa"/>
          </w:tcPr>
          <w:p w14:paraId="6DA1098A" w14:textId="0C1F5A97" w:rsidR="005A0BC1" w:rsidRPr="000D1C0B" w:rsidRDefault="005A0BC1" w:rsidP="005A0BC1">
            <w:pPr>
              <w:spacing w:line="240" w:lineRule="auto"/>
              <w:jc w:val="center"/>
              <w:rPr>
                <w:rFonts w:ascii="Arial" w:hAnsi="Arial" w:cs="Arial"/>
                <w:bCs/>
                <w:spacing w:val="-3"/>
                <w:sz w:val="18"/>
                <w:szCs w:val="18"/>
              </w:rPr>
            </w:pPr>
            <w:r w:rsidRPr="000D1C0B">
              <w:rPr>
                <w:rFonts w:ascii="Arial" w:hAnsi="Arial" w:cs="Arial"/>
                <w:bCs/>
                <w:spacing w:val="-3"/>
                <w:sz w:val="18"/>
                <w:szCs w:val="18"/>
              </w:rPr>
              <w:lastRenderedPageBreak/>
              <w:t>1</w:t>
            </w:r>
            <w:r w:rsidR="00C033AD" w:rsidRPr="000D1C0B">
              <w:rPr>
                <w:rFonts w:ascii="Arial" w:hAnsi="Arial" w:cs="Arial"/>
                <w:bCs/>
                <w:spacing w:val="-3"/>
                <w:sz w:val="18"/>
                <w:szCs w:val="18"/>
              </w:rPr>
              <w:t>2</w:t>
            </w:r>
          </w:p>
        </w:tc>
        <w:tc>
          <w:tcPr>
            <w:tcW w:w="1267" w:type="dxa"/>
          </w:tcPr>
          <w:p w14:paraId="69337D4A" w14:textId="7609C4AF" w:rsidR="005A0BC1" w:rsidRPr="000D1C0B" w:rsidRDefault="005A0BC1" w:rsidP="005A0BC1">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 N°105/2019</w:t>
            </w:r>
          </w:p>
          <w:p w14:paraId="775A6D46" w14:textId="77777777" w:rsidR="005A0BC1" w:rsidRPr="000D1C0B" w:rsidRDefault="005A0BC1" w:rsidP="005A0BC1">
            <w:pPr>
              <w:spacing w:after="0" w:line="240" w:lineRule="auto"/>
              <w:jc w:val="center"/>
              <w:rPr>
                <w:rFonts w:ascii="Arial" w:hAnsi="Arial" w:cs="Arial"/>
                <w:bCs/>
                <w:spacing w:val="-3"/>
                <w:sz w:val="18"/>
                <w:szCs w:val="18"/>
              </w:rPr>
            </w:pPr>
          </w:p>
          <w:p w14:paraId="631F1E1F" w14:textId="77777777" w:rsidR="005A0BC1" w:rsidRPr="000D1C0B" w:rsidRDefault="005A0BC1" w:rsidP="005A0BC1">
            <w:pPr>
              <w:spacing w:after="0" w:line="240" w:lineRule="auto"/>
              <w:jc w:val="center"/>
              <w:rPr>
                <w:rFonts w:ascii="Arial" w:hAnsi="Arial" w:cs="Arial"/>
                <w:bCs/>
                <w:spacing w:val="-3"/>
                <w:sz w:val="18"/>
                <w:szCs w:val="18"/>
              </w:rPr>
            </w:pPr>
            <w:r w:rsidRPr="000D1C0B">
              <w:rPr>
                <w:rFonts w:ascii="Arial" w:hAnsi="Arial" w:cs="Arial"/>
                <w:bCs/>
                <w:spacing w:val="-3"/>
                <w:sz w:val="18"/>
                <w:szCs w:val="18"/>
              </w:rPr>
              <w:t>modificada por la</w:t>
            </w:r>
          </w:p>
          <w:p w14:paraId="3BD389AB" w14:textId="77777777" w:rsidR="005A0BC1" w:rsidRPr="000D1C0B" w:rsidRDefault="005A0BC1" w:rsidP="005A0BC1">
            <w:pPr>
              <w:spacing w:after="0" w:line="240" w:lineRule="auto"/>
              <w:jc w:val="center"/>
              <w:rPr>
                <w:rFonts w:ascii="Arial" w:hAnsi="Arial" w:cs="Arial"/>
                <w:bCs/>
                <w:spacing w:val="-3"/>
                <w:sz w:val="18"/>
                <w:szCs w:val="18"/>
              </w:rPr>
            </w:pPr>
          </w:p>
          <w:p w14:paraId="3D552902" w14:textId="77777777" w:rsidR="005A0BC1" w:rsidRPr="000D1C0B" w:rsidRDefault="005A0BC1" w:rsidP="005A0BC1">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 N°109/2020</w:t>
            </w:r>
          </w:p>
          <w:p w14:paraId="55F7EDDD" w14:textId="287A57BF" w:rsidR="005A0BC1" w:rsidRPr="000D1C0B" w:rsidRDefault="005A0BC1" w:rsidP="005A0BC1">
            <w:pPr>
              <w:spacing w:line="240" w:lineRule="auto"/>
              <w:jc w:val="center"/>
              <w:rPr>
                <w:rFonts w:ascii="Arial" w:hAnsi="Arial" w:cs="Arial"/>
                <w:bCs/>
                <w:spacing w:val="-3"/>
                <w:sz w:val="18"/>
                <w:szCs w:val="18"/>
              </w:rPr>
            </w:pPr>
          </w:p>
        </w:tc>
        <w:tc>
          <w:tcPr>
            <w:tcW w:w="2582" w:type="dxa"/>
          </w:tcPr>
          <w:p w14:paraId="4871DAFE" w14:textId="0D186F44" w:rsidR="005A0BC1" w:rsidRPr="000D1C0B" w:rsidRDefault="005A0BC1" w:rsidP="005A0BC1">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procedimientos operativos</w:t>
            </w:r>
          </w:p>
          <w:p w14:paraId="236D2582" w14:textId="62537D40" w:rsidR="005A0BC1" w:rsidRPr="000D1C0B" w:rsidRDefault="005A0BC1" w:rsidP="005A0BC1">
            <w:pPr>
              <w:spacing w:line="240" w:lineRule="auto"/>
              <w:jc w:val="both"/>
              <w:rPr>
                <w:rFonts w:ascii="Arial" w:hAnsi="Arial" w:cs="Arial"/>
                <w:bCs/>
                <w:spacing w:val="-3"/>
                <w:sz w:val="18"/>
                <w:szCs w:val="18"/>
              </w:rPr>
            </w:pPr>
          </w:p>
        </w:tc>
        <w:tc>
          <w:tcPr>
            <w:tcW w:w="3666" w:type="dxa"/>
          </w:tcPr>
          <w:p w14:paraId="48BD8117" w14:textId="7276995B" w:rsidR="005A0BC1" w:rsidRPr="000D1C0B" w:rsidRDefault="005A0BC1" w:rsidP="005A0BC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Numeral 3.1</w:t>
            </w:r>
            <w:r w:rsidR="00CF2D5E" w:rsidRPr="000D1C0B">
              <w:rPr>
                <w:rFonts w:ascii="Arial" w:hAnsi="Arial" w:cs="Arial"/>
                <w:b/>
                <w:bCs/>
                <w:sz w:val="18"/>
                <w:szCs w:val="18"/>
              </w:rPr>
              <w:t xml:space="preserve"> del título II</w:t>
            </w:r>
            <w:r w:rsidRPr="000D1C0B">
              <w:rPr>
                <w:rFonts w:ascii="Arial" w:hAnsi="Arial" w:cs="Arial"/>
                <w:b/>
                <w:bCs/>
                <w:sz w:val="18"/>
                <w:szCs w:val="18"/>
              </w:rPr>
              <w:t>:</w:t>
            </w:r>
          </w:p>
          <w:p w14:paraId="290E29DF"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1F6913AD"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Cabe señalar que las sociedades operadoras deberán implementar un registro manual o digital de las mantenciones efectuadas, en el que se detallen las actividades realizadas y los componentes cambiados y/o reparados. Una vez implementado el referido procedimiento, éste deberá ser remitido a esta Superintendencia para su conocimiento dentro del plazo de </w:t>
            </w:r>
            <w:r w:rsidRPr="000D1C0B">
              <w:rPr>
                <w:rFonts w:ascii="Arial" w:hAnsi="Arial" w:cs="Arial"/>
                <w:b/>
                <w:bCs/>
                <w:sz w:val="18"/>
                <w:szCs w:val="18"/>
              </w:rPr>
              <w:t>5 días hábiles</w:t>
            </w:r>
            <w:r w:rsidRPr="000D1C0B">
              <w:rPr>
                <w:rFonts w:ascii="Arial" w:hAnsi="Arial" w:cs="Arial"/>
                <w:sz w:val="18"/>
                <w:szCs w:val="18"/>
              </w:rPr>
              <w:t xml:space="preserve"> contado desde su implementación, así como las modificaciones al mismo. </w:t>
            </w:r>
          </w:p>
          <w:p w14:paraId="1D248826" w14:textId="1B20D630" w:rsidR="005A0BC1" w:rsidRPr="000D1C0B" w:rsidRDefault="00AA6FBC"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 </w:t>
            </w:r>
          </w:p>
          <w:p w14:paraId="1D87EB67" w14:textId="5D31DDBC" w:rsidR="005A0BC1" w:rsidRPr="000D1C0B" w:rsidRDefault="005A0BC1" w:rsidP="005A0BC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Numeral 3.4</w:t>
            </w:r>
            <w:r w:rsidR="00CF2D5E" w:rsidRPr="000D1C0B">
              <w:rPr>
                <w:rFonts w:ascii="Arial" w:hAnsi="Arial" w:cs="Arial"/>
                <w:b/>
                <w:bCs/>
                <w:sz w:val="18"/>
                <w:szCs w:val="18"/>
              </w:rPr>
              <w:t xml:space="preserve"> del título II</w:t>
            </w:r>
            <w:r w:rsidRPr="000D1C0B">
              <w:rPr>
                <w:rFonts w:ascii="Arial" w:hAnsi="Arial" w:cs="Arial"/>
                <w:b/>
                <w:bCs/>
                <w:sz w:val="18"/>
                <w:szCs w:val="18"/>
              </w:rPr>
              <w:t>:</w:t>
            </w:r>
          </w:p>
          <w:p w14:paraId="025EA0D8" w14:textId="77777777" w:rsidR="005A0BC1" w:rsidRPr="000D1C0B" w:rsidRDefault="005A0BC1" w:rsidP="005A0BC1">
            <w:pPr>
              <w:autoSpaceDE w:val="0"/>
              <w:autoSpaceDN w:val="0"/>
              <w:adjustRightInd w:val="0"/>
              <w:spacing w:after="0" w:line="240" w:lineRule="auto"/>
              <w:rPr>
                <w:rFonts w:ascii="Arial" w:hAnsi="Arial" w:cs="Arial"/>
                <w:sz w:val="18"/>
                <w:szCs w:val="18"/>
              </w:rPr>
            </w:pPr>
          </w:p>
          <w:p w14:paraId="42626F85" w14:textId="4F83AD01" w:rsidR="005A0BC1"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La custodia y administración de llaves que permitan cualquier acceso a una máquina de </w:t>
            </w:r>
            <w:proofErr w:type="gramStart"/>
            <w:r w:rsidRPr="000D1C0B">
              <w:rPr>
                <w:rFonts w:ascii="Arial" w:hAnsi="Arial" w:cs="Arial"/>
                <w:sz w:val="18"/>
                <w:szCs w:val="18"/>
              </w:rPr>
              <w:t>azar,</w:t>
            </w:r>
            <w:proofErr w:type="gramEnd"/>
            <w:r w:rsidRPr="000D1C0B">
              <w:rPr>
                <w:rFonts w:ascii="Arial" w:hAnsi="Arial" w:cs="Arial"/>
                <w:sz w:val="18"/>
                <w:szCs w:val="18"/>
              </w:rPr>
              <w:t xml:space="preserve"> debe estar explícitamente definida en un procedimiento formal donde se detallen los cargos y responsables de su asignación, así como los controles asociados a su uso. Una vez implementado el referido procedimiento, éste</w:t>
            </w:r>
            <w:r w:rsidR="00FD3352" w:rsidRPr="000D1C0B">
              <w:rPr>
                <w:rFonts w:ascii="Arial" w:hAnsi="Arial" w:cs="Arial"/>
                <w:sz w:val="18"/>
                <w:szCs w:val="18"/>
              </w:rPr>
              <w:t xml:space="preserve"> </w:t>
            </w:r>
            <w:r w:rsidR="009E302F" w:rsidRPr="000D1C0B">
              <w:rPr>
                <w:rFonts w:ascii="Arial" w:hAnsi="Arial" w:cs="Arial"/>
                <w:sz w:val="18"/>
                <w:szCs w:val="18"/>
              </w:rPr>
              <w:t>deberá</w:t>
            </w:r>
            <w:r w:rsidRPr="000D1C0B">
              <w:rPr>
                <w:rFonts w:ascii="Arial" w:hAnsi="Arial" w:cs="Arial"/>
                <w:sz w:val="18"/>
                <w:szCs w:val="18"/>
              </w:rPr>
              <w:t xml:space="preserve"> ser remitido a esta Superintendencia para su conocimiento dentro del plazo </w:t>
            </w:r>
            <w:r w:rsidRPr="000D1C0B">
              <w:rPr>
                <w:rFonts w:ascii="Arial" w:hAnsi="Arial" w:cs="Arial"/>
                <w:b/>
                <w:bCs/>
                <w:sz w:val="18"/>
                <w:szCs w:val="18"/>
              </w:rPr>
              <w:t>de 5 días hábiles</w:t>
            </w:r>
            <w:r w:rsidRPr="000D1C0B">
              <w:rPr>
                <w:rFonts w:ascii="Arial" w:hAnsi="Arial" w:cs="Arial"/>
                <w:sz w:val="18"/>
                <w:szCs w:val="18"/>
              </w:rPr>
              <w:t xml:space="preserve"> contado desde su implementación, así como las modificaciones al mismo.</w:t>
            </w:r>
          </w:p>
          <w:p w14:paraId="71CD3B57" w14:textId="1653E3B1" w:rsidR="005A0BC1" w:rsidRPr="000D1C0B" w:rsidRDefault="005A0BC1" w:rsidP="005A0BC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lastRenderedPageBreak/>
              <w:t>Numeral 3.7</w:t>
            </w:r>
            <w:r w:rsidR="00685651" w:rsidRPr="000D1C0B">
              <w:rPr>
                <w:rFonts w:ascii="Arial" w:hAnsi="Arial" w:cs="Arial"/>
                <w:b/>
                <w:bCs/>
                <w:sz w:val="18"/>
                <w:szCs w:val="18"/>
              </w:rPr>
              <w:t xml:space="preserve"> del título II</w:t>
            </w:r>
            <w:r w:rsidRPr="000D1C0B">
              <w:rPr>
                <w:rFonts w:ascii="Arial" w:hAnsi="Arial" w:cs="Arial"/>
                <w:b/>
                <w:bCs/>
                <w:sz w:val="18"/>
                <w:szCs w:val="18"/>
              </w:rPr>
              <w:t>:</w:t>
            </w:r>
          </w:p>
          <w:p w14:paraId="696A5E35"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p>
          <w:p w14:paraId="2D44A71F" w14:textId="640E3E37" w:rsidR="005A0BC1"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Las sociedades operadoras deberán elaborar un procedimiento relativo al tratamiento de las tarjetas de juego utilizadas para realizar apuestas, en el cual deben detallarse aspectos como control de inventario, tratamiento, custodia y cargas de saldos. Una vez implementado el referido procedimiento, éste deberá ser remitido a esta Superintendencia para su conocimiento dentro del plazo de </w:t>
            </w:r>
            <w:r w:rsidRPr="000D1C0B">
              <w:rPr>
                <w:rFonts w:ascii="Arial" w:hAnsi="Arial" w:cs="Arial"/>
                <w:b/>
                <w:bCs/>
                <w:sz w:val="18"/>
                <w:szCs w:val="18"/>
              </w:rPr>
              <w:t>5 días hábiles</w:t>
            </w:r>
            <w:r w:rsidRPr="000D1C0B">
              <w:rPr>
                <w:rFonts w:ascii="Arial" w:hAnsi="Arial" w:cs="Arial"/>
                <w:sz w:val="18"/>
                <w:szCs w:val="18"/>
              </w:rPr>
              <w:t xml:space="preserve"> contado desde su implementación, así como las modificaciones al mismo.</w:t>
            </w:r>
          </w:p>
        </w:tc>
        <w:tc>
          <w:tcPr>
            <w:tcW w:w="5247" w:type="dxa"/>
          </w:tcPr>
          <w:p w14:paraId="56037BF6" w14:textId="41DBD4E8" w:rsidR="005A0BC1" w:rsidRPr="000D1C0B" w:rsidRDefault="005A0BC1" w:rsidP="005A0BC1">
            <w:pPr>
              <w:spacing w:after="0" w:line="240" w:lineRule="auto"/>
              <w:jc w:val="both"/>
              <w:rPr>
                <w:rFonts w:ascii="Arial" w:hAnsi="Arial" w:cs="Arial"/>
                <w:sz w:val="18"/>
                <w:szCs w:val="18"/>
              </w:rPr>
            </w:pPr>
            <w:r w:rsidRPr="000D1C0B">
              <w:rPr>
                <w:rFonts w:ascii="Arial" w:hAnsi="Arial" w:cs="Arial"/>
                <w:b/>
                <w:bCs/>
                <w:sz w:val="18"/>
                <w:szCs w:val="18"/>
              </w:rPr>
              <w:lastRenderedPageBreak/>
              <w:t>Reemplácese el numeral 3.1</w:t>
            </w:r>
            <w:r w:rsidR="00417FC1" w:rsidRPr="000D1C0B">
              <w:rPr>
                <w:rFonts w:ascii="Arial" w:hAnsi="Arial" w:cs="Arial"/>
                <w:b/>
                <w:bCs/>
                <w:sz w:val="18"/>
                <w:szCs w:val="18"/>
              </w:rPr>
              <w:t xml:space="preserve"> del título II</w:t>
            </w:r>
            <w:r w:rsidRPr="000D1C0B">
              <w:rPr>
                <w:rFonts w:ascii="Arial" w:hAnsi="Arial" w:cs="Arial"/>
                <w:sz w:val="18"/>
                <w:szCs w:val="18"/>
              </w:rPr>
              <w:t>:</w:t>
            </w:r>
          </w:p>
          <w:p w14:paraId="5EB773B1" w14:textId="77777777" w:rsidR="005A0BC1" w:rsidRPr="000D1C0B" w:rsidRDefault="005A0BC1" w:rsidP="005A0BC1">
            <w:pPr>
              <w:spacing w:after="0" w:line="240" w:lineRule="auto"/>
              <w:jc w:val="both"/>
              <w:rPr>
                <w:rFonts w:ascii="Arial" w:hAnsi="Arial" w:cs="Arial"/>
                <w:sz w:val="18"/>
                <w:szCs w:val="18"/>
              </w:rPr>
            </w:pPr>
          </w:p>
          <w:p w14:paraId="3EDE39A6"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Cabe señalar que las sociedades operadoras deberán implementar un registro manual o digital de las mantenciones efectuadas, en el que se detallen las actividades realizadas y los componentes cambiados y/o reparados. Una vez implementado el referido procedimiento, éste deberá ser remitido a esta Superintendencia para su conocimiento dentro del plazo de </w:t>
            </w:r>
            <w:r w:rsidRPr="000D1C0B">
              <w:rPr>
                <w:rFonts w:ascii="Arial" w:hAnsi="Arial" w:cs="Arial"/>
                <w:b/>
                <w:bCs/>
                <w:sz w:val="18"/>
                <w:szCs w:val="18"/>
              </w:rPr>
              <w:t>10 días hábiles</w:t>
            </w:r>
            <w:r w:rsidRPr="000D1C0B">
              <w:rPr>
                <w:rFonts w:ascii="Arial" w:hAnsi="Arial" w:cs="Arial"/>
                <w:sz w:val="18"/>
                <w:szCs w:val="18"/>
              </w:rPr>
              <w:t xml:space="preserve"> contado desde su implementación, así como las modificaciones al mismo.</w:t>
            </w:r>
          </w:p>
          <w:p w14:paraId="6E5661CE" w14:textId="20862F27" w:rsidR="005A0BC1" w:rsidRDefault="005A0BC1" w:rsidP="005A0BC1">
            <w:pPr>
              <w:spacing w:after="0" w:line="240" w:lineRule="auto"/>
              <w:jc w:val="both"/>
              <w:rPr>
                <w:rFonts w:ascii="Arial" w:hAnsi="Arial" w:cs="Arial"/>
                <w:sz w:val="18"/>
                <w:szCs w:val="18"/>
              </w:rPr>
            </w:pPr>
          </w:p>
          <w:p w14:paraId="56CBAE3A" w14:textId="5EE7D6B6" w:rsidR="00DF6B17" w:rsidRDefault="00DF6B17" w:rsidP="005A0BC1">
            <w:pPr>
              <w:spacing w:after="0" w:line="240" w:lineRule="auto"/>
              <w:jc w:val="both"/>
              <w:rPr>
                <w:rFonts w:ascii="Arial" w:hAnsi="Arial" w:cs="Arial"/>
                <w:sz w:val="18"/>
                <w:szCs w:val="18"/>
              </w:rPr>
            </w:pPr>
          </w:p>
          <w:p w14:paraId="7F24F6AE" w14:textId="481866FF" w:rsidR="00DF6B17" w:rsidRDefault="00DF6B17" w:rsidP="005A0BC1">
            <w:pPr>
              <w:spacing w:after="0" w:line="240" w:lineRule="auto"/>
              <w:jc w:val="both"/>
              <w:rPr>
                <w:rFonts w:ascii="Arial" w:hAnsi="Arial" w:cs="Arial"/>
                <w:sz w:val="18"/>
                <w:szCs w:val="18"/>
              </w:rPr>
            </w:pPr>
          </w:p>
          <w:p w14:paraId="6B343327" w14:textId="4C9B5C4C" w:rsidR="00DF6B17" w:rsidRDefault="00DF6B17" w:rsidP="005A0BC1">
            <w:pPr>
              <w:spacing w:after="0" w:line="240" w:lineRule="auto"/>
              <w:jc w:val="both"/>
              <w:rPr>
                <w:rFonts w:ascii="Arial" w:hAnsi="Arial" w:cs="Arial"/>
                <w:sz w:val="18"/>
                <w:szCs w:val="18"/>
              </w:rPr>
            </w:pPr>
          </w:p>
          <w:p w14:paraId="7F30B6A2" w14:textId="0ADB5BB1" w:rsidR="00DF6B17" w:rsidRDefault="00DF6B17" w:rsidP="005A0BC1">
            <w:pPr>
              <w:spacing w:after="0" w:line="240" w:lineRule="auto"/>
              <w:jc w:val="both"/>
              <w:rPr>
                <w:rFonts w:ascii="Arial" w:hAnsi="Arial" w:cs="Arial"/>
                <w:sz w:val="18"/>
                <w:szCs w:val="18"/>
              </w:rPr>
            </w:pPr>
          </w:p>
          <w:p w14:paraId="1C594C13" w14:textId="77777777" w:rsidR="00DF6B17" w:rsidRPr="000D1C0B" w:rsidRDefault="00DF6B17" w:rsidP="005A0BC1">
            <w:pPr>
              <w:spacing w:after="0" w:line="240" w:lineRule="auto"/>
              <w:jc w:val="both"/>
              <w:rPr>
                <w:rFonts w:ascii="Arial" w:hAnsi="Arial" w:cs="Arial"/>
                <w:sz w:val="18"/>
                <w:szCs w:val="18"/>
              </w:rPr>
            </w:pPr>
          </w:p>
          <w:p w14:paraId="02F30723" w14:textId="7BBBA19F" w:rsidR="005A0BC1" w:rsidRPr="000D1C0B" w:rsidRDefault="005A0BC1" w:rsidP="005A0BC1">
            <w:pPr>
              <w:spacing w:after="0" w:line="240" w:lineRule="auto"/>
              <w:jc w:val="both"/>
              <w:rPr>
                <w:rFonts w:ascii="Arial" w:hAnsi="Arial" w:cs="Arial"/>
                <w:b/>
                <w:bCs/>
                <w:sz w:val="18"/>
                <w:szCs w:val="18"/>
              </w:rPr>
            </w:pPr>
            <w:r w:rsidRPr="000D1C0B">
              <w:rPr>
                <w:rFonts w:ascii="Arial" w:hAnsi="Arial" w:cs="Arial"/>
                <w:b/>
                <w:bCs/>
                <w:sz w:val="18"/>
                <w:szCs w:val="18"/>
              </w:rPr>
              <w:t>Reemplácese el numeral 3.4</w:t>
            </w:r>
            <w:r w:rsidR="00CF2D5E" w:rsidRPr="000D1C0B">
              <w:rPr>
                <w:rFonts w:ascii="Arial" w:hAnsi="Arial" w:cs="Arial"/>
                <w:b/>
                <w:bCs/>
                <w:sz w:val="18"/>
                <w:szCs w:val="18"/>
              </w:rPr>
              <w:t xml:space="preserve"> de título II</w:t>
            </w:r>
            <w:r w:rsidRPr="000D1C0B">
              <w:rPr>
                <w:rFonts w:ascii="Arial" w:hAnsi="Arial" w:cs="Arial"/>
                <w:b/>
                <w:bCs/>
                <w:sz w:val="18"/>
                <w:szCs w:val="18"/>
              </w:rPr>
              <w:t>:</w:t>
            </w:r>
          </w:p>
          <w:p w14:paraId="40658163" w14:textId="77777777" w:rsidR="005A0BC1" w:rsidRPr="000D1C0B" w:rsidRDefault="005A0BC1" w:rsidP="005A0BC1">
            <w:pPr>
              <w:spacing w:after="0" w:line="240" w:lineRule="auto"/>
              <w:jc w:val="both"/>
              <w:rPr>
                <w:rFonts w:ascii="Arial" w:hAnsi="Arial" w:cs="Arial"/>
                <w:sz w:val="18"/>
                <w:szCs w:val="18"/>
              </w:rPr>
            </w:pPr>
          </w:p>
          <w:p w14:paraId="11218B3C" w14:textId="77777777" w:rsidR="005A0BC1" w:rsidRPr="000D1C0B" w:rsidRDefault="005A0BC1" w:rsidP="005A0BC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 La custodia y administración de llaves que permitan cualquier acceso a una máquina de </w:t>
            </w:r>
            <w:proofErr w:type="gramStart"/>
            <w:r w:rsidRPr="000D1C0B">
              <w:rPr>
                <w:rFonts w:ascii="Arial" w:hAnsi="Arial" w:cs="Arial"/>
                <w:sz w:val="18"/>
                <w:szCs w:val="18"/>
              </w:rPr>
              <w:t>azar,</w:t>
            </w:r>
            <w:proofErr w:type="gramEnd"/>
            <w:r w:rsidRPr="000D1C0B">
              <w:rPr>
                <w:rFonts w:ascii="Arial" w:hAnsi="Arial" w:cs="Arial"/>
                <w:sz w:val="18"/>
                <w:szCs w:val="18"/>
              </w:rPr>
              <w:t xml:space="preserve"> debe estar explícitamente definida en un procedimiento formal donde se detallen los cargos y responsables de su asignación, así como los controles asociados a su uso. Una vez implementado el referido procedimiento, éste deberá ser remitido a esta Superintendencia para su conocimiento dentro del plazo de </w:t>
            </w:r>
            <w:r w:rsidRPr="000D1C0B">
              <w:rPr>
                <w:rFonts w:ascii="Arial" w:hAnsi="Arial" w:cs="Arial"/>
                <w:b/>
                <w:bCs/>
                <w:sz w:val="18"/>
                <w:szCs w:val="18"/>
              </w:rPr>
              <w:t>10 días hábiles</w:t>
            </w:r>
            <w:r w:rsidRPr="000D1C0B">
              <w:rPr>
                <w:rFonts w:ascii="Arial" w:hAnsi="Arial" w:cs="Arial"/>
                <w:sz w:val="18"/>
                <w:szCs w:val="18"/>
              </w:rPr>
              <w:t xml:space="preserve"> contado desde su implementación, así como las modificaciones al mismo.</w:t>
            </w:r>
          </w:p>
          <w:p w14:paraId="4EE7463A" w14:textId="28C84647" w:rsidR="005A0BC1" w:rsidRDefault="005A0BC1" w:rsidP="005A0BC1">
            <w:pPr>
              <w:spacing w:after="0" w:line="240" w:lineRule="auto"/>
              <w:jc w:val="both"/>
              <w:rPr>
                <w:rFonts w:ascii="Arial" w:hAnsi="Arial" w:cs="Arial"/>
                <w:sz w:val="18"/>
                <w:szCs w:val="18"/>
              </w:rPr>
            </w:pPr>
          </w:p>
          <w:p w14:paraId="263CCF50" w14:textId="05E9E86A" w:rsidR="00DF6B17" w:rsidRDefault="00DF6B17" w:rsidP="005A0BC1">
            <w:pPr>
              <w:spacing w:after="0" w:line="240" w:lineRule="auto"/>
              <w:jc w:val="both"/>
              <w:rPr>
                <w:rFonts w:ascii="Arial" w:hAnsi="Arial" w:cs="Arial"/>
                <w:sz w:val="18"/>
                <w:szCs w:val="18"/>
              </w:rPr>
            </w:pPr>
          </w:p>
          <w:p w14:paraId="7985CE65" w14:textId="1D4BF91F" w:rsidR="00DF6B17" w:rsidRDefault="00DF6B17" w:rsidP="005A0BC1">
            <w:pPr>
              <w:spacing w:after="0" w:line="240" w:lineRule="auto"/>
              <w:jc w:val="both"/>
              <w:rPr>
                <w:rFonts w:ascii="Arial" w:hAnsi="Arial" w:cs="Arial"/>
                <w:sz w:val="18"/>
                <w:szCs w:val="18"/>
              </w:rPr>
            </w:pPr>
          </w:p>
          <w:p w14:paraId="0A4CC477" w14:textId="77777777" w:rsidR="00DF6B17" w:rsidRPr="000D1C0B" w:rsidRDefault="00DF6B17" w:rsidP="005A0BC1">
            <w:pPr>
              <w:spacing w:after="0" w:line="240" w:lineRule="auto"/>
              <w:jc w:val="both"/>
              <w:rPr>
                <w:rFonts w:ascii="Arial" w:hAnsi="Arial" w:cs="Arial"/>
                <w:sz w:val="18"/>
                <w:szCs w:val="18"/>
              </w:rPr>
            </w:pPr>
          </w:p>
          <w:p w14:paraId="197DF936" w14:textId="6CDDDC28" w:rsidR="005A0BC1" w:rsidRPr="000D1C0B" w:rsidRDefault="005A0BC1" w:rsidP="005A0BC1">
            <w:pPr>
              <w:spacing w:after="0" w:line="240" w:lineRule="auto"/>
              <w:jc w:val="both"/>
              <w:rPr>
                <w:rFonts w:ascii="Arial" w:hAnsi="Arial" w:cs="Arial"/>
                <w:b/>
                <w:bCs/>
                <w:sz w:val="18"/>
                <w:szCs w:val="18"/>
              </w:rPr>
            </w:pPr>
            <w:r w:rsidRPr="000D1C0B">
              <w:rPr>
                <w:rFonts w:ascii="Arial" w:hAnsi="Arial" w:cs="Arial"/>
                <w:b/>
                <w:bCs/>
                <w:sz w:val="18"/>
                <w:szCs w:val="18"/>
              </w:rPr>
              <w:lastRenderedPageBreak/>
              <w:t>Reemplácese el numeral 3.7</w:t>
            </w:r>
            <w:r w:rsidR="00685651" w:rsidRPr="000D1C0B">
              <w:rPr>
                <w:rFonts w:ascii="Arial" w:hAnsi="Arial" w:cs="Arial"/>
                <w:b/>
                <w:bCs/>
                <w:sz w:val="18"/>
                <w:szCs w:val="18"/>
              </w:rPr>
              <w:t xml:space="preserve"> del título II</w:t>
            </w:r>
            <w:r w:rsidRPr="000D1C0B">
              <w:rPr>
                <w:rFonts w:ascii="Arial" w:hAnsi="Arial" w:cs="Arial"/>
                <w:b/>
                <w:bCs/>
                <w:sz w:val="18"/>
                <w:szCs w:val="18"/>
              </w:rPr>
              <w:t>:</w:t>
            </w:r>
          </w:p>
          <w:p w14:paraId="10CE53CD" w14:textId="77777777" w:rsidR="005A0BC1" w:rsidRPr="000D1C0B" w:rsidRDefault="005A0BC1" w:rsidP="005A0BC1">
            <w:pPr>
              <w:spacing w:after="0" w:line="240" w:lineRule="auto"/>
              <w:jc w:val="both"/>
              <w:rPr>
                <w:rFonts w:ascii="Arial" w:hAnsi="Arial" w:cs="Arial"/>
                <w:sz w:val="18"/>
                <w:szCs w:val="18"/>
              </w:rPr>
            </w:pPr>
          </w:p>
          <w:p w14:paraId="3DCC2142" w14:textId="1175BD4B" w:rsidR="005A0BC1" w:rsidRPr="000D1C0B" w:rsidRDefault="005A0BC1" w:rsidP="00087B9F">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Las sociedades operadoras deberán elaborar un procedimiento relativo al tratamiento de las tarjetas de juego utilizadas para realizar apuestas, en el cual deben detallarse aspectos como control de inventario, tratamiento, custodia y cargas de saldos. Una vez implementado el referido procedimiento, éste deberá ser remitido a esta Superintendencia para su conocimiento dentro del plazo de </w:t>
            </w:r>
            <w:r w:rsidRPr="000D1C0B">
              <w:rPr>
                <w:rFonts w:ascii="Arial" w:hAnsi="Arial" w:cs="Arial"/>
                <w:b/>
                <w:bCs/>
                <w:sz w:val="18"/>
                <w:szCs w:val="18"/>
              </w:rPr>
              <w:t>10 días hábiles</w:t>
            </w:r>
            <w:r w:rsidRPr="000D1C0B">
              <w:rPr>
                <w:rFonts w:ascii="Arial" w:hAnsi="Arial" w:cs="Arial"/>
                <w:sz w:val="18"/>
                <w:szCs w:val="18"/>
              </w:rPr>
              <w:t xml:space="preserve"> contado desde su implementación, así como las modificaciones al mismo.</w:t>
            </w:r>
          </w:p>
        </w:tc>
      </w:tr>
      <w:tr w:rsidR="00C033AD" w:rsidRPr="000D1C0B" w14:paraId="0B462638" w14:textId="77777777" w:rsidTr="00A74791">
        <w:trPr>
          <w:trHeight w:val="512"/>
        </w:trPr>
        <w:tc>
          <w:tcPr>
            <w:tcW w:w="416" w:type="dxa"/>
          </w:tcPr>
          <w:p w14:paraId="2F85E3A9" w14:textId="04F56260" w:rsidR="00670805" w:rsidRPr="000D1C0B" w:rsidRDefault="00670805" w:rsidP="00670805">
            <w:pPr>
              <w:spacing w:line="240" w:lineRule="auto"/>
              <w:jc w:val="center"/>
              <w:rPr>
                <w:rFonts w:ascii="Arial" w:hAnsi="Arial" w:cs="Arial"/>
                <w:bCs/>
                <w:spacing w:val="-3"/>
                <w:sz w:val="18"/>
                <w:szCs w:val="18"/>
              </w:rPr>
            </w:pPr>
            <w:r w:rsidRPr="000D1C0B">
              <w:rPr>
                <w:rFonts w:ascii="Arial" w:hAnsi="Arial" w:cs="Arial"/>
                <w:bCs/>
                <w:spacing w:val="-3"/>
                <w:sz w:val="18"/>
                <w:szCs w:val="18"/>
              </w:rPr>
              <w:lastRenderedPageBreak/>
              <w:t>1</w:t>
            </w:r>
            <w:r w:rsidR="00C033AD" w:rsidRPr="000D1C0B">
              <w:rPr>
                <w:rFonts w:ascii="Arial" w:hAnsi="Arial" w:cs="Arial"/>
                <w:bCs/>
                <w:spacing w:val="-3"/>
                <w:sz w:val="18"/>
                <w:szCs w:val="18"/>
              </w:rPr>
              <w:t>3</w:t>
            </w:r>
          </w:p>
        </w:tc>
        <w:tc>
          <w:tcPr>
            <w:tcW w:w="1267" w:type="dxa"/>
          </w:tcPr>
          <w:p w14:paraId="3E7BA55C" w14:textId="09DFC7A5" w:rsidR="00670805" w:rsidRPr="000D1C0B" w:rsidRDefault="00670805" w:rsidP="00670805">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 N°106/2019</w:t>
            </w:r>
          </w:p>
        </w:tc>
        <w:tc>
          <w:tcPr>
            <w:tcW w:w="2582" w:type="dxa"/>
          </w:tcPr>
          <w:p w14:paraId="28838188" w14:textId="68FAB26C" w:rsidR="00670805" w:rsidRPr="000D1C0B" w:rsidRDefault="00670805" w:rsidP="00670805">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actualización o cambios del SMC</w:t>
            </w:r>
          </w:p>
        </w:tc>
        <w:tc>
          <w:tcPr>
            <w:tcW w:w="3666" w:type="dxa"/>
          </w:tcPr>
          <w:p w14:paraId="749BBCE3" w14:textId="77777777" w:rsidR="00670805" w:rsidRPr="000D1C0B" w:rsidRDefault="00670805" w:rsidP="00670805">
            <w:pPr>
              <w:autoSpaceDE w:val="0"/>
              <w:autoSpaceDN w:val="0"/>
              <w:adjustRightInd w:val="0"/>
              <w:spacing w:after="0" w:line="240" w:lineRule="auto"/>
              <w:jc w:val="both"/>
              <w:rPr>
                <w:rFonts w:ascii="Arial" w:hAnsi="Arial" w:cs="Arial"/>
                <w:color w:val="000000"/>
                <w:sz w:val="18"/>
                <w:szCs w:val="18"/>
              </w:rPr>
            </w:pPr>
            <w:r w:rsidRPr="000D1C0B">
              <w:rPr>
                <w:rFonts w:ascii="Arial" w:hAnsi="Arial" w:cs="Arial"/>
                <w:b/>
                <w:bCs/>
                <w:color w:val="000000"/>
                <w:sz w:val="18"/>
                <w:szCs w:val="18"/>
              </w:rPr>
              <w:t>Numeral 4 del título III</w:t>
            </w:r>
            <w:r w:rsidRPr="000D1C0B">
              <w:rPr>
                <w:rFonts w:ascii="Arial" w:hAnsi="Arial" w:cs="Arial"/>
                <w:color w:val="000000"/>
                <w:sz w:val="18"/>
                <w:szCs w:val="18"/>
              </w:rPr>
              <w:t>:</w:t>
            </w:r>
          </w:p>
          <w:p w14:paraId="15AA40A3" w14:textId="77777777" w:rsidR="00670805" w:rsidRPr="000D1C0B" w:rsidRDefault="00670805" w:rsidP="00670805">
            <w:pPr>
              <w:autoSpaceDE w:val="0"/>
              <w:autoSpaceDN w:val="0"/>
              <w:adjustRightInd w:val="0"/>
              <w:spacing w:after="0" w:line="240" w:lineRule="auto"/>
              <w:jc w:val="both"/>
              <w:rPr>
                <w:rFonts w:ascii="Arial" w:hAnsi="Arial" w:cs="Arial"/>
                <w:color w:val="000000"/>
                <w:sz w:val="18"/>
                <w:szCs w:val="18"/>
              </w:rPr>
            </w:pPr>
          </w:p>
          <w:p w14:paraId="3F7E5D8B" w14:textId="77777777" w:rsidR="00670805" w:rsidRPr="000D1C0B" w:rsidRDefault="00670805" w:rsidP="00670805">
            <w:pPr>
              <w:autoSpaceDE w:val="0"/>
              <w:autoSpaceDN w:val="0"/>
              <w:adjustRightInd w:val="0"/>
              <w:spacing w:after="0" w:line="240" w:lineRule="auto"/>
              <w:jc w:val="both"/>
              <w:rPr>
                <w:rFonts w:ascii="Arial" w:hAnsi="Arial" w:cs="Arial"/>
                <w:color w:val="000000"/>
                <w:sz w:val="18"/>
                <w:szCs w:val="18"/>
              </w:rPr>
            </w:pPr>
            <w:r w:rsidRPr="000D1C0B">
              <w:rPr>
                <w:rFonts w:ascii="Arial" w:hAnsi="Arial" w:cs="Arial"/>
                <w:color w:val="000000"/>
                <w:sz w:val="18"/>
                <w:szCs w:val="18"/>
              </w:rPr>
              <w:t xml:space="preserve">Las sociedades operadoras deberán notificar a la Superintendencia con una antelación de </w:t>
            </w:r>
            <w:r w:rsidRPr="000D1C0B">
              <w:rPr>
                <w:rFonts w:ascii="Arial" w:hAnsi="Arial" w:cs="Arial"/>
                <w:b/>
                <w:bCs/>
                <w:color w:val="000000"/>
                <w:sz w:val="18"/>
                <w:szCs w:val="18"/>
              </w:rPr>
              <w:t>a lo menos 5 días hábiles</w:t>
            </w:r>
            <w:r w:rsidRPr="000D1C0B">
              <w:rPr>
                <w:rFonts w:ascii="Arial" w:hAnsi="Arial" w:cs="Arial"/>
                <w:color w:val="000000"/>
                <w:sz w:val="18"/>
                <w:szCs w:val="18"/>
              </w:rPr>
              <w:t xml:space="preserve"> de la realización de las actualizaciones que se efectúen en el SMC o el cambio del sistema.</w:t>
            </w:r>
          </w:p>
          <w:p w14:paraId="6DD77D67" w14:textId="77777777" w:rsidR="00670805" w:rsidRPr="000D1C0B" w:rsidRDefault="00670805" w:rsidP="00670805">
            <w:pPr>
              <w:autoSpaceDE w:val="0"/>
              <w:autoSpaceDN w:val="0"/>
              <w:adjustRightInd w:val="0"/>
              <w:spacing w:after="0" w:line="240" w:lineRule="auto"/>
              <w:jc w:val="both"/>
              <w:rPr>
                <w:rFonts w:ascii="Arial" w:hAnsi="Arial" w:cs="Arial"/>
                <w:b/>
                <w:bCs/>
                <w:color w:val="000000"/>
                <w:sz w:val="18"/>
                <w:szCs w:val="18"/>
              </w:rPr>
            </w:pPr>
          </w:p>
          <w:p w14:paraId="580D0058" w14:textId="7EF2C56F" w:rsidR="00670805" w:rsidRPr="000D1C0B" w:rsidRDefault="00670805" w:rsidP="00670805">
            <w:pPr>
              <w:autoSpaceDE w:val="0"/>
              <w:autoSpaceDN w:val="0"/>
              <w:adjustRightInd w:val="0"/>
              <w:spacing w:after="0" w:line="240" w:lineRule="auto"/>
              <w:jc w:val="both"/>
              <w:rPr>
                <w:rFonts w:ascii="Arial" w:hAnsi="Arial" w:cs="Arial"/>
                <w:b/>
                <w:bCs/>
                <w:sz w:val="18"/>
                <w:szCs w:val="18"/>
              </w:rPr>
            </w:pPr>
            <w:r w:rsidRPr="000D1C0B">
              <w:rPr>
                <w:rFonts w:ascii="Arial" w:hAnsi="Arial" w:cs="Arial"/>
                <w:color w:val="000000"/>
                <w:sz w:val="18"/>
                <w:szCs w:val="18"/>
              </w:rPr>
              <w:t xml:space="preserve">Una vez efectuadas las modificaciones conforme a lo notificado a esta Superintendencia, las sociedades operadoras deberán notificar la efectiva realización de las referidas modificaciones en el plazo de </w:t>
            </w:r>
            <w:r w:rsidRPr="000D1C0B">
              <w:rPr>
                <w:rFonts w:ascii="Arial" w:hAnsi="Arial" w:cs="Arial"/>
                <w:b/>
                <w:bCs/>
                <w:color w:val="000000"/>
                <w:sz w:val="18"/>
                <w:szCs w:val="18"/>
              </w:rPr>
              <w:t xml:space="preserve">5 días hábiles </w:t>
            </w:r>
            <w:r w:rsidRPr="000D1C0B">
              <w:rPr>
                <w:rFonts w:ascii="Arial" w:hAnsi="Arial" w:cs="Arial"/>
                <w:color w:val="000000"/>
                <w:sz w:val="18"/>
                <w:szCs w:val="18"/>
              </w:rPr>
              <w:t xml:space="preserve">contados desde su total implementación. </w:t>
            </w:r>
          </w:p>
        </w:tc>
        <w:tc>
          <w:tcPr>
            <w:tcW w:w="5247" w:type="dxa"/>
          </w:tcPr>
          <w:p w14:paraId="428D3E9E" w14:textId="77777777" w:rsidR="00670805" w:rsidRPr="000D1C0B" w:rsidRDefault="00670805" w:rsidP="00670805">
            <w:pPr>
              <w:spacing w:after="0" w:line="240" w:lineRule="auto"/>
              <w:jc w:val="both"/>
              <w:rPr>
                <w:rFonts w:ascii="Arial" w:hAnsi="Arial" w:cs="Arial"/>
                <w:b/>
                <w:bCs/>
                <w:color w:val="000000"/>
                <w:sz w:val="18"/>
                <w:szCs w:val="18"/>
              </w:rPr>
            </w:pPr>
            <w:r w:rsidRPr="000D1C0B">
              <w:rPr>
                <w:rFonts w:ascii="Arial" w:hAnsi="Arial" w:cs="Arial"/>
                <w:b/>
                <w:bCs/>
                <w:color w:val="000000"/>
                <w:sz w:val="18"/>
                <w:szCs w:val="18"/>
              </w:rPr>
              <w:t>Reemplácese el numeral 4 del título III:</w:t>
            </w:r>
          </w:p>
          <w:p w14:paraId="3FA800A6" w14:textId="77777777" w:rsidR="00670805" w:rsidRPr="000D1C0B" w:rsidRDefault="00670805" w:rsidP="00670805">
            <w:pPr>
              <w:spacing w:after="0" w:line="240" w:lineRule="auto"/>
              <w:jc w:val="both"/>
              <w:rPr>
                <w:rFonts w:ascii="Arial" w:hAnsi="Arial" w:cs="Arial"/>
                <w:color w:val="000000"/>
                <w:sz w:val="18"/>
                <w:szCs w:val="18"/>
              </w:rPr>
            </w:pPr>
          </w:p>
          <w:p w14:paraId="05D303D1" w14:textId="5EB26E3B" w:rsidR="00670805" w:rsidRPr="000D1C0B" w:rsidRDefault="00670805" w:rsidP="00670805">
            <w:pPr>
              <w:spacing w:after="0" w:line="240" w:lineRule="auto"/>
              <w:jc w:val="both"/>
              <w:rPr>
                <w:rFonts w:ascii="Arial" w:hAnsi="Arial" w:cs="Arial"/>
                <w:b/>
                <w:bCs/>
                <w:sz w:val="18"/>
                <w:szCs w:val="18"/>
              </w:rPr>
            </w:pPr>
            <w:r w:rsidRPr="000D1C0B">
              <w:rPr>
                <w:rFonts w:ascii="Arial" w:hAnsi="Arial" w:cs="Arial"/>
                <w:color w:val="000000"/>
                <w:sz w:val="18"/>
                <w:szCs w:val="18"/>
              </w:rPr>
              <w:t xml:space="preserve">Una vez efectuadas las modificaciones </w:t>
            </w:r>
            <w:r w:rsidRPr="000D1C0B">
              <w:rPr>
                <w:rFonts w:ascii="Arial" w:hAnsi="Arial" w:cs="Arial"/>
                <w:b/>
                <w:bCs/>
                <w:color w:val="000000"/>
                <w:sz w:val="18"/>
                <w:szCs w:val="18"/>
              </w:rPr>
              <w:t>en el SMC o el cambio de sistema</w:t>
            </w:r>
            <w:r w:rsidRPr="000D1C0B">
              <w:rPr>
                <w:rFonts w:ascii="Arial" w:hAnsi="Arial" w:cs="Arial"/>
                <w:color w:val="000000"/>
                <w:sz w:val="18"/>
                <w:szCs w:val="18"/>
              </w:rPr>
              <w:t xml:space="preserve">, las sociedades operadoras deberán notificar la efectiva realización de las referidas modificaciones en el plazo de </w:t>
            </w:r>
            <w:r w:rsidRPr="000D1C0B">
              <w:rPr>
                <w:rFonts w:ascii="Arial" w:hAnsi="Arial" w:cs="Arial"/>
                <w:b/>
                <w:bCs/>
                <w:color w:val="000000"/>
                <w:sz w:val="18"/>
                <w:szCs w:val="18"/>
              </w:rPr>
              <w:t xml:space="preserve">5 días hábiles </w:t>
            </w:r>
            <w:r w:rsidRPr="000D1C0B">
              <w:rPr>
                <w:rFonts w:ascii="Arial" w:hAnsi="Arial" w:cs="Arial"/>
                <w:color w:val="000000"/>
                <w:sz w:val="18"/>
                <w:szCs w:val="18"/>
              </w:rPr>
              <w:t>contados desde su total implementación.</w:t>
            </w:r>
          </w:p>
        </w:tc>
      </w:tr>
      <w:tr w:rsidR="00C033AD" w:rsidRPr="000D1C0B" w14:paraId="152696AA" w14:textId="77777777" w:rsidTr="00A74791">
        <w:trPr>
          <w:trHeight w:val="512"/>
        </w:trPr>
        <w:tc>
          <w:tcPr>
            <w:tcW w:w="416" w:type="dxa"/>
          </w:tcPr>
          <w:p w14:paraId="3C8420F5" w14:textId="2433AA23" w:rsidR="00670805" w:rsidRPr="000D1C0B" w:rsidRDefault="00670805" w:rsidP="00670805">
            <w:pPr>
              <w:spacing w:line="240" w:lineRule="auto"/>
              <w:jc w:val="center"/>
              <w:rPr>
                <w:rFonts w:ascii="Arial" w:hAnsi="Arial" w:cs="Arial"/>
                <w:bCs/>
                <w:spacing w:val="-3"/>
                <w:sz w:val="18"/>
                <w:szCs w:val="18"/>
              </w:rPr>
            </w:pPr>
            <w:r w:rsidRPr="000D1C0B">
              <w:rPr>
                <w:rFonts w:ascii="Arial" w:hAnsi="Arial" w:cs="Arial"/>
                <w:bCs/>
                <w:spacing w:val="-3"/>
                <w:sz w:val="18"/>
                <w:szCs w:val="18"/>
              </w:rPr>
              <w:t>1</w:t>
            </w:r>
            <w:r w:rsidR="00C033AD" w:rsidRPr="000D1C0B">
              <w:rPr>
                <w:rFonts w:ascii="Arial" w:hAnsi="Arial" w:cs="Arial"/>
                <w:bCs/>
                <w:spacing w:val="-3"/>
                <w:sz w:val="18"/>
                <w:szCs w:val="18"/>
              </w:rPr>
              <w:t>4</w:t>
            </w:r>
          </w:p>
        </w:tc>
        <w:tc>
          <w:tcPr>
            <w:tcW w:w="1267" w:type="dxa"/>
          </w:tcPr>
          <w:p w14:paraId="33F11E1D" w14:textId="77777777" w:rsidR="00670805" w:rsidRPr="000D1C0B" w:rsidRDefault="00670805" w:rsidP="00670805">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N°106/2019</w:t>
            </w:r>
          </w:p>
        </w:tc>
        <w:tc>
          <w:tcPr>
            <w:tcW w:w="2582" w:type="dxa"/>
          </w:tcPr>
          <w:p w14:paraId="441D0079" w14:textId="77777777" w:rsidR="00670805" w:rsidRPr="000D1C0B" w:rsidRDefault="00670805" w:rsidP="00670805">
            <w:pPr>
              <w:spacing w:line="240" w:lineRule="auto"/>
              <w:jc w:val="both"/>
              <w:rPr>
                <w:rFonts w:ascii="Arial" w:hAnsi="Arial" w:cs="Arial"/>
                <w:bCs/>
                <w:spacing w:val="-3"/>
                <w:sz w:val="18"/>
                <w:szCs w:val="18"/>
              </w:rPr>
            </w:pPr>
            <w:r w:rsidRPr="000D1C0B">
              <w:rPr>
                <w:rFonts w:ascii="Arial" w:hAnsi="Arial" w:cs="Arial"/>
                <w:bCs/>
                <w:spacing w:val="-3"/>
                <w:sz w:val="18"/>
                <w:szCs w:val="18"/>
              </w:rPr>
              <w:t>Notificación de inventario de repuestos del SMC</w:t>
            </w:r>
          </w:p>
        </w:tc>
        <w:tc>
          <w:tcPr>
            <w:tcW w:w="3666" w:type="dxa"/>
          </w:tcPr>
          <w:p w14:paraId="27A7F5CE" w14:textId="4D6331DB" w:rsidR="00670805" w:rsidRPr="000D1C0B" w:rsidRDefault="00670805" w:rsidP="00670805">
            <w:pPr>
              <w:autoSpaceDE w:val="0"/>
              <w:autoSpaceDN w:val="0"/>
              <w:adjustRightInd w:val="0"/>
              <w:spacing w:after="0" w:line="240" w:lineRule="auto"/>
              <w:jc w:val="both"/>
              <w:rPr>
                <w:rFonts w:ascii="Arial" w:hAnsi="Arial" w:cs="Arial"/>
                <w:b/>
                <w:bCs/>
                <w:color w:val="000000"/>
                <w:sz w:val="18"/>
                <w:szCs w:val="18"/>
              </w:rPr>
            </w:pPr>
            <w:r w:rsidRPr="000D1C0B">
              <w:rPr>
                <w:rFonts w:ascii="Arial" w:hAnsi="Arial" w:cs="Arial"/>
                <w:b/>
                <w:bCs/>
                <w:color w:val="000000"/>
                <w:sz w:val="18"/>
                <w:szCs w:val="18"/>
              </w:rPr>
              <w:t>Numeral 6 del título III:</w:t>
            </w:r>
          </w:p>
          <w:p w14:paraId="718D9D20" w14:textId="77777777" w:rsidR="00670805" w:rsidRPr="000D1C0B" w:rsidRDefault="00670805" w:rsidP="00670805">
            <w:pPr>
              <w:autoSpaceDE w:val="0"/>
              <w:autoSpaceDN w:val="0"/>
              <w:adjustRightInd w:val="0"/>
              <w:spacing w:after="0" w:line="240" w:lineRule="auto"/>
              <w:jc w:val="both"/>
              <w:rPr>
                <w:rFonts w:ascii="Arial" w:hAnsi="Arial" w:cs="Arial"/>
                <w:color w:val="000000"/>
                <w:sz w:val="18"/>
                <w:szCs w:val="18"/>
              </w:rPr>
            </w:pPr>
          </w:p>
          <w:p w14:paraId="60D1C4CA" w14:textId="77777777" w:rsidR="00670805" w:rsidRPr="000D1C0B" w:rsidRDefault="00670805" w:rsidP="00670805">
            <w:pPr>
              <w:pStyle w:val="Default"/>
              <w:numPr>
                <w:ilvl w:val="0"/>
                <w:numId w:val="30"/>
              </w:numPr>
              <w:jc w:val="both"/>
              <w:rPr>
                <w:sz w:val="18"/>
                <w:szCs w:val="18"/>
              </w:rPr>
            </w:pPr>
            <w:r w:rsidRPr="000D1C0B">
              <w:rPr>
                <w:sz w:val="18"/>
                <w:szCs w:val="18"/>
              </w:rPr>
              <w:t xml:space="preserve">Las sociedades operadoras deberán notificar a esta Superintendencia </w:t>
            </w:r>
            <w:r w:rsidRPr="000D1C0B">
              <w:rPr>
                <w:b/>
                <w:bCs/>
                <w:sz w:val="18"/>
                <w:szCs w:val="18"/>
              </w:rPr>
              <w:t>dentro de los cinco últimos días de los meses de marzo, junio, septiembre y diciembre de cada año</w:t>
            </w:r>
            <w:r w:rsidRPr="000D1C0B">
              <w:rPr>
                <w:sz w:val="18"/>
                <w:szCs w:val="18"/>
              </w:rPr>
              <w:t xml:space="preserve">, el inventario de los </w:t>
            </w:r>
            <w:r w:rsidRPr="000D1C0B">
              <w:rPr>
                <w:sz w:val="18"/>
                <w:szCs w:val="18"/>
              </w:rPr>
              <w:lastRenderedPageBreak/>
              <w:t xml:space="preserve">repuestos de los equipos de comunicaciones y servidores. </w:t>
            </w:r>
          </w:p>
        </w:tc>
        <w:tc>
          <w:tcPr>
            <w:tcW w:w="5247" w:type="dxa"/>
          </w:tcPr>
          <w:p w14:paraId="0407869A" w14:textId="3838A9DA" w:rsidR="00670805" w:rsidRPr="000D1C0B" w:rsidRDefault="00670805" w:rsidP="00670805">
            <w:pPr>
              <w:spacing w:after="0" w:line="240" w:lineRule="auto"/>
              <w:jc w:val="both"/>
              <w:rPr>
                <w:rFonts w:ascii="Arial" w:hAnsi="Arial" w:cs="Arial"/>
                <w:sz w:val="18"/>
                <w:szCs w:val="18"/>
              </w:rPr>
            </w:pPr>
            <w:r w:rsidRPr="000D1C0B">
              <w:rPr>
                <w:rFonts w:ascii="Arial" w:hAnsi="Arial" w:cs="Arial"/>
                <w:b/>
                <w:bCs/>
                <w:sz w:val="18"/>
                <w:szCs w:val="18"/>
              </w:rPr>
              <w:lastRenderedPageBreak/>
              <w:t>Reemplácese el numeral 6 del título III</w:t>
            </w:r>
            <w:r w:rsidRPr="000D1C0B">
              <w:rPr>
                <w:rFonts w:ascii="Arial" w:hAnsi="Arial" w:cs="Arial"/>
                <w:sz w:val="18"/>
                <w:szCs w:val="18"/>
              </w:rPr>
              <w:t>:</w:t>
            </w:r>
          </w:p>
          <w:p w14:paraId="2FC3623E" w14:textId="77777777" w:rsidR="00670805" w:rsidRPr="000D1C0B" w:rsidRDefault="00670805" w:rsidP="00670805">
            <w:pPr>
              <w:spacing w:after="0" w:line="240" w:lineRule="auto"/>
              <w:jc w:val="both"/>
              <w:rPr>
                <w:rFonts w:ascii="Arial" w:hAnsi="Arial" w:cs="Arial"/>
                <w:sz w:val="18"/>
                <w:szCs w:val="18"/>
              </w:rPr>
            </w:pPr>
          </w:p>
          <w:p w14:paraId="759CA303" w14:textId="6017C695" w:rsidR="00670805" w:rsidRPr="000D1C0B" w:rsidRDefault="00670805" w:rsidP="00670805">
            <w:pPr>
              <w:spacing w:after="0" w:line="240" w:lineRule="auto"/>
              <w:jc w:val="both"/>
              <w:rPr>
                <w:rFonts w:ascii="Arial" w:hAnsi="Arial" w:cs="Arial"/>
                <w:sz w:val="18"/>
                <w:szCs w:val="18"/>
              </w:rPr>
            </w:pPr>
            <w:r w:rsidRPr="000D1C0B">
              <w:rPr>
                <w:rFonts w:ascii="Arial" w:hAnsi="Arial" w:cs="Arial"/>
                <w:color w:val="000000"/>
                <w:sz w:val="18"/>
                <w:szCs w:val="18"/>
              </w:rPr>
              <w:t xml:space="preserve">Las sociedades operadoras deberán notificar a esta Superintendencia </w:t>
            </w:r>
            <w:r w:rsidR="007C3CB0" w:rsidRPr="000D1C0B">
              <w:rPr>
                <w:rFonts w:ascii="Arial" w:hAnsi="Arial" w:cs="Arial"/>
                <w:b/>
                <w:bCs/>
                <w:sz w:val="18"/>
                <w:szCs w:val="18"/>
              </w:rPr>
              <w:t>a más tardar el 31 de marzo de cada año</w:t>
            </w:r>
            <w:r w:rsidRPr="000D1C0B">
              <w:rPr>
                <w:rFonts w:ascii="Arial" w:hAnsi="Arial" w:cs="Arial"/>
                <w:color w:val="000000"/>
                <w:sz w:val="18"/>
                <w:szCs w:val="18"/>
              </w:rPr>
              <w:t xml:space="preserve"> el inventario de los repuestos de los equipos de comunicaciones y servidores. </w:t>
            </w:r>
          </w:p>
        </w:tc>
      </w:tr>
      <w:tr w:rsidR="00C033AD" w:rsidRPr="000D1C0B" w14:paraId="5F30E041" w14:textId="77777777" w:rsidTr="00A74791">
        <w:trPr>
          <w:trHeight w:val="512"/>
        </w:trPr>
        <w:tc>
          <w:tcPr>
            <w:tcW w:w="416" w:type="dxa"/>
          </w:tcPr>
          <w:p w14:paraId="5F67DBE9" w14:textId="6E4567B5" w:rsidR="00670805" w:rsidRPr="000D1C0B" w:rsidRDefault="00C033AD" w:rsidP="00670805">
            <w:pPr>
              <w:spacing w:line="240" w:lineRule="auto"/>
              <w:jc w:val="center"/>
              <w:rPr>
                <w:rFonts w:ascii="Arial" w:hAnsi="Arial" w:cs="Arial"/>
                <w:spacing w:val="-3"/>
                <w:sz w:val="18"/>
                <w:szCs w:val="18"/>
              </w:rPr>
            </w:pPr>
            <w:r w:rsidRPr="000D1C0B">
              <w:rPr>
                <w:rFonts w:ascii="Arial" w:hAnsi="Arial" w:cs="Arial"/>
                <w:spacing w:val="-3"/>
                <w:sz w:val="18"/>
                <w:szCs w:val="18"/>
              </w:rPr>
              <w:t>15</w:t>
            </w:r>
          </w:p>
        </w:tc>
        <w:tc>
          <w:tcPr>
            <w:tcW w:w="1267" w:type="dxa"/>
          </w:tcPr>
          <w:p w14:paraId="587C3ABC" w14:textId="77777777" w:rsidR="00670805" w:rsidRPr="000D1C0B" w:rsidRDefault="00670805" w:rsidP="00670805">
            <w:pPr>
              <w:spacing w:line="240" w:lineRule="auto"/>
              <w:jc w:val="center"/>
              <w:rPr>
                <w:rFonts w:ascii="Arial" w:hAnsi="Arial" w:cs="Arial"/>
                <w:bCs/>
                <w:spacing w:val="-3"/>
                <w:sz w:val="18"/>
                <w:szCs w:val="18"/>
              </w:rPr>
            </w:pPr>
            <w:r w:rsidRPr="000D1C0B">
              <w:rPr>
                <w:rFonts w:ascii="Arial" w:hAnsi="Arial" w:cs="Arial"/>
                <w:bCs/>
                <w:spacing w:val="-3"/>
                <w:sz w:val="18"/>
                <w:szCs w:val="18"/>
              </w:rPr>
              <w:t xml:space="preserve">Circular N°107/2019 </w:t>
            </w:r>
          </w:p>
          <w:p w14:paraId="2E6C5A4E" w14:textId="7AA19A88" w:rsidR="00670805" w:rsidRPr="000D1C0B" w:rsidRDefault="00670805" w:rsidP="00670805">
            <w:pPr>
              <w:spacing w:line="240" w:lineRule="auto"/>
              <w:jc w:val="center"/>
              <w:rPr>
                <w:rFonts w:ascii="Arial" w:hAnsi="Arial" w:cs="Arial"/>
                <w:bCs/>
                <w:spacing w:val="-3"/>
                <w:sz w:val="18"/>
                <w:szCs w:val="18"/>
              </w:rPr>
            </w:pPr>
          </w:p>
        </w:tc>
        <w:tc>
          <w:tcPr>
            <w:tcW w:w="2582" w:type="dxa"/>
          </w:tcPr>
          <w:p w14:paraId="0DD121F4" w14:textId="77777777" w:rsidR="00670805" w:rsidRPr="000D1C0B" w:rsidRDefault="00670805" w:rsidP="00670805">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entrega, reemplazo o renovación de póliza de seguro y boleta de garantía de laboratorios</w:t>
            </w:r>
          </w:p>
          <w:p w14:paraId="2B104949" w14:textId="77777777" w:rsidR="00670805" w:rsidRPr="000D1C0B" w:rsidRDefault="00670805" w:rsidP="00670805">
            <w:pPr>
              <w:spacing w:line="240" w:lineRule="auto"/>
              <w:jc w:val="center"/>
              <w:rPr>
                <w:rFonts w:ascii="Arial" w:hAnsi="Arial" w:cs="Arial"/>
                <w:bCs/>
                <w:spacing w:val="-3"/>
                <w:sz w:val="18"/>
                <w:szCs w:val="18"/>
              </w:rPr>
            </w:pPr>
          </w:p>
        </w:tc>
        <w:tc>
          <w:tcPr>
            <w:tcW w:w="3666" w:type="dxa"/>
          </w:tcPr>
          <w:p w14:paraId="2AD83F7A" w14:textId="16F712F9" w:rsidR="00670805" w:rsidRPr="000D1C0B" w:rsidRDefault="00670805" w:rsidP="00670805">
            <w:pPr>
              <w:pStyle w:val="Default"/>
              <w:numPr>
                <w:ilvl w:val="0"/>
                <w:numId w:val="30"/>
              </w:numPr>
              <w:jc w:val="both"/>
              <w:rPr>
                <w:b/>
                <w:bCs/>
                <w:sz w:val="18"/>
                <w:szCs w:val="18"/>
              </w:rPr>
            </w:pPr>
            <w:r w:rsidRPr="000D1C0B">
              <w:rPr>
                <w:b/>
                <w:bCs/>
                <w:sz w:val="18"/>
                <w:szCs w:val="18"/>
              </w:rPr>
              <w:t>Literal m del numeral 7:</w:t>
            </w:r>
          </w:p>
          <w:p w14:paraId="4507E983" w14:textId="77777777" w:rsidR="00670805" w:rsidRPr="000D1C0B" w:rsidRDefault="00670805" w:rsidP="00670805">
            <w:pPr>
              <w:pStyle w:val="Default"/>
              <w:numPr>
                <w:ilvl w:val="0"/>
                <w:numId w:val="30"/>
              </w:numPr>
              <w:jc w:val="both"/>
              <w:rPr>
                <w:sz w:val="18"/>
                <w:szCs w:val="18"/>
              </w:rPr>
            </w:pPr>
          </w:p>
          <w:p w14:paraId="5B961749" w14:textId="77777777" w:rsidR="00670805" w:rsidRPr="000D1C0B" w:rsidRDefault="00670805" w:rsidP="00670805">
            <w:pPr>
              <w:pStyle w:val="Default"/>
              <w:numPr>
                <w:ilvl w:val="0"/>
                <w:numId w:val="30"/>
              </w:numPr>
              <w:jc w:val="both"/>
              <w:rPr>
                <w:sz w:val="18"/>
                <w:szCs w:val="18"/>
              </w:rPr>
            </w:pPr>
            <w:r w:rsidRPr="000D1C0B">
              <w:rPr>
                <w:sz w:val="18"/>
                <w:szCs w:val="18"/>
              </w:rPr>
              <w:t xml:space="preserve">Designar y mantener durante todo el tiempo que desarrolle las actividades de certificador, en el contexto de las presentes instrucciones, un mandatario con las facultades a que se alude en el numeral 9.4, sin perjuicio de lo que en dicho numeral se establece respecto de los laboratorios nacionales. Dicho mandato sólo podrá ser revocado por la designación de un nuevo mandatario con iguales poderes, lo que deberá ser informado a la SCJ dentro del plazo de </w:t>
            </w:r>
            <w:r w:rsidRPr="000D1C0B">
              <w:rPr>
                <w:b/>
                <w:bCs/>
                <w:sz w:val="18"/>
                <w:szCs w:val="18"/>
              </w:rPr>
              <w:t xml:space="preserve">5 días corridos </w:t>
            </w:r>
            <w:r w:rsidRPr="000D1C0B">
              <w:rPr>
                <w:sz w:val="18"/>
                <w:szCs w:val="18"/>
              </w:rPr>
              <w:t xml:space="preserve">de acontecido tal hecho, adjuntando copia de la escritura pública o del documento que haga sus veces, en que conste el poder conferido. </w:t>
            </w:r>
          </w:p>
        </w:tc>
        <w:tc>
          <w:tcPr>
            <w:tcW w:w="5247" w:type="dxa"/>
          </w:tcPr>
          <w:p w14:paraId="5F28C294" w14:textId="43D18CBF" w:rsidR="00670805" w:rsidRPr="000D1C0B" w:rsidRDefault="00670805" w:rsidP="00670805">
            <w:pPr>
              <w:spacing w:after="0" w:line="240" w:lineRule="auto"/>
              <w:jc w:val="both"/>
              <w:rPr>
                <w:rFonts w:ascii="Arial" w:hAnsi="Arial" w:cs="Arial"/>
                <w:b/>
                <w:bCs/>
                <w:sz w:val="18"/>
                <w:szCs w:val="18"/>
              </w:rPr>
            </w:pPr>
            <w:r w:rsidRPr="000D1C0B">
              <w:rPr>
                <w:rFonts w:ascii="Arial" w:hAnsi="Arial" w:cs="Arial"/>
                <w:b/>
                <w:bCs/>
                <w:sz w:val="18"/>
                <w:szCs w:val="18"/>
              </w:rPr>
              <w:t>Reemplácese el literal m del numeral 7:</w:t>
            </w:r>
          </w:p>
          <w:p w14:paraId="39BD9503" w14:textId="77777777" w:rsidR="00670805" w:rsidRPr="000D1C0B" w:rsidRDefault="00670805" w:rsidP="00670805">
            <w:pPr>
              <w:spacing w:after="0" w:line="240" w:lineRule="auto"/>
              <w:jc w:val="both"/>
              <w:rPr>
                <w:rFonts w:ascii="Arial" w:hAnsi="Arial" w:cs="Arial"/>
                <w:bCs/>
                <w:spacing w:val="-3"/>
                <w:sz w:val="18"/>
                <w:szCs w:val="18"/>
              </w:rPr>
            </w:pPr>
          </w:p>
          <w:p w14:paraId="390A677C" w14:textId="0B2A1ED2" w:rsidR="00670805" w:rsidRPr="000D1C0B" w:rsidDel="00C51D41" w:rsidRDefault="00670805" w:rsidP="00670805">
            <w:pPr>
              <w:spacing w:after="0" w:line="240" w:lineRule="auto"/>
              <w:jc w:val="both"/>
              <w:rPr>
                <w:rFonts w:ascii="Arial" w:hAnsi="Arial" w:cs="Arial"/>
                <w:b/>
                <w:bCs/>
                <w:color w:val="FF0000"/>
                <w:sz w:val="18"/>
                <w:szCs w:val="18"/>
              </w:rPr>
            </w:pPr>
            <w:r w:rsidRPr="000D1C0B">
              <w:rPr>
                <w:rFonts w:ascii="Arial" w:hAnsi="Arial" w:cs="Arial"/>
                <w:bCs/>
                <w:spacing w:val="-3"/>
                <w:sz w:val="18"/>
                <w:szCs w:val="18"/>
              </w:rPr>
              <w:t xml:space="preserve">Designar y mantener durante todo el tiempo que desarrolle las actividades de certificador, en el contexto de las presentes instrucciones, un mandatario con las facultades a que se alude en el numeral 9.4, sin perjuicio de lo que en dicho numeral se establece respecto de los laboratorios nacionales. Dicho mandato sólo podrá ser revocado por la designación de un nuevo mandatario con iguales poderes, lo que deberá ser informado a la SCJ dentro del </w:t>
            </w:r>
            <w:r w:rsidRPr="000D1C0B">
              <w:rPr>
                <w:rFonts w:ascii="Arial" w:hAnsi="Arial" w:cs="Arial"/>
                <w:b/>
                <w:spacing w:val="-3"/>
                <w:sz w:val="18"/>
                <w:szCs w:val="18"/>
              </w:rPr>
              <w:t xml:space="preserve">plazo de 10 días hábiles </w:t>
            </w:r>
            <w:r w:rsidRPr="000D1C0B">
              <w:rPr>
                <w:rFonts w:ascii="Arial" w:hAnsi="Arial" w:cs="Arial"/>
                <w:bCs/>
                <w:spacing w:val="-3"/>
                <w:sz w:val="18"/>
                <w:szCs w:val="18"/>
              </w:rPr>
              <w:t>de acontecido tal hecho, adjuntando copia de la escritura pública o del documento que haga sus veces, en que conste el poder conferido.</w:t>
            </w:r>
          </w:p>
        </w:tc>
      </w:tr>
      <w:tr w:rsidR="00C033AD" w:rsidRPr="000D1C0B" w14:paraId="17B4C9B8" w14:textId="77777777" w:rsidTr="00A74791">
        <w:trPr>
          <w:trHeight w:val="512"/>
        </w:trPr>
        <w:tc>
          <w:tcPr>
            <w:tcW w:w="416" w:type="dxa"/>
          </w:tcPr>
          <w:p w14:paraId="71180024" w14:textId="5F34BE06" w:rsidR="00670805" w:rsidRPr="000D1C0B" w:rsidRDefault="00C033AD" w:rsidP="00670805">
            <w:pPr>
              <w:spacing w:line="240" w:lineRule="auto"/>
              <w:jc w:val="center"/>
              <w:rPr>
                <w:rFonts w:ascii="Arial" w:hAnsi="Arial" w:cs="Arial"/>
                <w:bCs/>
                <w:spacing w:val="-3"/>
                <w:sz w:val="18"/>
                <w:szCs w:val="18"/>
              </w:rPr>
            </w:pPr>
            <w:r w:rsidRPr="000D1C0B">
              <w:rPr>
                <w:rFonts w:ascii="Arial" w:hAnsi="Arial" w:cs="Arial"/>
                <w:bCs/>
                <w:spacing w:val="-3"/>
                <w:sz w:val="18"/>
                <w:szCs w:val="18"/>
              </w:rPr>
              <w:t>16</w:t>
            </w:r>
          </w:p>
        </w:tc>
        <w:tc>
          <w:tcPr>
            <w:tcW w:w="1267" w:type="dxa"/>
          </w:tcPr>
          <w:p w14:paraId="3C4B92FB" w14:textId="77777777" w:rsidR="00670805" w:rsidRPr="000D1C0B" w:rsidRDefault="00670805" w:rsidP="00670805">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N°107/2019</w:t>
            </w:r>
          </w:p>
          <w:p w14:paraId="2ECA766C" w14:textId="696EAD5A" w:rsidR="00670805" w:rsidRPr="000D1C0B" w:rsidRDefault="00670805" w:rsidP="00670805">
            <w:pPr>
              <w:spacing w:line="240" w:lineRule="auto"/>
              <w:jc w:val="center"/>
              <w:rPr>
                <w:rFonts w:ascii="Arial" w:hAnsi="Arial" w:cs="Arial"/>
                <w:bCs/>
                <w:spacing w:val="-3"/>
                <w:sz w:val="18"/>
                <w:szCs w:val="18"/>
              </w:rPr>
            </w:pPr>
          </w:p>
        </w:tc>
        <w:tc>
          <w:tcPr>
            <w:tcW w:w="2582" w:type="dxa"/>
          </w:tcPr>
          <w:p w14:paraId="282DC821" w14:textId="77777777" w:rsidR="00670805" w:rsidRPr="000D1C0B" w:rsidRDefault="00670805" w:rsidP="00670805">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personal y otras condiciones de laboratorio</w:t>
            </w:r>
          </w:p>
          <w:p w14:paraId="7F636AFB" w14:textId="77777777" w:rsidR="00670805" w:rsidRPr="000D1C0B" w:rsidRDefault="00670805" w:rsidP="00670805">
            <w:pPr>
              <w:spacing w:after="0" w:line="240" w:lineRule="auto"/>
              <w:jc w:val="both"/>
              <w:rPr>
                <w:rFonts w:ascii="Arial" w:hAnsi="Arial" w:cs="Arial"/>
                <w:bCs/>
                <w:spacing w:val="-3"/>
                <w:sz w:val="18"/>
                <w:szCs w:val="18"/>
              </w:rPr>
            </w:pPr>
          </w:p>
        </w:tc>
        <w:tc>
          <w:tcPr>
            <w:tcW w:w="3666" w:type="dxa"/>
          </w:tcPr>
          <w:p w14:paraId="240C2CF3" w14:textId="4ABB2901" w:rsidR="00670805" w:rsidRPr="000D1C0B" w:rsidRDefault="00670805" w:rsidP="00670805">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Literal d del numeral 7:</w:t>
            </w:r>
          </w:p>
          <w:p w14:paraId="0225333C" w14:textId="77777777" w:rsidR="00670805" w:rsidRPr="000D1C0B" w:rsidRDefault="00670805" w:rsidP="00670805">
            <w:pPr>
              <w:autoSpaceDE w:val="0"/>
              <w:autoSpaceDN w:val="0"/>
              <w:adjustRightInd w:val="0"/>
              <w:spacing w:after="0" w:line="240" w:lineRule="auto"/>
              <w:jc w:val="both"/>
              <w:rPr>
                <w:rFonts w:ascii="Arial" w:hAnsi="Arial" w:cs="Arial"/>
                <w:sz w:val="18"/>
                <w:szCs w:val="18"/>
              </w:rPr>
            </w:pPr>
          </w:p>
          <w:p w14:paraId="682B26D0" w14:textId="77777777" w:rsidR="00670805" w:rsidRPr="000D1C0B" w:rsidRDefault="00670805" w:rsidP="00670805">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Notificar a la SCJ cualquier evento o circunstancia de modificación o pérdida sobreviniente de uno o más de los requisitos o condiciones que permitieron su acreditación, </w:t>
            </w:r>
            <w:r w:rsidRPr="000D1C0B">
              <w:rPr>
                <w:rFonts w:ascii="Arial" w:hAnsi="Arial" w:cs="Arial"/>
                <w:b/>
                <w:bCs/>
                <w:sz w:val="18"/>
                <w:szCs w:val="18"/>
              </w:rPr>
              <w:t>dentro de los 5 días corridos siguientes</w:t>
            </w:r>
            <w:r w:rsidRPr="000D1C0B">
              <w:rPr>
                <w:rFonts w:ascii="Arial" w:hAnsi="Arial" w:cs="Arial"/>
                <w:sz w:val="18"/>
                <w:szCs w:val="18"/>
              </w:rPr>
              <w:t xml:space="preserve"> a la verificación del evento o circunstancia modificatoria.</w:t>
            </w:r>
          </w:p>
          <w:p w14:paraId="5A7CE53C" w14:textId="77777777" w:rsidR="00670805" w:rsidRPr="000D1C0B" w:rsidRDefault="00670805" w:rsidP="00670805">
            <w:pPr>
              <w:autoSpaceDE w:val="0"/>
              <w:autoSpaceDN w:val="0"/>
              <w:adjustRightInd w:val="0"/>
              <w:spacing w:after="0" w:line="240" w:lineRule="auto"/>
              <w:jc w:val="both"/>
              <w:rPr>
                <w:rFonts w:ascii="Arial" w:hAnsi="Arial" w:cs="Arial"/>
                <w:sz w:val="18"/>
                <w:szCs w:val="18"/>
              </w:rPr>
            </w:pPr>
          </w:p>
          <w:p w14:paraId="04732051" w14:textId="2D8303FA" w:rsidR="00670805" w:rsidRPr="000D1C0B" w:rsidRDefault="00670805" w:rsidP="00670805">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Literal e del numeral 7:</w:t>
            </w:r>
          </w:p>
          <w:p w14:paraId="4FAB7E05" w14:textId="77777777" w:rsidR="00670805" w:rsidRPr="000D1C0B" w:rsidRDefault="00670805" w:rsidP="00670805">
            <w:pPr>
              <w:autoSpaceDE w:val="0"/>
              <w:autoSpaceDN w:val="0"/>
              <w:adjustRightInd w:val="0"/>
              <w:spacing w:after="0" w:line="240" w:lineRule="auto"/>
              <w:rPr>
                <w:rFonts w:ascii="Arial" w:hAnsi="Arial" w:cs="Arial"/>
                <w:color w:val="000000"/>
                <w:sz w:val="18"/>
                <w:szCs w:val="18"/>
              </w:rPr>
            </w:pPr>
          </w:p>
          <w:p w14:paraId="010E614F" w14:textId="77777777" w:rsidR="00670805" w:rsidRPr="000D1C0B" w:rsidRDefault="00670805" w:rsidP="00670805">
            <w:pPr>
              <w:autoSpaceDE w:val="0"/>
              <w:autoSpaceDN w:val="0"/>
              <w:adjustRightInd w:val="0"/>
              <w:spacing w:after="0" w:line="240" w:lineRule="auto"/>
              <w:jc w:val="both"/>
              <w:rPr>
                <w:rFonts w:ascii="Arial" w:hAnsi="Arial" w:cs="Arial"/>
                <w:color w:val="000000"/>
                <w:sz w:val="18"/>
                <w:szCs w:val="18"/>
              </w:rPr>
            </w:pPr>
            <w:r w:rsidRPr="000D1C0B">
              <w:rPr>
                <w:rFonts w:ascii="Arial" w:hAnsi="Arial" w:cs="Arial"/>
                <w:color w:val="000000"/>
                <w:sz w:val="18"/>
                <w:szCs w:val="18"/>
              </w:rPr>
              <w:t xml:space="preserve">Notificar a la SCJ toda modificación del personal que conforma el equipo de trabajo mínimo indispensable para desarrollar las pruebas y ensayos para acreditar el cumplimiento de los estándares técnicos vigentes dictados por esta Superintendencia. </w:t>
            </w:r>
          </w:p>
          <w:p w14:paraId="1FB7BEDC" w14:textId="77777777" w:rsidR="00670805" w:rsidRPr="000D1C0B" w:rsidRDefault="00670805" w:rsidP="00670805">
            <w:pPr>
              <w:autoSpaceDE w:val="0"/>
              <w:autoSpaceDN w:val="0"/>
              <w:adjustRightInd w:val="0"/>
              <w:spacing w:after="0" w:line="240" w:lineRule="auto"/>
              <w:jc w:val="both"/>
              <w:rPr>
                <w:rFonts w:ascii="Arial" w:hAnsi="Arial" w:cs="Arial"/>
                <w:sz w:val="18"/>
                <w:szCs w:val="18"/>
              </w:rPr>
            </w:pPr>
            <w:r w:rsidRPr="000D1C0B">
              <w:rPr>
                <w:rFonts w:ascii="Arial" w:hAnsi="Arial" w:cs="Arial"/>
                <w:color w:val="000000"/>
                <w:sz w:val="18"/>
                <w:szCs w:val="18"/>
              </w:rPr>
              <w:lastRenderedPageBreak/>
              <w:t xml:space="preserve">Asimismo, el laboratorio deberá acreditar a la SCJ que el nuevo personal que integrará a dicho equipo cumple con los requisitos exigidos por las presentes instrucciones según sea el cargo que le corresponda desempeñar. La notificación aludida deberá ser comunicada a este Órgano de Control dentro de los </w:t>
            </w:r>
            <w:r w:rsidRPr="000D1C0B">
              <w:rPr>
                <w:rFonts w:ascii="Arial" w:hAnsi="Arial" w:cs="Arial"/>
                <w:b/>
                <w:bCs/>
                <w:color w:val="000000"/>
                <w:sz w:val="18"/>
                <w:szCs w:val="18"/>
              </w:rPr>
              <w:t>15 días corridos contados</w:t>
            </w:r>
            <w:r w:rsidRPr="000D1C0B">
              <w:rPr>
                <w:rFonts w:ascii="Arial" w:hAnsi="Arial" w:cs="Arial"/>
                <w:color w:val="000000"/>
                <w:sz w:val="18"/>
                <w:szCs w:val="18"/>
              </w:rPr>
              <w:t xml:space="preserve"> desde el momento en que tales modificaciones se produzcan.</w:t>
            </w:r>
          </w:p>
        </w:tc>
        <w:tc>
          <w:tcPr>
            <w:tcW w:w="5247" w:type="dxa"/>
          </w:tcPr>
          <w:p w14:paraId="163749D9" w14:textId="3189A351" w:rsidR="00670805" w:rsidRPr="000D1C0B" w:rsidRDefault="00670805" w:rsidP="00670805">
            <w:pPr>
              <w:spacing w:after="0" w:line="240" w:lineRule="auto"/>
              <w:jc w:val="both"/>
              <w:rPr>
                <w:rFonts w:ascii="Arial" w:hAnsi="Arial" w:cs="Arial"/>
                <w:b/>
                <w:bCs/>
                <w:sz w:val="18"/>
                <w:szCs w:val="18"/>
              </w:rPr>
            </w:pPr>
            <w:r w:rsidRPr="000D1C0B">
              <w:rPr>
                <w:rFonts w:ascii="Arial" w:hAnsi="Arial" w:cs="Arial"/>
                <w:b/>
                <w:bCs/>
                <w:sz w:val="18"/>
                <w:szCs w:val="18"/>
              </w:rPr>
              <w:lastRenderedPageBreak/>
              <w:t>Reemplácese el literal d del numeral 7:</w:t>
            </w:r>
          </w:p>
          <w:p w14:paraId="6218BD15" w14:textId="77777777" w:rsidR="00670805" w:rsidRPr="000D1C0B" w:rsidRDefault="00670805" w:rsidP="00670805">
            <w:pPr>
              <w:spacing w:after="0" w:line="240" w:lineRule="auto"/>
              <w:jc w:val="both"/>
              <w:rPr>
                <w:rFonts w:ascii="Arial" w:hAnsi="Arial" w:cs="Arial"/>
                <w:sz w:val="18"/>
                <w:szCs w:val="18"/>
              </w:rPr>
            </w:pPr>
          </w:p>
          <w:p w14:paraId="6A1AB1C2" w14:textId="1145379E" w:rsidR="00670805" w:rsidRPr="000D1C0B" w:rsidRDefault="00670805" w:rsidP="00670805">
            <w:pPr>
              <w:spacing w:after="0" w:line="240" w:lineRule="auto"/>
              <w:jc w:val="both"/>
              <w:rPr>
                <w:rFonts w:ascii="Arial" w:hAnsi="Arial" w:cs="Arial"/>
                <w:sz w:val="18"/>
                <w:szCs w:val="18"/>
              </w:rPr>
            </w:pPr>
            <w:r w:rsidRPr="000D1C0B">
              <w:rPr>
                <w:rFonts w:ascii="Arial" w:hAnsi="Arial" w:cs="Arial"/>
                <w:sz w:val="18"/>
                <w:szCs w:val="18"/>
              </w:rPr>
              <w:t xml:space="preserve">Notificar a la SCJ cualquier evento o circunstancia de modificación o pérdida sobreviniente de uno o más de los requisitos o condiciones que permitieron su acreditación, dentro de </w:t>
            </w:r>
            <w:r w:rsidRPr="000D1C0B">
              <w:rPr>
                <w:rFonts w:ascii="Arial" w:hAnsi="Arial" w:cs="Arial"/>
                <w:b/>
                <w:bCs/>
                <w:sz w:val="18"/>
                <w:szCs w:val="18"/>
              </w:rPr>
              <w:t>5 días hábiles</w:t>
            </w:r>
            <w:r w:rsidRPr="000D1C0B">
              <w:rPr>
                <w:rFonts w:ascii="Arial" w:hAnsi="Arial" w:cs="Arial"/>
                <w:sz w:val="18"/>
                <w:szCs w:val="18"/>
              </w:rPr>
              <w:t xml:space="preserve"> a la verificación del evento o circunstancia modificatoria.</w:t>
            </w:r>
          </w:p>
          <w:p w14:paraId="1D22453B" w14:textId="3E19CB2B" w:rsidR="00670805" w:rsidRDefault="00670805" w:rsidP="00670805">
            <w:pPr>
              <w:spacing w:after="0" w:line="240" w:lineRule="auto"/>
              <w:jc w:val="both"/>
              <w:rPr>
                <w:rFonts w:ascii="Arial" w:hAnsi="Arial" w:cs="Arial"/>
                <w:sz w:val="18"/>
                <w:szCs w:val="18"/>
              </w:rPr>
            </w:pPr>
          </w:p>
          <w:p w14:paraId="7E940476" w14:textId="0F7C2CE3" w:rsidR="00DF6B17" w:rsidRDefault="00DF6B17" w:rsidP="00670805">
            <w:pPr>
              <w:spacing w:after="0" w:line="240" w:lineRule="auto"/>
              <w:jc w:val="both"/>
              <w:rPr>
                <w:rFonts w:ascii="Arial" w:hAnsi="Arial" w:cs="Arial"/>
                <w:sz w:val="18"/>
                <w:szCs w:val="18"/>
              </w:rPr>
            </w:pPr>
          </w:p>
          <w:p w14:paraId="29D2CA6C" w14:textId="77777777" w:rsidR="00DF6B17" w:rsidRPr="000D1C0B" w:rsidRDefault="00DF6B17" w:rsidP="00670805">
            <w:pPr>
              <w:spacing w:after="0" w:line="240" w:lineRule="auto"/>
              <w:jc w:val="both"/>
              <w:rPr>
                <w:rFonts w:ascii="Arial" w:hAnsi="Arial" w:cs="Arial"/>
                <w:sz w:val="18"/>
                <w:szCs w:val="18"/>
              </w:rPr>
            </w:pPr>
          </w:p>
          <w:p w14:paraId="46C6B589" w14:textId="103D7847" w:rsidR="00670805" w:rsidRPr="000D1C0B" w:rsidRDefault="00670805" w:rsidP="00670805">
            <w:pPr>
              <w:spacing w:after="0" w:line="240" w:lineRule="auto"/>
              <w:jc w:val="both"/>
              <w:rPr>
                <w:rFonts w:ascii="Arial" w:hAnsi="Arial" w:cs="Arial"/>
                <w:b/>
                <w:bCs/>
                <w:sz w:val="18"/>
                <w:szCs w:val="18"/>
              </w:rPr>
            </w:pPr>
            <w:r w:rsidRPr="000D1C0B">
              <w:rPr>
                <w:rFonts w:ascii="Arial" w:hAnsi="Arial" w:cs="Arial"/>
                <w:b/>
                <w:bCs/>
                <w:sz w:val="18"/>
                <w:szCs w:val="18"/>
              </w:rPr>
              <w:t xml:space="preserve">Reemplácese el literal </w:t>
            </w:r>
            <w:proofErr w:type="gramStart"/>
            <w:r w:rsidRPr="000D1C0B">
              <w:rPr>
                <w:rFonts w:ascii="Arial" w:hAnsi="Arial" w:cs="Arial"/>
                <w:b/>
                <w:bCs/>
                <w:sz w:val="18"/>
                <w:szCs w:val="18"/>
              </w:rPr>
              <w:t>e</w:t>
            </w:r>
            <w:proofErr w:type="gramEnd"/>
            <w:r w:rsidRPr="000D1C0B">
              <w:rPr>
                <w:rFonts w:ascii="Arial" w:hAnsi="Arial" w:cs="Arial"/>
                <w:b/>
                <w:bCs/>
                <w:sz w:val="18"/>
                <w:szCs w:val="18"/>
              </w:rPr>
              <w:t xml:space="preserve"> del numeral 7:</w:t>
            </w:r>
          </w:p>
          <w:p w14:paraId="502F1F16" w14:textId="77777777" w:rsidR="00670805" w:rsidRPr="000D1C0B" w:rsidRDefault="00670805" w:rsidP="00670805">
            <w:pPr>
              <w:spacing w:after="0" w:line="240" w:lineRule="auto"/>
              <w:jc w:val="both"/>
              <w:rPr>
                <w:rFonts w:ascii="Arial" w:hAnsi="Arial" w:cs="Arial"/>
                <w:sz w:val="18"/>
                <w:szCs w:val="18"/>
              </w:rPr>
            </w:pPr>
          </w:p>
          <w:p w14:paraId="3AC8726C" w14:textId="77777777" w:rsidR="00670805" w:rsidRPr="000D1C0B" w:rsidRDefault="00670805" w:rsidP="00670805">
            <w:pPr>
              <w:autoSpaceDE w:val="0"/>
              <w:autoSpaceDN w:val="0"/>
              <w:adjustRightInd w:val="0"/>
              <w:spacing w:after="0" w:line="240" w:lineRule="auto"/>
              <w:jc w:val="both"/>
              <w:rPr>
                <w:rFonts w:ascii="Arial" w:hAnsi="Arial" w:cs="Arial"/>
                <w:color w:val="000000"/>
                <w:sz w:val="18"/>
                <w:szCs w:val="18"/>
              </w:rPr>
            </w:pPr>
            <w:r w:rsidRPr="000D1C0B">
              <w:rPr>
                <w:rFonts w:ascii="Arial" w:hAnsi="Arial" w:cs="Arial"/>
                <w:color w:val="000000"/>
                <w:sz w:val="18"/>
                <w:szCs w:val="18"/>
              </w:rPr>
              <w:t xml:space="preserve">Notificar a la SCJ toda modificación del personal que conforma el equipo de trabajo mínimo indispensable para desarrollar las pruebas y ensayos para acreditar el cumplimiento de los estándares técnicos vigentes dictados por esta Superintendencia. </w:t>
            </w:r>
          </w:p>
          <w:p w14:paraId="75B40F1D" w14:textId="69ED05D9" w:rsidR="00670805" w:rsidRPr="000D1C0B" w:rsidRDefault="00670805" w:rsidP="00B505ED">
            <w:pPr>
              <w:autoSpaceDE w:val="0"/>
              <w:autoSpaceDN w:val="0"/>
              <w:adjustRightInd w:val="0"/>
              <w:spacing w:after="0" w:line="240" w:lineRule="auto"/>
              <w:jc w:val="both"/>
              <w:rPr>
                <w:rFonts w:ascii="Arial" w:hAnsi="Arial" w:cs="Arial"/>
                <w:sz w:val="18"/>
                <w:szCs w:val="18"/>
              </w:rPr>
            </w:pPr>
            <w:r w:rsidRPr="000D1C0B">
              <w:rPr>
                <w:rFonts w:ascii="Arial" w:hAnsi="Arial" w:cs="Arial"/>
                <w:color w:val="000000"/>
                <w:sz w:val="18"/>
                <w:szCs w:val="18"/>
              </w:rPr>
              <w:t xml:space="preserve">Asimismo, el laboratorio deberá acreditar a la SCJ que el nuevo personal que integrará a dicho equipo cumple con los </w:t>
            </w:r>
            <w:r w:rsidRPr="000D1C0B">
              <w:rPr>
                <w:rFonts w:ascii="Arial" w:hAnsi="Arial" w:cs="Arial"/>
                <w:color w:val="000000"/>
                <w:sz w:val="18"/>
                <w:szCs w:val="18"/>
              </w:rPr>
              <w:lastRenderedPageBreak/>
              <w:t xml:space="preserve">requisitos exigidos por las presentes instrucciones según sea el cargo que le corresponda desempeñar. La notificación aludida deberá ser comunicada a </w:t>
            </w:r>
            <w:r w:rsidR="00954620" w:rsidRPr="000D1C0B">
              <w:rPr>
                <w:rFonts w:ascii="Arial" w:hAnsi="Arial" w:cs="Arial"/>
                <w:color w:val="000000"/>
                <w:sz w:val="18"/>
                <w:szCs w:val="18"/>
              </w:rPr>
              <w:t xml:space="preserve">esta Superintendencia </w:t>
            </w:r>
            <w:r w:rsidR="00357CAD" w:rsidRPr="000D1C0B">
              <w:rPr>
                <w:rFonts w:ascii="Arial" w:hAnsi="Arial" w:cs="Arial"/>
                <w:color w:val="000000"/>
                <w:sz w:val="18"/>
                <w:szCs w:val="18"/>
              </w:rPr>
              <w:t>dentro de</w:t>
            </w:r>
            <w:r w:rsidRPr="000D1C0B">
              <w:rPr>
                <w:rFonts w:ascii="Arial" w:hAnsi="Arial" w:cs="Arial"/>
                <w:color w:val="000000"/>
                <w:sz w:val="18"/>
                <w:szCs w:val="18"/>
              </w:rPr>
              <w:t xml:space="preserve"> </w:t>
            </w:r>
            <w:r w:rsidRPr="000D1C0B">
              <w:rPr>
                <w:rFonts w:ascii="Arial" w:hAnsi="Arial" w:cs="Arial"/>
                <w:b/>
                <w:bCs/>
                <w:color w:val="000000"/>
                <w:sz w:val="18"/>
                <w:szCs w:val="18"/>
              </w:rPr>
              <w:t>10 días hábiles</w:t>
            </w:r>
            <w:r w:rsidRPr="000D1C0B">
              <w:rPr>
                <w:rFonts w:ascii="Arial" w:hAnsi="Arial" w:cs="Arial"/>
                <w:color w:val="000000"/>
                <w:sz w:val="18"/>
                <w:szCs w:val="18"/>
              </w:rPr>
              <w:t xml:space="preserve"> contados desde el momento en que tales modificaciones se produzcan.</w:t>
            </w:r>
          </w:p>
        </w:tc>
      </w:tr>
      <w:tr w:rsidR="00C033AD" w:rsidRPr="000D1C0B" w14:paraId="7D2F962D" w14:textId="77777777" w:rsidTr="00A74791">
        <w:trPr>
          <w:trHeight w:val="512"/>
        </w:trPr>
        <w:tc>
          <w:tcPr>
            <w:tcW w:w="416" w:type="dxa"/>
          </w:tcPr>
          <w:p w14:paraId="0DAB46D4" w14:textId="70CA8AFB" w:rsidR="00670805" w:rsidRPr="000D1C0B" w:rsidRDefault="00670805" w:rsidP="00670805">
            <w:pPr>
              <w:spacing w:line="240" w:lineRule="auto"/>
              <w:jc w:val="center"/>
              <w:rPr>
                <w:rFonts w:ascii="Arial" w:hAnsi="Arial" w:cs="Arial"/>
                <w:bCs/>
                <w:spacing w:val="-3"/>
                <w:sz w:val="18"/>
                <w:szCs w:val="18"/>
              </w:rPr>
            </w:pPr>
            <w:r w:rsidRPr="000D1C0B">
              <w:rPr>
                <w:rFonts w:ascii="Arial" w:hAnsi="Arial" w:cs="Arial"/>
                <w:bCs/>
                <w:spacing w:val="-3"/>
                <w:sz w:val="18"/>
                <w:szCs w:val="18"/>
              </w:rPr>
              <w:lastRenderedPageBreak/>
              <w:t>1</w:t>
            </w:r>
            <w:r w:rsidR="00C033AD" w:rsidRPr="000D1C0B">
              <w:rPr>
                <w:rFonts w:ascii="Arial" w:hAnsi="Arial" w:cs="Arial"/>
                <w:bCs/>
                <w:spacing w:val="-3"/>
                <w:sz w:val="18"/>
                <w:szCs w:val="18"/>
              </w:rPr>
              <w:t>7</w:t>
            </w:r>
          </w:p>
        </w:tc>
        <w:tc>
          <w:tcPr>
            <w:tcW w:w="1267" w:type="dxa"/>
          </w:tcPr>
          <w:p w14:paraId="7EC8E238" w14:textId="77777777" w:rsidR="00670805" w:rsidRPr="000D1C0B" w:rsidRDefault="00670805" w:rsidP="00670805">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N°108/2020</w:t>
            </w:r>
          </w:p>
        </w:tc>
        <w:tc>
          <w:tcPr>
            <w:tcW w:w="2582" w:type="dxa"/>
          </w:tcPr>
          <w:p w14:paraId="7B9B68D0" w14:textId="3F1F1060" w:rsidR="00670805" w:rsidRPr="000D1C0B" w:rsidRDefault="00670805" w:rsidP="00670805">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restricción temporal de ingreso y permanencia en casinos de juego</w:t>
            </w:r>
          </w:p>
        </w:tc>
        <w:tc>
          <w:tcPr>
            <w:tcW w:w="3666" w:type="dxa"/>
          </w:tcPr>
          <w:p w14:paraId="1410F81D" w14:textId="00B5AF29" w:rsidR="00670805" w:rsidRPr="000D1C0B" w:rsidRDefault="00670805" w:rsidP="00670805">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Primer párrafo del numeral 2.2:</w:t>
            </w:r>
          </w:p>
          <w:p w14:paraId="6A0B3072" w14:textId="77777777" w:rsidR="00670805" w:rsidRPr="000D1C0B" w:rsidRDefault="00670805" w:rsidP="00670805">
            <w:pPr>
              <w:autoSpaceDE w:val="0"/>
              <w:autoSpaceDN w:val="0"/>
              <w:adjustRightInd w:val="0"/>
              <w:spacing w:after="0" w:line="240" w:lineRule="auto"/>
              <w:jc w:val="both"/>
              <w:rPr>
                <w:rFonts w:ascii="Arial" w:hAnsi="Arial" w:cs="Arial"/>
                <w:sz w:val="18"/>
                <w:szCs w:val="18"/>
              </w:rPr>
            </w:pPr>
          </w:p>
          <w:p w14:paraId="4A4E834B" w14:textId="550D714A" w:rsidR="00670805" w:rsidRPr="000D1C0B" w:rsidRDefault="00670805" w:rsidP="00670805">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En caso de ocurrencia de cualquiera de los hechos aquí descritos la sociedad operadora o concesionaria municipal podrá restringir el ingreso temporal de una persona al casino de juego. Para lo anterior, la sociedad operadora dispondrá de un </w:t>
            </w:r>
            <w:r w:rsidRPr="000D1C0B">
              <w:rPr>
                <w:rFonts w:ascii="Arial" w:hAnsi="Arial" w:cs="Arial"/>
                <w:b/>
                <w:bCs/>
                <w:sz w:val="18"/>
                <w:szCs w:val="18"/>
              </w:rPr>
              <w:t>plazo de 48 horas</w:t>
            </w:r>
            <w:r w:rsidRPr="000D1C0B">
              <w:rPr>
                <w:rFonts w:ascii="Arial" w:hAnsi="Arial" w:cs="Arial"/>
                <w:sz w:val="18"/>
                <w:szCs w:val="18"/>
              </w:rPr>
              <w:t xml:space="preserve"> contados desde la ocurrencia de esos hechos para notificar a esta Superintendencia, vía Sistema de Autorizaciones y Notificaciones (SAYN), debiendo indicar el plazo específico de restricción de ingreso, conforme a lo dispuesto en el numeral 3.1. de esta circular.</w:t>
            </w:r>
          </w:p>
        </w:tc>
        <w:tc>
          <w:tcPr>
            <w:tcW w:w="5247" w:type="dxa"/>
          </w:tcPr>
          <w:p w14:paraId="127C4952" w14:textId="043EB64B" w:rsidR="00670805" w:rsidRPr="000D1C0B" w:rsidRDefault="00670805" w:rsidP="00670805">
            <w:pPr>
              <w:spacing w:after="0" w:line="240" w:lineRule="auto"/>
              <w:jc w:val="both"/>
              <w:rPr>
                <w:rFonts w:ascii="Arial" w:hAnsi="Arial" w:cs="Arial"/>
                <w:b/>
                <w:bCs/>
                <w:sz w:val="18"/>
                <w:szCs w:val="18"/>
              </w:rPr>
            </w:pPr>
            <w:r w:rsidRPr="000D1C0B">
              <w:rPr>
                <w:rFonts w:ascii="Arial" w:hAnsi="Arial" w:cs="Arial"/>
                <w:b/>
                <w:bCs/>
                <w:sz w:val="18"/>
                <w:szCs w:val="18"/>
              </w:rPr>
              <w:t>Reemplácese el primer párrafo del numeral 2.2:</w:t>
            </w:r>
          </w:p>
          <w:p w14:paraId="45159166" w14:textId="77777777" w:rsidR="00670805" w:rsidRPr="000D1C0B" w:rsidRDefault="00670805" w:rsidP="00670805">
            <w:pPr>
              <w:spacing w:after="0" w:line="240" w:lineRule="auto"/>
              <w:jc w:val="both"/>
              <w:rPr>
                <w:rFonts w:ascii="Arial" w:hAnsi="Arial" w:cs="Arial"/>
                <w:sz w:val="18"/>
                <w:szCs w:val="18"/>
              </w:rPr>
            </w:pPr>
          </w:p>
          <w:p w14:paraId="6777E240" w14:textId="1B59ABD4" w:rsidR="00670805" w:rsidRPr="000D1C0B" w:rsidRDefault="00670805" w:rsidP="00670805">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En caso de ocurrencia de cualquiera de los hechos aquí descritos la sociedad operadora o concesionaria municipal podrá restringir el ingreso temporal de una persona al casino de juego. Para lo anterior, la sociedad operadora </w:t>
            </w:r>
            <w:r w:rsidR="00D80A49" w:rsidRPr="000D1C0B">
              <w:rPr>
                <w:rFonts w:ascii="Arial" w:hAnsi="Arial" w:cs="Arial"/>
                <w:sz w:val="18"/>
                <w:szCs w:val="18"/>
              </w:rPr>
              <w:t>deberá informar a la brevedad, en</w:t>
            </w:r>
            <w:r w:rsidRPr="000D1C0B">
              <w:rPr>
                <w:rFonts w:ascii="Arial" w:hAnsi="Arial" w:cs="Arial"/>
                <w:sz w:val="18"/>
                <w:szCs w:val="18"/>
              </w:rPr>
              <w:t xml:space="preserve"> un plazo de </w:t>
            </w:r>
            <w:r w:rsidR="00AD1BE0" w:rsidRPr="000D1C0B">
              <w:rPr>
                <w:rFonts w:ascii="Arial" w:hAnsi="Arial" w:cs="Arial"/>
                <w:b/>
                <w:bCs/>
                <w:sz w:val="18"/>
                <w:szCs w:val="18"/>
              </w:rPr>
              <w:t>1</w:t>
            </w:r>
            <w:r w:rsidR="00241F31" w:rsidRPr="000D1C0B">
              <w:rPr>
                <w:rFonts w:ascii="Arial" w:hAnsi="Arial" w:cs="Arial"/>
                <w:b/>
                <w:bCs/>
                <w:sz w:val="18"/>
                <w:szCs w:val="18"/>
              </w:rPr>
              <w:t xml:space="preserve"> </w:t>
            </w:r>
            <w:r w:rsidRPr="000D1C0B">
              <w:rPr>
                <w:rFonts w:ascii="Arial" w:hAnsi="Arial" w:cs="Arial"/>
                <w:b/>
                <w:bCs/>
                <w:sz w:val="18"/>
                <w:szCs w:val="18"/>
              </w:rPr>
              <w:t>día</w:t>
            </w:r>
            <w:r w:rsidR="00241F31" w:rsidRPr="000D1C0B">
              <w:rPr>
                <w:rFonts w:ascii="Arial" w:hAnsi="Arial" w:cs="Arial"/>
                <w:b/>
                <w:bCs/>
                <w:sz w:val="18"/>
                <w:szCs w:val="18"/>
              </w:rPr>
              <w:t>s</w:t>
            </w:r>
            <w:r w:rsidRPr="000D1C0B">
              <w:rPr>
                <w:rFonts w:ascii="Arial" w:hAnsi="Arial" w:cs="Arial"/>
                <w:b/>
                <w:bCs/>
                <w:sz w:val="18"/>
                <w:szCs w:val="18"/>
              </w:rPr>
              <w:t xml:space="preserve"> hábil</w:t>
            </w:r>
            <w:r w:rsidR="00241F31" w:rsidRPr="000D1C0B">
              <w:rPr>
                <w:rFonts w:ascii="Arial" w:hAnsi="Arial" w:cs="Arial"/>
                <w:b/>
                <w:bCs/>
                <w:sz w:val="18"/>
                <w:szCs w:val="18"/>
              </w:rPr>
              <w:t xml:space="preserve"> </w:t>
            </w:r>
            <w:r w:rsidRPr="000D1C0B">
              <w:rPr>
                <w:rFonts w:ascii="Arial" w:hAnsi="Arial" w:cs="Arial"/>
                <w:b/>
                <w:bCs/>
                <w:sz w:val="18"/>
                <w:szCs w:val="18"/>
              </w:rPr>
              <w:t>contado</w:t>
            </w:r>
            <w:r w:rsidRPr="000D1C0B">
              <w:rPr>
                <w:rFonts w:ascii="Arial" w:hAnsi="Arial" w:cs="Arial"/>
                <w:sz w:val="18"/>
                <w:szCs w:val="18"/>
              </w:rPr>
              <w:t xml:space="preserve"> desde la ocurrencia de esos hechos para notificar a esta Superintendencia, vía Sistema de Autorizaciones y Notificaciones (SAYN), debiendo indicar el plazo específico de restricción de ingreso, conforme a lo dispuesto en el numeral 3.1. de esta circular.</w:t>
            </w:r>
          </w:p>
        </w:tc>
      </w:tr>
      <w:tr w:rsidR="00C033AD" w:rsidRPr="000D1C0B" w14:paraId="73BD7688" w14:textId="77777777" w:rsidTr="00A74791">
        <w:trPr>
          <w:trHeight w:val="512"/>
        </w:trPr>
        <w:tc>
          <w:tcPr>
            <w:tcW w:w="416" w:type="dxa"/>
          </w:tcPr>
          <w:p w14:paraId="7889D962" w14:textId="091D3419" w:rsidR="00670805" w:rsidRPr="000D1C0B" w:rsidRDefault="00670805" w:rsidP="00670805">
            <w:pPr>
              <w:spacing w:line="240" w:lineRule="auto"/>
              <w:jc w:val="center"/>
              <w:rPr>
                <w:rFonts w:ascii="Arial" w:hAnsi="Arial" w:cs="Arial"/>
                <w:bCs/>
                <w:spacing w:val="-3"/>
                <w:sz w:val="18"/>
                <w:szCs w:val="18"/>
              </w:rPr>
            </w:pPr>
            <w:r w:rsidRPr="000D1C0B">
              <w:rPr>
                <w:rFonts w:ascii="Arial" w:hAnsi="Arial" w:cs="Arial"/>
                <w:bCs/>
                <w:spacing w:val="-3"/>
                <w:sz w:val="18"/>
                <w:szCs w:val="18"/>
              </w:rPr>
              <w:t>1</w:t>
            </w:r>
            <w:r w:rsidR="00C033AD" w:rsidRPr="000D1C0B">
              <w:rPr>
                <w:rFonts w:ascii="Arial" w:hAnsi="Arial" w:cs="Arial"/>
                <w:bCs/>
                <w:spacing w:val="-3"/>
                <w:sz w:val="18"/>
                <w:szCs w:val="18"/>
              </w:rPr>
              <w:t>8</w:t>
            </w:r>
          </w:p>
        </w:tc>
        <w:tc>
          <w:tcPr>
            <w:tcW w:w="1267" w:type="dxa"/>
          </w:tcPr>
          <w:p w14:paraId="5B65804F" w14:textId="77777777" w:rsidR="00670805" w:rsidRPr="000D1C0B" w:rsidRDefault="00670805" w:rsidP="00670805">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N°110/2020</w:t>
            </w:r>
          </w:p>
        </w:tc>
        <w:tc>
          <w:tcPr>
            <w:tcW w:w="2582" w:type="dxa"/>
          </w:tcPr>
          <w:p w14:paraId="5FF82C57" w14:textId="2FA08AD0" w:rsidR="00670805" w:rsidRPr="000D1C0B" w:rsidRDefault="00670805" w:rsidP="00670805">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actividades de demostración y/o enseñanza en el casino de juego</w:t>
            </w:r>
          </w:p>
        </w:tc>
        <w:tc>
          <w:tcPr>
            <w:tcW w:w="3666" w:type="dxa"/>
          </w:tcPr>
          <w:p w14:paraId="4EC9F70C" w14:textId="310B3B6B" w:rsidR="00670805" w:rsidRPr="000D1C0B" w:rsidRDefault="00670805" w:rsidP="00670805">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Numeral 4:</w:t>
            </w:r>
          </w:p>
          <w:p w14:paraId="35176159" w14:textId="77777777" w:rsidR="00670805" w:rsidRPr="000D1C0B" w:rsidRDefault="00670805" w:rsidP="00670805">
            <w:pPr>
              <w:autoSpaceDE w:val="0"/>
              <w:autoSpaceDN w:val="0"/>
              <w:adjustRightInd w:val="0"/>
              <w:spacing w:after="0" w:line="240" w:lineRule="auto"/>
              <w:jc w:val="both"/>
              <w:rPr>
                <w:rFonts w:ascii="Arial" w:hAnsi="Arial" w:cs="Arial"/>
                <w:sz w:val="18"/>
                <w:szCs w:val="18"/>
              </w:rPr>
            </w:pPr>
          </w:p>
          <w:p w14:paraId="5CFE72F0" w14:textId="0FD07863" w:rsidR="00670805" w:rsidRPr="000D1C0B" w:rsidRDefault="00670805" w:rsidP="00670805">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Las presentaciones que las sociedades operadoras dirijan a esta Superintendencia en cumplimiento de esta </w:t>
            </w:r>
            <w:proofErr w:type="gramStart"/>
            <w:r w:rsidRPr="000D1C0B">
              <w:rPr>
                <w:rFonts w:ascii="Arial" w:hAnsi="Arial" w:cs="Arial"/>
                <w:sz w:val="18"/>
                <w:szCs w:val="18"/>
              </w:rPr>
              <w:t>Circular,</w:t>
            </w:r>
            <w:proofErr w:type="gramEnd"/>
            <w:r w:rsidRPr="000D1C0B">
              <w:rPr>
                <w:rFonts w:ascii="Arial" w:hAnsi="Arial" w:cs="Arial"/>
                <w:sz w:val="18"/>
                <w:szCs w:val="18"/>
              </w:rPr>
              <w:t xml:space="preserve"> deberán hacerse llegar </w:t>
            </w:r>
            <w:r w:rsidRPr="000D1C0B">
              <w:rPr>
                <w:rFonts w:ascii="Arial" w:hAnsi="Arial" w:cs="Arial"/>
                <w:b/>
                <w:bCs/>
                <w:sz w:val="18"/>
                <w:szCs w:val="18"/>
              </w:rPr>
              <w:t>con una antelación</w:t>
            </w:r>
            <w:r w:rsidRPr="000D1C0B">
              <w:rPr>
                <w:rFonts w:ascii="Arial" w:hAnsi="Arial" w:cs="Arial"/>
                <w:sz w:val="18"/>
                <w:szCs w:val="18"/>
              </w:rPr>
              <w:t xml:space="preserve"> de, </w:t>
            </w:r>
            <w:r w:rsidRPr="000D1C0B">
              <w:rPr>
                <w:rFonts w:ascii="Arial" w:hAnsi="Arial" w:cs="Arial"/>
                <w:b/>
                <w:bCs/>
                <w:sz w:val="18"/>
                <w:szCs w:val="18"/>
              </w:rPr>
              <w:t>a lo menos,</w:t>
            </w:r>
            <w:r w:rsidRPr="000D1C0B">
              <w:rPr>
                <w:rFonts w:ascii="Arial" w:hAnsi="Arial" w:cs="Arial"/>
                <w:sz w:val="18"/>
                <w:szCs w:val="18"/>
              </w:rPr>
              <w:t xml:space="preserve"> </w:t>
            </w:r>
            <w:r w:rsidRPr="000D1C0B">
              <w:rPr>
                <w:rFonts w:ascii="Arial" w:hAnsi="Arial" w:cs="Arial"/>
                <w:b/>
                <w:bCs/>
                <w:sz w:val="18"/>
                <w:szCs w:val="18"/>
              </w:rPr>
              <w:t xml:space="preserve">10 días hábiles </w:t>
            </w:r>
            <w:r w:rsidRPr="000D1C0B">
              <w:rPr>
                <w:rFonts w:ascii="Arial" w:hAnsi="Arial" w:cs="Arial"/>
                <w:sz w:val="18"/>
                <w:szCs w:val="18"/>
              </w:rPr>
              <w:t xml:space="preserve">respecto de la fecha de inicio del período de demostración y/o enseñanza </w:t>
            </w:r>
            <w:r w:rsidRPr="000D1C0B">
              <w:rPr>
                <w:rFonts w:ascii="Arial" w:hAnsi="Arial" w:cs="Arial"/>
                <w:b/>
                <w:bCs/>
                <w:sz w:val="18"/>
                <w:szCs w:val="18"/>
              </w:rPr>
              <w:t>que se pretenda implementar</w:t>
            </w:r>
            <w:r w:rsidRPr="000D1C0B">
              <w:rPr>
                <w:rFonts w:ascii="Arial" w:hAnsi="Arial" w:cs="Arial"/>
                <w:sz w:val="18"/>
                <w:szCs w:val="18"/>
              </w:rPr>
              <w:t xml:space="preserve"> dentro del casino de juego; y de, a lo menos, </w:t>
            </w:r>
            <w:r w:rsidRPr="000D1C0B">
              <w:rPr>
                <w:rFonts w:ascii="Arial" w:hAnsi="Arial" w:cs="Arial"/>
                <w:b/>
                <w:bCs/>
                <w:sz w:val="18"/>
                <w:szCs w:val="18"/>
              </w:rPr>
              <w:t>20 días hábiles</w:t>
            </w:r>
            <w:r w:rsidRPr="000D1C0B">
              <w:rPr>
                <w:rFonts w:ascii="Arial" w:hAnsi="Arial" w:cs="Arial"/>
                <w:sz w:val="18"/>
                <w:szCs w:val="18"/>
              </w:rPr>
              <w:t xml:space="preserve"> respecto de la fecha de inicio del período de demostración y/o enseñanza que se </w:t>
            </w:r>
            <w:r w:rsidRPr="000D1C0B">
              <w:rPr>
                <w:rFonts w:ascii="Arial" w:hAnsi="Arial" w:cs="Arial"/>
                <w:sz w:val="18"/>
                <w:szCs w:val="18"/>
              </w:rPr>
              <w:lastRenderedPageBreak/>
              <w:t>pretenda implementar fuera del casino de juego.</w:t>
            </w:r>
          </w:p>
        </w:tc>
        <w:tc>
          <w:tcPr>
            <w:tcW w:w="5247" w:type="dxa"/>
          </w:tcPr>
          <w:p w14:paraId="2B339A01" w14:textId="6D96CF8C" w:rsidR="00670805" w:rsidRPr="000D1C0B" w:rsidRDefault="00670805" w:rsidP="00670805">
            <w:pPr>
              <w:spacing w:after="0" w:line="240" w:lineRule="auto"/>
              <w:jc w:val="both"/>
              <w:rPr>
                <w:rFonts w:ascii="Arial" w:hAnsi="Arial" w:cs="Arial"/>
                <w:b/>
                <w:bCs/>
                <w:sz w:val="18"/>
                <w:szCs w:val="18"/>
              </w:rPr>
            </w:pPr>
            <w:r w:rsidRPr="000D1C0B">
              <w:rPr>
                <w:rFonts w:ascii="Arial" w:hAnsi="Arial" w:cs="Arial"/>
                <w:b/>
                <w:bCs/>
                <w:sz w:val="18"/>
                <w:szCs w:val="18"/>
              </w:rPr>
              <w:lastRenderedPageBreak/>
              <w:t>Reemplácese el numeral 4:</w:t>
            </w:r>
          </w:p>
          <w:p w14:paraId="75A7DD12" w14:textId="77777777" w:rsidR="00670805" w:rsidRPr="000D1C0B" w:rsidRDefault="00670805" w:rsidP="00670805">
            <w:pPr>
              <w:spacing w:after="0" w:line="240" w:lineRule="auto"/>
              <w:jc w:val="both"/>
              <w:rPr>
                <w:rFonts w:ascii="Arial" w:hAnsi="Arial" w:cs="Arial"/>
                <w:b/>
                <w:bCs/>
                <w:sz w:val="18"/>
                <w:szCs w:val="18"/>
              </w:rPr>
            </w:pPr>
          </w:p>
          <w:p w14:paraId="43D8EB08" w14:textId="5A9196D5" w:rsidR="00670805" w:rsidRPr="000D1C0B" w:rsidRDefault="00670805" w:rsidP="00670805">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Las presentaciones que las sociedades operadoras dirijan a esta Superintendencia en cumplimiento de esta Circular, deberán hacerse </w:t>
            </w:r>
            <w:proofErr w:type="gramStart"/>
            <w:r w:rsidRPr="000D1C0B">
              <w:rPr>
                <w:rFonts w:ascii="Arial" w:hAnsi="Arial" w:cs="Arial"/>
                <w:sz w:val="18"/>
                <w:szCs w:val="18"/>
              </w:rPr>
              <w:t xml:space="preserve">llegar  </w:t>
            </w:r>
            <w:r w:rsidR="0093130F" w:rsidRPr="000D1C0B">
              <w:rPr>
                <w:rFonts w:ascii="Arial" w:hAnsi="Arial" w:cs="Arial"/>
                <w:sz w:val="18"/>
                <w:szCs w:val="18"/>
              </w:rPr>
              <w:t>al</w:t>
            </w:r>
            <w:proofErr w:type="gramEnd"/>
            <w:r w:rsidR="0093130F" w:rsidRPr="000D1C0B">
              <w:rPr>
                <w:rFonts w:ascii="Arial" w:hAnsi="Arial" w:cs="Arial"/>
                <w:sz w:val="18"/>
                <w:szCs w:val="18"/>
              </w:rPr>
              <w:t xml:space="preserve"> </w:t>
            </w:r>
            <w:r w:rsidRPr="000D1C0B">
              <w:rPr>
                <w:rFonts w:ascii="Arial" w:hAnsi="Arial" w:cs="Arial"/>
                <w:b/>
                <w:bCs/>
                <w:sz w:val="18"/>
                <w:szCs w:val="18"/>
              </w:rPr>
              <w:t xml:space="preserve">día hábil </w:t>
            </w:r>
            <w:r w:rsidR="0093130F" w:rsidRPr="000D1C0B">
              <w:rPr>
                <w:rFonts w:ascii="Arial" w:hAnsi="Arial" w:cs="Arial"/>
                <w:b/>
                <w:bCs/>
                <w:sz w:val="18"/>
                <w:szCs w:val="18"/>
              </w:rPr>
              <w:t xml:space="preserve">siguiente </w:t>
            </w:r>
            <w:r w:rsidRPr="000D1C0B">
              <w:rPr>
                <w:rFonts w:ascii="Arial" w:hAnsi="Arial" w:cs="Arial"/>
                <w:sz w:val="18"/>
                <w:szCs w:val="18"/>
              </w:rPr>
              <w:t xml:space="preserve">desde la fecha </w:t>
            </w:r>
            <w:r w:rsidRPr="000D1C0B">
              <w:rPr>
                <w:rFonts w:ascii="Arial" w:hAnsi="Arial" w:cs="Arial"/>
                <w:b/>
                <w:bCs/>
                <w:sz w:val="18"/>
                <w:szCs w:val="18"/>
              </w:rPr>
              <w:t>efectiva</w:t>
            </w:r>
            <w:r w:rsidRPr="000D1C0B">
              <w:rPr>
                <w:rFonts w:ascii="Arial" w:hAnsi="Arial" w:cs="Arial"/>
                <w:sz w:val="18"/>
                <w:szCs w:val="18"/>
              </w:rPr>
              <w:t xml:space="preserve"> de inicio del período de demostración y/o enseñanza dentro del casino de juego; y </w:t>
            </w:r>
            <w:r w:rsidRPr="000D1C0B">
              <w:rPr>
                <w:rFonts w:ascii="Arial" w:hAnsi="Arial" w:cs="Arial"/>
                <w:b/>
                <w:bCs/>
                <w:sz w:val="18"/>
                <w:szCs w:val="18"/>
              </w:rPr>
              <w:t>con un antelación</w:t>
            </w:r>
            <w:r w:rsidRPr="000D1C0B">
              <w:rPr>
                <w:rFonts w:ascii="Arial" w:hAnsi="Arial" w:cs="Arial"/>
                <w:sz w:val="18"/>
                <w:szCs w:val="18"/>
              </w:rPr>
              <w:t xml:space="preserve"> de, a lo menos, </w:t>
            </w:r>
            <w:r w:rsidR="009D6011" w:rsidRPr="000D1C0B">
              <w:rPr>
                <w:rFonts w:ascii="Arial" w:hAnsi="Arial" w:cs="Arial"/>
                <w:b/>
                <w:bCs/>
                <w:sz w:val="18"/>
                <w:szCs w:val="18"/>
              </w:rPr>
              <w:t xml:space="preserve">10 </w:t>
            </w:r>
            <w:r w:rsidRPr="000D1C0B">
              <w:rPr>
                <w:rFonts w:ascii="Arial" w:hAnsi="Arial" w:cs="Arial"/>
                <w:b/>
                <w:bCs/>
                <w:sz w:val="18"/>
                <w:szCs w:val="18"/>
              </w:rPr>
              <w:t>días hábiles</w:t>
            </w:r>
            <w:r w:rsidRPr="000D1C0B">
              <w:rPr>
                <w:rFonts w:ascii="Arial" w:hAnsi="Arial" w:cs="Arial"/>
                <w:sz w:val="18"/>
                <w:szCs w:val="18"/>
              </w:rPr>
              <w:t xml:space="preserve"> respecto de la fecha de inicio del período de demostración y/o enseñanza que se pretenda implementar fuera del casino de juego.</w:t>
            </w:r>
          </w:p>
        </w:tc>
      </w:tr>
      <w:tr w:rsidR="00C033AD" w:rsidRPr="000D1C0B" w14:paraId="0CBAD8B7" w14:textId="77777777" w:rsidTr="00A74791">
        <w:trPr>
          <w:trHeight w:val="512"/>
        </w:trPr>
        <w:tc>
          <w:tcPr>
            <w:tcW w:w="416" w:type="dxa"/>
            <w:shd w:val="clear" w:color="auto" w:fill="FFFFFF" w:themeFill="background1"/>
          </w:tcPr>
          <w:p w14:paraId="46793D70" w14:textId="1FCB0CF8" w:rsidR="00670805" w:rsidRPr="000D1C0B" w:rsidRDefault="00C033AD" w:rsidP="00670805">
            <w:pPr>
              <w:spacing w:line="240" w:lineRule="auto"/>
              <w:jc w:val="center"/>
              <w:rPr>
                <w:rFonts w:ascii="Arial" w:hAnsi="Arial" w:cs="Arial"/>
                <w:bCs/>
                <w:spacing w:val="-3"/>
                <w:sz w:val="18"/>
                <w:szCs w:val="18"/>
              </w:rPr>
            </w:pPr>
            <w:r w:rsidRPr="000D1C0B">
              <w:rPr>
                <w:rFonts w:ascii="Arial" w:hAnsi="Arial" w:cs="Arial"/>
                <w:bCs/>
                <w:spacing w:val="-3"/>
                <w:sz w:val="18"/>
                <w:szCs w:val="18"/>
              </w:rPr>
              <w:t>19</w:t>
            </w:r>
          </w:p>
        </w:tc>
        <w:tc>
          <w:tcPr>
            <w:tcW w:w="1267" w:type="dxa"/>
          </w:tcPr>
          <w:p w14:paraId="2AB9178D" w14:textId="6BC15E44" w:rsidR="00670805" w:rsidRPr="000D1C0B" w:rsidRDefault="00670805" w:rsidP="00670805">
            <w:pPr>
              <w:spacing w:line="240" w:lineRule="auto"/>
              <w:jc w:val="center"/>
              <w:rPr>
                <w:rFonts w:ascii="Arial" w:hAnsi="Arial" w:cs="Arial"/>
                <w:b/>
                <w:bCs/>
                <w:spacing w:val="-3"/>
                <w:sz w:val="18"/>
                <w:szCs w:val="18"/>
              </w:rPr>
            </w:pPr>
            <w:r w:rsidRPr="000D1C0B">
              <w:rPr>
                <w:rFonts w:ascii="Arial" w:hAnsi="Arial" w:cs="Arial"/>
                <w:bCs/>
                <w:spacing w:val="-3"/>
                <w:sz w:val="18"/>
                <w:szCs w:val="18"/>
              </w:rPr>
              <w:t>Circular N°111/2020</w:t>
            </w:r>
          </w:p>
        </w:tc>
        <w:tc>
          <w:tcPr>
            <w:tcW w:w="2582" w:type="dxa"/>
          </w:tcPr>
          <w:p w14:paraId="19C93BC4" w14:textId="77777777" w:rsidR="00670805" w:rsidRPr="000D1C0B" w:rsidRDefault="00670805" w:rsidP="00670805">
            <w:pPr>
              <w:spacing w:line="240" w:lineRule="auto"/>
              <w:jc w:val="both"/>
              <w:rPr>
                <w:rFonts w:ascii="Arial" w:hAnsi="Arial" w:cs="Arial"/>
                <w:b/>
                <w:bCs/>
                <w:spacing w:val="-3"/>
                <w:sz w:val="18"/>
                <w:szCs w:val="18"/>
              </w:rPr>
            </w:pPr>
            <w:r w:rsidRPr="000D1C0B">
              <w:rPr>
                <w:rFonts w:ascii="Arial" w:hAnsi="Arial" w:cs="Arial"/>
                <w:bCs/>
                <w:spacing w:val="-3"/>
                <w:sz w:val="18"/>
                <w:szCs w:val="18"/>
              </w:rPr>
              <w:t>Notificación de cesación de gerente general y/o revocación de apoderado o representante y/o vacancia de director</w:t>
            </w:r>
          </w:p>
        </w:tc>
        <w:tc>
          <w:tcPr>
            <w:tcW w:w="3666" w:type="dxa"/>
          </w:tcPr>
          <w:p w14:paraId="580682E0" w14:textId="630024F0" w:rsidR="00670805" w:rsidRPr="000D1C0B" w:rsidRDefault="00670805" w:rsidP="00670805">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Numeral 3:</w:t>
            </w:r>
          </w:p>
          <w:p w14:paraId="0CD7BFD1" w14:textId="77777777" w:rsidR="00670805" w:rsidRPr="000D1C0B" w:rsidRDefault="00670805" w:rsidP="00670805">
            <w:pPr>
              <w:autoSpaceDE w:val="0"/>
              <w:autoSpaceDN w:val="0"/>
              <w:adjustRightInd w:val="0"/>
              <w:spacing w:after="0" w:line="240" w:lineRule="auto"/>
              <w:jc w:val="both"/>
              <w:rPr>
                <w:rFonts w:ascii="Arial" w:hAnsi="Arial" w:cs="Arial"/>
                <w:sz w:val="18"/>
                <w:szCs w:val="18"/>
              </w:rPr>
            </w:pPr>
          </w:p>
          <w:p w14:paraId="4BE672BE" w14:textId="77777777" w:rsidR="00670805" w:rsidRPr="000D1C0B" w:rsidRDefault="00670805" w:rsidP="00670805">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De manera que esta Superintendencia cuente con información actualizada y pueda dar mayor rapidez al procedimiento respectivo, las sociedades operadoras deberán notificar a esta Superintendencia, en el plazo de </w:t>
            </w:r>
            <w:r w:rsidRPr="000D1C0B">
              <w:rPr>
                <w:rFonts w:ascii="Arial" w:hAnsi="Arial" w:cs="Arial"/>
                <w:b/>
                <w:bCs/>
                <w:sz w:val="18"/>
                <w:szCs w:val="18"/>
              </w:rPr>
              <w:t>72 horas desde su ocurrencia</w:t>
            </w:r>
            <w:r w:rsidRPr="000D1C0B">
              <w:rPr>
                <w:rFonts w:ascii="Arial" w:hAnsi="Arial" w:cs="Arial"/>
                <w:sz w:val="18"/>
                <w:szCs w:val="18"/>
              </w:rPr>
              <w:t>, la existencia de alguna de las siguientes circunstancias:</w:t>
            </w:r>
          </w:p>
          <w:p w14:paraId="62CCB73E" w14:textId="77777777" w:rsidR="00670805" w:rsidRPr="000D1C0B" w:rsidRDefault="00670805" w:rsidP="00670805">
            <w:pPr>
              <w:autoSpaceDE w:val="0"/>
              <w:autoSpaceDN w:val="0"/>
              <w:adjustRightInd w:val="0"/>
              <w:spacing w:after="0" w:line="240" w:lineRule="auto"/>
              <w:jc w:val="both"/>
              <w:rPr>
                <w:rFonts w:ascii="Arial" w:hAnsi="Arial" w:cs="Arial"/>
                <w:sz w:val="18"/>
                <w:szCs w:val="18"/>
              </w:rPr>
            </w:pPr>
          </w:p>
          <w:p w14:paraId="629EA5A8" w14:textId="77777777" w:rsidR="00670805" w:rsidRPr="000D1C0B" w:rsidRDefault="00670805" w:rsidP="00670805">
            <w:pPr>
              <w:pStyle w:val="Prrafodelista"/>
              <w:numPr>
                <w:ilvl w:val="0"/>
                <w:numId w:val="34"/>
              </w:numPr>
              <w:autoSpaceDE w:val="0"/>
              <w:autoSpaceDN w:val="0"/>
              <w:adjustRightInd w:val="0"/>
              <w:spacing w:after="0" w:line="240" w:lineRule="auto"/>
              <w:ind w:left="360"/>
              <w:jc w:val="both"/>
              <w:rPr>
                <w:rFonts w:ascii="Arial" w:hAnsi="Arial" w:cs="Arial"/>
                <w:sz w:val="18"/>
                <w:szCs w:val="18"/>
              </w:rPr>
            </w:pPr>
            <w:r w:rsidRPr="000D1C0B">
              <w:rPr>
                <w:rFonts w:ascii="Arial" w:hAnsi="Arial" w:cs="Arial"/>
                <w:sz w:val="18"/>
                <w:szCs w:val="18"/>
              </w:rPr>
              <w:t>La vacancia definitiva en el cargo de algún o algunos de los directores titulares o suplentes de la sociedad operadora. En caso de vacancia de un director titular y suplente, señalar la fecha en que se realizará la próxima junta de accionistas de nombramiento de directorio.</w:t>
            </w:r>
          </w:p>
          <w:p w14:paraId="468514B6" w14:textId="77777777" w:rsidR="00670805" w:rsidRPr="000D1C0B" w:rsidRDefault="00670805" w:rsidP="00670805">
            <w:pPr>
              <w:pStyle w:val="Prrafodelista"/>
              <w:numPr>
                <w:ilvl w:val="0"/>
                <w:numId w:val="34"/>
              </w:numPr>
              <w:autoSpaceDE w:val="0"/>
              <w:autoSpaceDN w:val="0"/>
              <w:adjustRightInd w:val="0"/>
              <w:spacing w:after="0" w:line="240" w:lineRule="auto"/>
              <w:ind w:left="360"/>
              <w:jc w:val="both"/>
              <w:rPr>
                <w:rFonts w:ascii="Arial" w:hAnsi="Arial" w:cs="Arial"/>
                <w:sz w:val="18"/>
                <w:szCs w:val="18"/>
              </w:rPr>
            </w:pPr>
            <w:r w:rsidRPr="000D1C0B">
              <w:rPr>
                <w:rFonts w:ascii="Arial" w:hAnsi="Arial" w:cs="Arial"/>
                <w:sz w:val="18"/>
                <w:szCs w:val="18"/>
              </w:rPr>
              <w:t>La cesación en el cargo del gerente general de la sociedad operadora.</w:t>
            </w:r>
          </w:p>
          <w:p w14:paraId="74DC5F7D" w14:textId="77777777" w:rsidR="00670805" w:rsidRPr="000D1C0B" w:rsidRDefault="00670805" w:rsidP="00670805">
            <w:pPr>
              <w:pStyle w:val="Prrafodelista"/>
              <w:numPr>
                <w:ilvl w:val="0"/>
                <w:numId w:val="34"/>
              </w:numPr>
              <w:autoSpaceDE w:val="0"/>
              <w:autoSpaceDN w:val="0"/>
              <w:adjustRightInd w:val="0"/>
              <w:spacing w:after="0" w:line="240" w:lineRule="auto"/>
              <w:ind w:left="360"/>
              <w:jc w:val="both"/>
              <w:rPr>
                <w:rFonts w:ascii="Arial" w:hAnsi="Arial" w:cs="Arial"/>
                <w:b/>
                <w:bCs/>
                <w:spacing w:val="-3"/>
                <w:sz w:val="18"/>
                <w:szCs w:val="18"/>
              </w:rPr>
            </w:pPr>
            <w:r w:rsidRPr="000D1C0B">
              <w:rPr>
                <w:rFonts w:ascii="Arial" w:hAnsi="Arial" w:cs="Arial"/>
                <w:sz w:val="18"/>
                <w:szCs w:val="18"/>
              </w:rPr>
              <w:t>La revocación de algún o alguno de los representantes o apoderados de la sociedad operadora.</w:t>
            </w:r>
          </w:p>
        </w:tc>
        <w:tc>
          <w:tcPr>
            <w:tcW w:w="5247" w:type="dxa"/>
          </w:tcPr>
          <w:p w14:paraId="7C388594" w14:textId="0904D057" w:rsidR="00670805" w:rsidRPr="000D1C0B" w:rsidRDefault="00670805" w:rsidP="00670805">
            <w:pPr>
              <w:spacing w:after="0" w:line="240" w:lineRule="auto"/>
              <w:jc w:val="both"/>
              <w:rPr>
                <w:rFonts w:ascii="Arial" w:hAnsi="Arial" w:cs="Arial"/>
                <w:b/>
                <w:bCs/>
                <w:sz w:val="18"/>
                <w:szCs w:val="18"/>
              </w:rPr>
            </w:pPr>
            <w:r w:rsidRPr="000D1C0B">
              <w:rPr>
                <w:rFonts w:ascii="Arial" w:hAnsi="Arial" w:cs="Arial"/>
                <w:b/>
                <w:bCs/>
                <w:sz w:val="18"/>
                <w:szCs w:val="18"/>
              </w:rPr>
              <w:t>Reemplácese el numeral 3:</w:t>
            </w:r>
          </w:p>
          <w:p w14:paraId="1F6967D1" w14:textId="77777777" w:rsidR="00670805" w:rsidRPr="000D1C0B" w:rsidRDefault="00670805" w:rsidP="00670805">
            <w:pPr>
              <w:spacing w:after="0" w:line="240" w:lineRule="auto"/>
              <w:jc w:val="both"/>
              <w:rPr>
                <w:rFonts w:ascii="Arial" w:hAnsi="Arial" w:cs="Arial"/>
                <w:sz w:val="18"/>
                <w:szCs w:val="18"/>
              </w:rPr>
            </w:pPr>
          </w:p>
          <w:p w14:paraId="29C089E1" w14:textId="1003F1E8" w:rsidR="00670805" w:rsidRPr="000D1C0B" w:rsidRDefault="00670805" w:rsidP="00670805">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De manera que esta Superintendencia cuente con información actualizada y pueda dar mayor rapidez al procedimiento respectivo, las sociedades operadoras deberán notificar a esta Superintendencia, en el plazo </w:t>
            </w:r>
            <w:r w:rsidRPr="000D1C0B">
              <w:rPr>
                <w:rFonts w:ascii="Arial" w:hAnsi="Arial" w:cs="Arial"/>
                <w:b/>
                <w:bCs/>
                <w:sz w:val="18"/>
                <w:szCs w:val="18"/>
              </w:rPr>
              <w:t xml:space="preserve">máximo de </w:t>
            </w:r>
            <w:r w:rsidR="00F60C54" w:rsidRPr="000D1C0B">
              <w:rPr>
                <w:rFonts w:ascii="Arial" w:hAnsi="Arial" w:cs="Arial"/>
                <w:b/>
                <w:bCs/>
                <w:sz w:val="18"/>
                <w:szCs w:val="18"/>
              </w:rPr>
              <w:t>3</w:t>
            </w:r>
            <w:r w:rsidRPr="000D1C0B">
              <w:rPr>
                <w:rFonts w:ascii="Arial" w:hAnsi="Arial" w:cs="Arial"/>
                <w:b/>
                <w:bCs/>
                <w:sz w:val="18"/>
                <w:szCs w:val="18"/>
              </w:rPr>
              <w:t xml:space="preserve"> día</w:t>
            </w:r>
            <w:r w:rsidR="00F60C54" w:rsidRPr="000D1C0B">
              <w:rPr>
                <w:rFonts w:ascii="Arial" w:hAnsi="Arial" w:cs="Arial"/>
                <w:b/>
                <w:bCs/>
                <w:sz w:val="18"/>
                <w:szCs w:val="18"/>
              </w:rPr>
              <w:t>s</w:t>
            </w:r>
            <w:r w:rsidRPr="000D1C0B">
              <w:rPr>
                <w:rFonts w:ascii="Arial" w:hAnsi="Arial" w:cs="Arial"/>
                <w:b/>
                <w:bCs/>
                <w:sz w:val="18"/>
                <w:szCs w:val="18"/>
              </w:rPr>
              <w:t xml:space="preserve"> hábil</w:t>
            </w:r>
            <w:r w:rsidR="00F60C54" w:rsidRPr="000D1C0B">
              <w:rPr>
                <w:rFonts w:ascii="Arial" w:hAnsi="Arial" w:cs="Arial"/>
                <w:b/>
                <w:bCs/>
                <w:sz w:val="18"/>
                <w:szCs w:val="18"/>
              </w:rPr>
              <w:t xml:space="preserve">es </w:t>
            </w:r>
            <w:r w:rsidRPr="000D1C0B">
              <w:rPr>
                <w:rFonts w:ascii="Arial" w:hAnsi="Arial" w:cs="Arial"/>
                <w:sz w:val="18"/>
                <w:szCs w:val="18"/>
              </w:rPr>
              <w:t>desde su ocurrencia, la existencia de alguna de las siguientes circunstancias:</w:t>
            </w:r>
          </w:p>
          <w:p w14:paraId="5A76451E" w14:textId="77777777" w:rsidR="00670805" w:rsidRPr="000D1C0B" w:rsidRDefault="00670805" w:rsidP="00670805">
            <w:pPr>
              <w:spacing w:after="0" w:line="240" w:lineRule="auto"/>
              <w:jc w:val="both"/>
              <w:rPr>
                <w:rFonts w:ascii="Arial" w:hAnsi="Arial" w:cs="Arial"/>
                <w:bCs/>
                <w:spacing w:val="-3"/>
                <w:sz w:val="18"/>
                <w:szCs w:val="18"/>
              </w:rPr>
            </w:pPr>
          </w:p>
          <w:p w14:paraId="06467B93" w14:textId="77777777" w:rsidR="00670805" w:rsidRPr="000D1C0B" w:rsidRDefault="00670805" w:rsidP="00670805">
            <w:pPr>
              <w:pStyle w:val="Prrafodelista"/>
              <w:numPr>
                <w:ilvl w:val="0"/>
                <w:numId w:val="36"/>
              </w:num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La vacancia definitiva en el cargo de algún o algunos de los directores titulares o suplentes de la sociedad operadora. En el caso de vacancia de un director titular y su suplente, señalar la fecha en que se realizará la próxima junta de accionistas de nombramiento de directorio.</w:t>
            </w:r>
          </w:p>
          <w:p w14:paraId="59A78D3F" w14:textId="77777777" w:rsidR="00670805" w:rsidRPr="000D1C0B" w:rsidRDefault="00670805" w:rsidP="00670805">
            <w:pPr>
              <w:pStyle w:val="Prrafodelista"/>
              <w:numPr>
                <w:ilvl w:val="0"/>
                <w:numId w:val="36"/>
              </w:num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La cesación en el cargo del gerente general de la sociedad operadora.</w:t>
            </w:r>
          </w:p>
          <w:p w14:paraId="0C03E6D3" w14:textId="77777777" w:rsidR="00670805" w:rsidRPr="000D1C0B" w:rsidRDefault="00670805" w:rsidP="00670805">
            <w:pPr>
              <w:pStyle w:val="Prrafodelista"/>
              <w:numPr>
                <w:ilvl w:val="0"/>
                <w:numId w:val="36"/>
              </w:numPr>
              <w:autoSpaceDE w:val="0"/>
              <w:autoSpaceDN w:val="0"/>
              <w:adjustRightInd w:val="0"/>
              <w:spacing w:after="0" w:line="240" w:lineRule="auto"/>
              <w:jc w:val="both"/>
              <w:rPr>
                <w:rFonts w:ascii="Arial" w:hAnsi="Arial" w:cs="Arial"/>
                <w:b/>
                <w:bCs/>
                <w:spacing w:val="-3"/>
                <w:sz w:val="18"/>
                <w:szCs w:val="18"/>
              </w:rPr>
            </w:pPr>
            <w:r w:rsidRPr="000D1C0B">
              <w:rPr>
                <w:rFonts w:ascii="Arial" w:hAnsi="Arial" w:cs="Arial"/>
                <w:sz w:val="18"/>
                <w:szCs w:val="18"/>
              </w:rPr>
              <w:t>La revocación de algún o alguno de los representantes o apoderados de la sociedad operadora.</w:t>
            </w:r>
          </w:p>
        </w:tc>
      </w:tr>
      <w:tr w:rsidR="00A74791" w:rsidRPr="000D1C0B" w14:paraId="140F5CA8" w14:textId="77777777" w:rsidTr="00A74791">
        <w:trPr>
          <w:trHeight w:val="512"/>
        </w:trPr>
        <w:tc>
          <w:tcPr>
            <w:tcW w:w="416" w:type="dxa"/>
            <w:shd w:val="clear" w:color="auto" w:fill="FFFFFF" w:themeFill="background1"/>
          </w:tcPr>
          <w:p w14:paraId="3A073BF2" w14:textId="77777777" w:rsidR="00A74791" w:rsidRPr="000D1C0B" w:rsidRDefault="00A74791" w:rsidP="00A74791">
            <w:pPr>
              <w:spacing w:line="240" w:lineRule="auto"/>
              <w:jc w:val="center"/>
              <w:rPr>
                <w:rFonts w:ascii="Arial" w:hAnsi="Arial" w:cs="Arial"/>
                <w:bCs/>
                <w:spacing w:val="-3"/>
                <w:sz w:val="18"/>
                <w:szCs w:val="18"/>
              </w:rPr>
            </w:pPr>
          </w:p>
        </w:tc>
        <w:tc>
          <w:tcPr>
            <w:tcW w:w="1267" w:type="dxa"/>
          </w:tcPr>
          <w:p w14:paraId="2E18209D" w14:textId="77777777" w:rsidR="00A74791" w:rsidRPr="000D1C0B" w:rsidRDefault="00A74791" w:rsidP="00A74791">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N°113/2020</w:t>
            </w:r>
          </w:p>
          <w:p w14:paraId="7A88F13E" w14:textId="77777777" w:rsidR="00A74791" w:rsidRPr="000D1C0B" w:rsidRDefault="00A74791" w:rsidP="00A74791">
            <w:pPr>
              <w:spacing w:line="240" w:lineRule="auto"/>
              <w:jc w:val="center"/>
              <w:rPr>
                <w:rFonts w:ascii="Arial" w:hAnsi="Arial" w:cs="Arial"/>
                <w:bCs/>
                <w:spacing w:val="-3"/>
                <w:sz w:val="18"/>
                <w:szCs w:val="18"/>
              </w:rPr>
            </w:pPr>
          </w:p>
          <w:p w14:paraId="429381AA" w14:textId="4B8CCF00" w:rsidR="00A74791" w:rsidRPr="000D1C0B" w:rsidRDefault="00A74791" w:rsidP="00A74791">
            <w:pPr>
              <w:spacing w:line="240" w:lineRule="auto"/>
              <w:jc w:val="center"/>
              <w:rPr>
                <w:rFonts w:ascii="Arial" w:hAnsi="Arial" w:cs="Arial"/>
                <w:bCs/>
                <w:spacing w:val="-3"/>
                <w:sz w:val="18"/>
                <w:szCs w:val="18"/>
              </w:rPr>
            </w:pPr>
            <w:r w:rsidRPr="000D1C0B">
              <w:rPr>
                <w:rFonts w:ascii="Arial" w:hAnsi="Arial" w:cs="Arial"/>
                <w:bCs/>
                <w:spacing w:val="-3"/>
                <w:sz w:val="18"/>
                <w:szCs w:val="18"/>
              </w:rPr>
              <w:t>(COMENTARIO: se incluye aporte de CAP)</w:t>
            </w:r>
          </w:p>
        </w:tc>
        <w:tc>
          <w:tcPr>
            <w:tcW w:w="2582" w:type="dxa"/>
          </w:tcPr>
          <w:p w14:paraId="710E16A8"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Notificación de información para determinar el monto de la oferta económica del año 1 y 15, sobre permisos de operación de casinos de juego</w:t>
            </w:r>
          </w:p>
          <w:p w14:paraId="2FE22CED" w14:textId="77777777" w:rsidR="00A74791" w:rsidRPr="000D1C0B" w:rsidRDefault="00A74791" w:rsidP="00A74791">
            <w:pPr>
              <w:spacing w:line="240" w:lineRule="auto"/>
              <w:jc w:val="both"/>
              <w:rPr>
                <w:rFonts w:ascii="Arial" w:hAnsi="Arial" w:cs="Arial"/>
                <w:bCs/>
                <w:spacing w:val="-3"/>
                <w:sz w:val="18"/>
                <w:szCs w:val="18"/>
              </w:rPr>
            </w:pPr>
          </w:p>
        </w:tc>
        <w:tc>
          <w:tcPr>
            <w:tcW w:w="3666" w:type="dxa"/>
          </w:tcPr>
          <w:p w14:paraId="44882DC8" w14:textId="77777777" w:rsidR="00A74791" w:rsidRPr="000D1C0B" w:rsidRDefault="00A74791" w:rsidP="00A7479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Primer y segundo párrafo del numeral 2:</w:t>
            </w:r>
          </w:p>
          <w:p w14:paraId="37512A26" w14:textId="77777777" w:rsidR="00A74791" w:rsidRPr="000D1C0B" w:rsidRDefault="00A74791" w:rsidP="00A74791">
            <w:pPr>
              <w:autoSpaceDE w:val="0"/>
              <w:autoSpaceDN w:val="0"/>
              <w:adjustRightInd w:val="0"/>
              <w:spacing w:after="0" w:line="240" w:lineRule="auto"/>
              <w:jc w:val="both"/>
              <w:rPr>
                <w:rFonts w:ascii="Arial" w:hAnsi="Arial" w:cs="Arial"/>
                <w:b/>
                <w:bCs/>
                <w:sz w:val="18"/>
                <w:szCs w:val="18"/>
              </w:rPr>
            </w:pPr>
          </w:p>
          <w:p w14:paraId="3FCABB23" w14:textId="3CF00423" w:rsidR="00A74791" w:rsidRDefault="00A74791" w:rsidP="00A74791">
            <w:pPr>
              <w:autoSpaceDE w:val="0"/>
              <w:autoSpaceDN w:val="0"/>
              <w:adjustRightInd w:val="0"/>
              <w:spacing w:after="0" w:line="240" w:lineRule="auto"/>
              <w:jc w:val="both"/>
              <w:rPr>
                <w:rFonts w:ascii="Arial" w:hAnsi="Arial" w:cs="Arial"/>
                <w:sz w:val="18"/>
                <w:szCs w:val="18"/>
              </w:rPr>
            </w:pPr>
            <w:proofErr w:type="gramStart"/>
            <w:r w:rsidRPr="000D1C0B">
              <w:rPr>
                <w:rFonts w:ascii="Arial" w:hAnsi="Arial" w:cs="Arial"/>
                <w:sz w:val="18"/>
                <w:szCs w:val="18"/>
              </w:rPr>
              <w:t>En caso que</w:t>
            </w:r>
            <w:proofErr w:type="gramEnd"/>
            <w:r w:rsidRPr="000D1C0B">
              <w:rPr>
                <w:rFonts w:ascii="Arial" w:hAnsi="Arial" w:cs="Arial"/>
                <w:sz w:val="18"/>
                <w:szCs w:val="18"/>
              </w:rPr>
              <w:t xml:space="preserve"> la sociedad operadora planifique el inicio de operaciones de un casino de juego para un día distinto a la fecha 1° de enero, deberá informar </w:t>
            </w:r>
            <w:r w:rsidRPr="000D1C0B">
              <w:rPr>
                <w:rFonts w:ascii="Arial" w:hAnsi="Arial" w:cs="Arial"/>
                <w:b/>
                <w:bCs/>
                <w:sz w:val="18"/>
                <w:szCs w:val="18"/>
              </w:rPr>
              <w:t>previamente a la Superintendenci</w:t>
            </w:r>
            <w:r w:rsidRPr="000D1C0B">
              <w:rPr>
                <w:rFonts w:ascii="Arial" w:hAnsi="Arial" w:cs="Arial"/>
                <w:sz w:val="18"/>
                <w:szCs w:val="18"/>
              </w:rPr>
              <w:t>a sobre el monto proporcional calculado a pagar por los días comprendidos entre la fecha de inicio de operación y el 31 de diciembre de ese año.</w:t>
            </w:r>
          </w:p>
          <w:p w14:paraId="5EDB9026" w14:textId="77777777" w:rsidR="00DF6B17" w:rsidRPr="000D1C0B" w:rsidRDefault="00DF6B17" w:rsidP="00A74791">
            <w:pPr>
              <w:autoSpaceDE w:val="0"/>
              <w:autoSpaceDN w:val="0"/>
              <w:adjustRightInd w:val="0"/>
              <w:spacing w:after="0" w:line="240" w:lineRule="auto"/>
              <w:jc w:val="both"/>
              <w:rPr>
                <w:rFonts w:ascii="Arial" w:hAnsi="Arial" w:cs="Arial"/>
                <w:sz w:val="18"/>
                <w:szCs w:val="18"/>
              </w:rPr>
            </w:pPr>
          </w:p>
          <w:p w14:paraId="12E25598" w14:textId="2B9CF4DF" w:rsidR="00A74791" w:rsidRPr="000D1C0B" w:rsidRDefault="00A74791" w:rsidP="00A74791">
            <w:pPr>
              <w:autoSpaceDE w:val="0"/>
              <w:autoSpaceDN w:val="0"/>
              <w:adjustRightInd w:val="0"/>
              <w:spacing w:after="0" w:line="240" w:lineRule="auto"/>
              <w:jc w:val="both"/>
              <w:rPr>
                <w:rFonts w:ascii="Arial" w:hAnsi="Arial" w:cs="Arial"/>
                <w:b/>
                <w:bCs/>
                <w:sz w:val="18"/>
                <w:szCs w:val="18"/>
              </w:rPr>
            </w:pPr>
            <w:r w:rsidRPr="000D1C0B">
              <w:rPr>
                <w:rFonts w:ascii="Arial" w:hAnsi="Arial" w:cs="Arial"/>
                <w:sz w:val="18"/>
                <w:szCs w:val="18"/>
              </w:rPr>
              <w:lastRenderedPageBreak/>
              <w:t xml:space="preserve">Asimismo, </w:t>
            </w:r>
            <w:proofErr w:type="gramStart"/>
            <w:r w:rsidRPr="000D1C0B">
              <w:rPr>
                <w:rFonts w:ascii="Arial" w:hAnsi="Arial" w:cs="Arial"/>
                <w:sz w:val="18"/>
                <w:szCs w:val="18"/>
              </w:rPr>
              <w:t>en caso que</w:t>
            </w:r>
            <w:proofErr w:type="gramEnd"/>
            <w:r w:rsidRPr="000D1C0B">
              <w:rPr>
                <w:rFonts w:ascii="Arial" w:hAnsi="Arial" w:cs="Arial"/>
                <w:sz w:val="18"/>
                <w:szCs w:val="18"/>
              </w:rPr>
              <w:t xml:space="preserve"> el casino de juego</w:t>
            </w:r>
            <w:r w:rsidRPr="000D1C0B">
              <w:rPr>
                <w:rFonts w:ascii="Arial" w:hAnsi="Arial" w:cs="Arial"/>
                <w:b/>
                <w:bCs/>
                <w:sz w:val="18"/>
                <w:szCs w:val="18"/>
              </w:rPr>
              <w:t>s</w:t>
            </w:r>
            <w:r w:rsidRPr="000D1C0B">
              <w:rPr>
                <w:rFonts w:ascii="Arial" w:hAnsi="Arial" w:cs="Arial"/>
                <w:sz w:val="18"/>
                <w:szCs w:val="18"/>
              </w:rPr>
              <w:t xml:space="preserve"> haya iniciado su operación en un día distinto a la fecha 1° de enero, para el quinceavo año de operación, </w:t>
            </w:r>
            <w:r w:rsidRPr="000D1C0B">
              <w:rPr>
                <w:rFonts w:ascii="Arial" w:hAnsi="Arial" w:cs="Arial"/>
                <w:b/>
                <w:bCs/>
                <w:sz w:val="18"/>
                <w:szCs w:val="18"/>
              </w:rPr>
              <w:t>previo al</w:t>
            </w:r>
            <w:r w:rsidRPr="000D1C0B">
              <w:rPr>
                <w:rFonts w:ascii="Arial" w:hAnsi="Arial" w:cs="Arial"/>
                <w:sz w:val="18"/>
                <w:szCs w:val="18"/>
              </w:rPr>
              <w:t xml:space="preserve"> pago de la oferta económica en el último mes de enero del plazo de vigencia del respectivo permiso de operación, deberá informar a la Superintendencia sobre el cálculo proporcional por los días comprendidos entre el día 1° de enero y el último día de operación.</w:t>
            </w:r>
          </w:p>
        </w:tc>
        <w:tc>
          <w:tcPr>
            <w:tcW w:w="5247" w:type="dxa"/>
          </w:tcPr>
          <w:p w14:paraId="3F6AC735" w14:textId="77777777" w:rsidR="00A74791" w:rsidRPr="000D1C0B" w:rsidRDefault="00A74791" w:rsidP="00A7479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lastRenderedPageBreak/>
              <w:t>Primer y segundo párrafo del numeral 2:</w:t>
            </w:r>
          </w:p>
          <w:p w14:paraId="7E691EEE" w14:textId="77777777" w:rsidR="00A74791" w:rsidRPr="000D1C0B" w:rsidRDefault="00A74791" w:rsidP="00A74791">
            <w:pPr>
              <w:autoSpaceDE w:val="0"/>
              <w:autoSpaceDN w:val="0"/>
              <w:adjustRightInd w:val="0"/>
              <w:spacing w:after="0" w:line="240" w:lineRule="auto"/>
              <w:jc w:val="both"/>
              <w:rPr>
                <w:rFonts w:ascii="Arial" w:hAnsi="Arial" w:cs="Arial"/>
                <w:b/>
                <w:bCs/>
                <w:sz w:val="18"/>
                <w:szCs w:val="18"/>
              </w:rPr>
            </w:pPr>
          </w:p>
          <w:p w14:paraId="21D49922"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proofErr w:type="gramStart"/>
            <w:r w:rsidRPr="000D1C0B">
              <w:rPr>
                <w:rFonts w:ascii="Arial" w:hAnsi="Arial" w:cs="Arial"/>
                <w:sz w:val="18"/>
                <w:szCs w:val="18"/>
              </w:rPr>
              <w:t>En caso que</w:t>
            </w:r>
            <w:proofErr w:type="gramEnd"/>
            <w:r w:rsidRPr="000D1C0B">
              <w:rPr>
                <w:rFonts w:ascii="Arial" w:hAnsi="Arial" w:cs="Arial"/>
                <w:sz w:val="18"/>
                <w:szCs w:val="18"/>
              </w:rPr>
              <w:t xml:space="preserve"> la sociedad operadora planifique el inicio de operaciones de un casino de juego para un día distinto a la fecha 1° de enero, deberá informar </w:t>
            </w:r>
            <w:r w:rsidRPr="000D1C0B">
              <w:rPr>
                <w:rFonts w:ascii="Arial" w:hAnsi="Arial" w:cs="Arial"/>
                <w:b/>
                <w:bCs/>
                <w:sz w:val="18"/>
                <w:szCs w:val="18"/>
              </w:rPr>
              <w:t>a la Superintendencia, con una antelación de 10 días hábiles previos a la fecha en que se debe realizar el pago,</w:t>
            </w:r>
            <w:r w:rsidRPr="000D1C0B">
              <w:rPr>
                <w:rFonts w:ascii="Arial" w:hAnsi="Arial" w:cs="Arial"/>
                <w:sz w:val="18"/>
                <w:szCs w:val="18"/>
              </w:rPr>
              <w:t xml:space="preserve"> sobre el monto proporcional calculado a pagar por los días comprendidos entre la fecha de inicio de operación y el 31 de diciembre de ese año.</w:t>
            </w:r>
          </w:p>
          <w:p w14:paraId="74036CD0" w14:textId="16AC4F6D" w:rsidR="00A74791" w:rsidRDefault="00A74791" w:rsidP="00A74791">
            <w:pPr>
              <w:autoSpaceDE w:val="0"/>
              <w:autoSpaceDN w:val="0"/>
              <w:adjustRightInd w:val="0"/>
              <w:spacing w:after="0" w:line="240" w:lineRule="auto"/>
              <w:jc w:val="both"/>
              <w:rPr>
                <w:rFonts w:ascii="Arial" w:hAnsi="Arial" w:cs="Arial"/>
                <w:b/>
                <w:bCs/>
                <w:sz w:val="18"/>
                <w:szCs w:val="18"/>
              </w:rPr>
            </w:pPr>
          </w:p>
          <w:p w14:paraId="6B6FD94B" w14:textId="2835EF0D" w:rsidR="00DF6B17" w:rsidRDefault="00DF6B17" w:rsidP="00A74791">
            <w:pPr>
              <w:autoSpaceDE w:val="0"/>
              <w:autoSpaceDN w:val="0"/>
              <w:adjustRightInd w:val="0"/>
              <w:spacing w:after="0" w:line="240" w:lineRule="auto"/>
              <w:jc w:val="both"/>
              <w:rPr>
                <w:rFonts w:ascii="Arial" w:hAnsi="Arial" w:cs="Arial"/>
                <w:b/>
                <w:bCs/>
                <w:sz w:val="18"/>
                <w:szCs w:val="18"/>
              </w:rPr>
            </w:pPr>
          </w:p>
          <w:p w14:paraId="3820991E" w14:textId="77777777" w:rsidR="00DF6B17" w:rsidRPr="000D1C0B" w:rsidRDefault="00DF6B17" w:rsidP="00A74791">
            <w:pPr>
              <w:autoSpaceDE w:val="0"/>
              <w:autoSpaceDN w:val="0"/>
              <w:adjustRightInd w:val="0"/>
              <w:spacing w:after="0" w:line="240" w:lineRule="auto"/>
              <w:jc w:val="both"/>
              <w:rPr>
                <w:rFonts w:ascii="Arial" w:hAnsi="Arial" w:cs="Arial"/>
                <w:b/>
                <w:bCs/>
                <w:sz w:val="18"/>
                <w:szCs w:val="18"/>
              </w:rPr>
            </w:pPr>
          </w:p>
          <w:p w14:paraId="0FFA655D" w14:textId="427261FF" w:rsidR="00A74791" w:rsidRPr="000D1C0B" w:rsidRDefault="00A74791" w:rsidP="00A74791">
            <w:pPr>
              <w:spacing w:after="0" w:line="240" w:lineRule="auto"/>
              <w:jc w:val="both"/>
              <w:rPr>
                <w:rFonts w:ascii="Arial" w:hAnsi="Arial" w:cs="Arial"/>
                <w:b/>
                <w:bCs/>
                <w:sz w:val="18"/>
                <w:szCs w:val="18"/>
              </w:rPr>
            </w:pPr>
            <w:r w:rsidRPr="000D1C0B">
              <w:rPr>
                <w:rFonts w:ascii="Arial" w:hAnsi="Arial" w:cs="Arial"/>
                <w:sz w:val="18"/>
                <w:szCs w:val="18"/>
              </w:rPr>
              <w:lastRenderedPageBreak/>
              <w:t xml:space="preserve">Asimismo, </w:t>
            </w:r>
            <w:proofErr w:type="gramStart"/>
            <w:r w:rsidRPr="000D1C0B">
              <w:rPr>
                <w:rFonts w:ascii="Arial" w:hAnsi="Arial" w:cs="Arial"/>
                <w:sz w:val="18"/>
                <w:szCs w:val="18"/>
              </w:rPr>
              <w:t>en caso que</w:t>
            </w:r>
            <w:proofErr w:type="gramEnd"/>
            <w:r w:rsidRPr="000D1C0B">
              <w:rPr>
                <w:rFonts w:ascii="Arial" w:hAnsi="Arial" w:cs="Arial"/>
                <w:sz w:val="18"/>
                <w:szCs w:val="18"/>
              </w:rPr>
              <w:t xml:space="preserve"> el casino de juego haya iniciado su operación en un día distinto a la fecha 1° de enero, para el quinceavo año de operación, </w:t>
            </w:r>
            <w:r w:rsidRPr="000D1C0B">
              <w:rPr>
                <w:rFonts w:ascii="Arial" w:hAnsi="Arial" w:cs="Arial"/>
                <w:b/>
                <w:bCs/>
                <w:sz w:val="18"/>
                <w:szCs w:val="18"/>
              </w:rPr>
              <w:t xml:space="preserve">con una antelación de 10 días hábiles previos a la fecha en que se debe realizar el </w:t>
            </w:r>
            <w:r w:rsidRPr="000D1C0B">
              <w:rPr>
                <w:rFonts w:ascii="Arial" w:hAnsi="Arial" w:cs="Arial"/>
                <w:sz w:val="18"/>
                <w:szCs w:val="18"/>
              </w:rPr>
              <w:t>pago de la oferta económica, en el último mes de enero del plazo de vigencia del respectivo permiso de operación, deberá informar a la Superintendencia sobre el cálculo proporcional por los días comprendidos entre el día 1° de enero y el último día de operación.</w:t>
            </w:r>
          </w:p>
        </w:tc>
      </w:tr>
      <w:tr w:rsidR="00A74791" w:rsidRPr="000D1C0B" w14:paraId="4AD7B18F" w14:textId="77777777" w:rsidTr="00A74791">
        <w:trPr>
          <w:trHeight w:val="20"/>
        </w:trPr>
        <w:tc>
          <w:tcPr>
            <w:tcW w:w="416" w:type="dxa"/>
          </w:tcPr>
          <w:p w14:paraId="4B6208A5" w14:textId="3576064A" w:rsidR="00A74791" w:rsidRPr="000D1C0B" w:rsidRDefault="00A74791" w:rsidP="00A74791">
            <w:pPr>
              <w:spacing w:after="0" w:line="240" w:lineRule="auto"/>
              <w:jc w:val="both"/>
              <w:rPr>
                <w:rFonts w:ascii="Arial" w:hAnsi="Arial" w:cs="Arial"/>
                <w:bCs/>
                <w:spacing w:val="-3"/>
                <w:sz w:val="18"/>
                <w:szCs w:val="18"/>
              </w:rPr>
            </w:pPr>
            <w:r w:rsidRPr="000D1C0B">
              <w:rPr>
                <w:rFonts w:ascii="Arial" w:hAnsi="Arial" w:cs="Arial"/>
                <w:bCs/>
                <w:spacing w:val="-3"/>
                <w:sz w:val="18"/>
                <w:szCs w:val="18"/>
              </w:rPr>
              <w:lastRenderedPageBreak/>
              <w:t>20</w:t>
            </w:r>
          </w:p>
        </w:tc>
        <w:tc>
          <w:tcPr>
            <w:tcW w:w="1267" w:type="dxa"/>
          </w:tcPr>
          <w:p w14:paraId="0AF27F88" w14:textId="77777777" w:rsidR="00A74791" w:rsidRPr="000D1C0B" w:rsidRDefault="00A74791" w:rsidP="00A74791">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 N°119/2021</w:t>
            </w:r>
          </w:p>
        </w:tc>
        <w:tc>
          <w:tcPr>
            <w:tcW w:w="2582" w:type="dxa"/>
          </w:tcPr>
          <w:p w14:paraId="141332DD"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bCs/>
                <w:spacing w:val="-3"/>
                <w:sz w:val="18"/>
                <w:szCs w:val="18"/>
              </w:rPr>
              <w:t>Notificación de ciberseguridad</w:t>
            </w:r>
          </w:p>
        </w:tc>
        <w:tc>
          <w:tcPr>
            <w:tcW w:w="3666" w:type="dxa"/>
          </w:tcPr>
          <w:p w14:paraId="3F931370" w14:textId="528F0875" w:rsidR="00A74791" w:rsidRPr="000D1C0B" w:rsidRDefault="00A74791" w:rsidP="00A74791">
            <w:pPr>
              <w:autoSpaceDE w:val="0"/>
              <w:autoSpaceDN w:val="0"/>
              <w:adjustRightInd w:val="0"/>
              <w:spacing w:after="0" w:line="240" w:lineRule="auto"/>
              <w:jc w:val="both"/>
              <w:rPr>
                <w:rFonts w:ascii="Arial" w:hAnsi="Arial" w:cs="Arial"/>
                <w:b/>
                <w:bCs/>
                <w:color w:val="010000"/>
                <w:sz w:val="18"/>
                <w:szCs w:val="18"/>
              </w:rPr>
            </w:pPr>
            <w:r w:rsidRPr="000D1C0B">
              <w:rPr>
                <w:rFonts w:ascii="Arial" w:hAnsi="Arial" w:cs="Arial"/>
                <w:b/>
                <w:bCs/>
                <w:color w:val="010000"/>
                <w:sz w:val="18"/>
                <w:szCs w:val="18"/>
              </w:rPr>
              <w:t>Cuarto párrafo del numeral 3 del título II</w:t>
            </w:r>
          </w:p>
          <w:p w14:paraId="085D90A6" w14:textId="79C1D49F" w:rsidR="00A74791" w:rsidRPr="000D1C0B" w:rsidRDefault="00A74791" w:rsidP="00A74791">
            <w:pPr>
              <w:autoSpaceDE w:val="0"/>
              <w:autoSpaceDN w:val="0"/>
              <w:adjustRightInd w:val="0"/>
              <w:spacing w:after="0" w:line="240" w:lineRule="auto"/>
              <w:jc w:val="both"/>
              <w:rPr>
                <w:rFonts w:ascii="Arial" w:hAnsi="Arial" w:cs="Arial"/>
                <w:color w:val="010000"/>
                <w:sz w:val="18"/>
                <w:szCs w:val="18"/>
              </w:rPr>
            </w:pPr>
          </w:p>
          <w:p w14:paraId="1C06D3D8" w14:textId="77777777" w:rsidR="00A74791" w:rsidRPr="000D1C0B" w:rsidRDefault="00A74791" w:rsidP="00A74791">
            <w:pPr>
              <w:autoSpaceDE w:val="0"/>
              <w:autoSpaceDN w:val="0"/>
              <w:adjustRightInd w:val="0"/>
              <w:spacing w:after="0" w:line="240" w:lineRule="auto"/>
              <w:jc w:val="both"/>
              <w:rPr>
                <w:rFonts w:ascii="Arial" w:hAnsi="Arial" w:cs="Arial"/>
                <w:color w:val="010000"/>
                <w:sz w:val="18"/>
                <w:szCs w:val="18"/>
              </w:rPr>
            </w:pPr>
          </w:p>
          <w:p w14:paraId="0882E56F" w14:textId="77777777" w:rsidR="00A74791" w:rsidRPr="000D1C0B" w:rsidRDefault="00A74791" w:rsidP="00A74791">
            <w:pPr>
              <w:autoSpaceDE w:val="0"/>
              <w:autoSpaceDN w:val="0"/>
              <w:adjustRightInd w:val="0"/>
              <w:spacing w:after="0" w:line="240" w:lineRule="auto"/>
              <w:jc w:val="both"/>
              <w:rPr>
                <w:rFonts w:ascii="Arial" w:hAnsi="Arial" w:cs="Arial"/>
                <w:color w:val="010000"/>
                <w:sz w:val="18"/>
                <w:szCs w:val="18"/>
              </w:rPr>
            </w:pPr>
            <w:r w:rsidRPr="000D1C0B">
              <w:rPr>
                <w:rFonts w:ascii="Arial" w:hAnsi="Arial" w:cs="Arial"/>
                <w:color w:val="010000"/>
                <w:sz w:val="18"/>
                <w:szCs w:val="18"/>
              </w:rPr>
              <w:t xml:space="preserve">Con el objeto de garantizar la ciberseguridad en la implementación de nuevas tecnologías, las sociedades operadoras y las sociedades concesionarias de casinos de juego, deberán considerar un conjunto de medidas de mitigación de riesgos de Ciberseguridad. Lo anterior será validado y aprobado por el directorio o por la alta gerencia, si no cuenta con directorio, de la sociedad operadora y concesionaria municipal, y notificando el acta o documento en que conste la aprobación vía Sistema de Autorizaciones y Notificaciones (SAYN) a la Superintendencia durante los </w:t>
            </w:r>
            <w:r w:rsidRPr="000D1C0B">
              <w:rPr>
                <w:rFonts w:ascii="Arial" w:hAnsi="Arial" w:cs="Arial"/>
                <w:b/>
                <w:bCs/>
                <w:color w:val="010000"/>
                <w:sz w:val="18"/>
                <w:szCs w:val="18"/>
              </w:rPr>
              <w:t>30 días corridos</w:t>
            </w:r>
            <w:r w:rsidRPr="000D1C0B">
              <w:rPr>
                <w:rFonts w:ascii="Arial" w:hAnsi="Arial" w:cs="Arial"/>
                <w:color w:val="010000"/>
                <w:sz w:val="18"/>
                <w:szCs w:val="18"/>
              </w:rPr>
              <w:t xml:space="preserve"> siguientes a su aprobación.</w:t>
            </w:r>
          </w:p>
          <w:p w14:paraId="7B09267F" w14:textId="77777777" w:rsidR="00A74791" w:rsidRPr="000D1C0B" w:rsidRDefault="00A74791" w:rsidP="00A74791">
            <w:pPr>
              <w:autoSpaceDE w:val="0"/>
              <w:autoSpaceDN w:val="0"/>
              <w:adjustRightInd w:val="0"/>
              <w:spacing w:after="0" w:line="240" w:lineRule="auto"/>
              <w:jc w:val="both"/>
              <w:rPr>
                <w:rFonts w:ascii="Arial" w:hAnsi="Arial" w:cs="Arial"/>
                <w:color w:val="010000"/>
                <w:sz w:val="18"/>
                <w:szCs w:val="18"/>
              </w:rPr>
            </w:pPr>
          </w:p>
          <w:p w14:paraId="2916D2F8" w14:textId="54445E0C" w:rsidR="00A74791" w:rsidRPr="000D1C0B" w:rsidRDefault="00A74791" w:rsidP="00A7479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Cuarto párrafo del numeral 1 del título III:</w:t>
            </w:r>
          </w:p>
          <w:p w14:paraId="6BA83F3F"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p>
          <w:p w14:paraId="308F34D8"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Las sociedades operadoras y las sociedades concesionarias de casinos de juego deberán notificar a esta Superintendencia las identidades y medios de contacto del o la titular y suplente de la </w:t>
            </w:r>
            <w:r w:rsidRPr="000D1C0B">
              <w:rPr>
                <w:rFonts w:ascii="Arial" w:hAnsi="Arial" w:cs="Arial"/>
                <w:sz w:val="18"/>
                <w:szCs w:val="18"/>
              </w:rPr>
              <w:lastRenderedPageBreak/>
              <w:t xml:space="preserve">Unidad de Ciberseguridad, dentro de los </w:t>
            </w:r>
            <w:r w:rsidRPr="000D1C0B">
              <w:rPr>
                <w:rFonts w:ascii="Arial" w:hAnsi="Arial" w:cs="Arial"/>
                <w:b/>
                <w:bCs/>
                <w:sz w:val="18"/>
                <w:szCs w:val="18"/>
              </w:rPr>
              <w:t>10 días hábiles administrativos</w:t>
            </w:r>
            <w:r w:rsidRPr="000D1C0B">
              <w:rPr>
                <w:rFonts w:ascii="Arial" w:hAnsi="Arial" w:cs="Arial"/>
                <w:sz w:val="18"/>
                <w:szCs w:val="18"/>
              </w:rPr>
              <w:t xml:space="preserve"> siguientes a la </w:t>
            </w:r>
            <w:proofErr w:type="gramStart"/>
            <w:r w:rsidRPr="000D1C0B">
              <w:rPr>
                <w:rFonts w:ascii="Arial" w:hAnsi="Arial" w:cs="Arial"/>
                <w:sz w:val="18"/>
                <w:szCs w:val="18"/>
              </w:rPr>
              <w:t>entrada en vigencia</w:t>
            </w:r>
            <w:proofErr w:type="gramEnd"/>
            <w:r w:rsidRPr="000D1C0B">
              <w:rPr>
                <w:rFonts w:ascii="Arial" w:hAnsi="Arial" w:cs="Arial"/>
                <w:sz w:val="18"/>
                <w:szCs w:val="18"/>
              </w:rPr>
              <w:t xml:space="preserve"> de esta circular a través del SAYN. En el mismo plazo se deberá proceder ante modificaciones en dichos cargos. La designación podrá constar en acta de directorio o ser consideradas dentro de las funciones en el contrato individual de las personas que ostenten dichos cargos.</w:t>
            </w:r>
          </w:p>
          <w:p w14:paraId="00EB1E1C" w14:textId="77777777" w:rsidR="00A74791" w:rsidRPr="000D1C0B" w:rsidRDefault="00A74791" w:rsidP="00A74791">
            <w:pPr>
              <w:autoSpaceDE w:val="0"/>
              <w:autoSpaceDN w:val="0"/>
              <w:adjustRightInd w:val="0"/>
              <w:spacing w:after="0" w:line="240" w:lineRule="auto"/>
              <w:jc w:val="both"/>
              <w:rPr>
                <w:rFonts w:ascii="Arial" w:hAnsi="Arial" w:cs="Arial"/>
                <w:color w:val="010000"/>
                <w:sz w:val="18"/>
                <w:szCs w:val="18"/>
              </w:rPr>
            </w:pPr>
          </w:p>
          <w:p w14:paraId="56EED144" w14:textId="5DD8E1A0" w:rsidR="00A74791" w:rsidRPr="000D1C0B" w:rsidRDefault="00A74791" w:rsidP="00A74791">
            <w:pPr>
              <w:autoSpaceDE w:val="0"/>
              <w:autoSpaceDN w:val="0"/>
              <w:adjustRightInd w:val="0"/>
              <w:spacing w:after="0" w:line="240" w:lineRule="auto"/>
              <w:jc w:val="both"/>
              <w:rPr>
                <w:rFonts w:ascii="Arial" w:hAnsi="Arial" w:cs="Arial"/>
                <w:b/>
                <w:bCs/>
                <w:color w:val="010000"/>
                <w:sz w:val="18"/>
                <w:szCs w:val="18"/>
              </w:rPr>
            </w:pPr>
            <w:r w:rsidRPr="000D1C0B">
              <w:rPr>
                <w:rFonts w:ascii="Arial" w:hAnsi="Arial" w:cs="Arial"/>
                <w:b/>
                <w:bCs/>
                <w:color w:val="010000"/>
                <w:sz w:val="18"/>
                <w:szCs w:val="18"/>
              </w:rPr>
              <w:t xml:space="preserve">Primer párrafo del título VIII: </w:t>
            </w:r>
          </w:p>
          <w:p w14:paraId="22DF0748" w14:textId="77777777" w:rsidR="00A74791" w:rsidRPr="000D1C0B" w:rsidRDefault="00A74791" w:rsidP="00A74791">
            <w:pPr>
              <w:autoSpaceDE w:val="0"/>
              <w:autoSpaceDN w:val="0"/>
              <w:adjustRightInd w:val="0"/>
              <w:spacing w:after="0" w:line="240" w:lineRule="auto"/>
              <w:jc w:val="both"/>
              <w:rPr>
                <w:rFonts w:ascii="Arial" w:hAnsi="Arial" w:cs="Arial"/>
                <w:color w:val="010000"/>
                <w:sz w:val="18"/>
                <w:szCs w:val="18"/>
              </w:rPr>
            </w:pPr>
          </w:p>
          <w:p w14:paraId="61271179"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color w:val="010000"/>
                <w:sz w:val="18"/>
                <w:szCs w:val="18"/>
              </w:rPr>
              <w:t xml:space="preserve">Las sociedades operadoras y las sociedades concesionarias de casinos de juego deberán someter a lo menos una vez al semestre sus redes, equipos y sistemas a pruebas de seguridad Las pruebas podrán ser efectuadas por las sociedades operadoras y las sociedades concesionarias de casinos de juego en forma interna, o bien, con asistencia por parte de terceros externos especializados en dichos servicios. En todo caso, deberán efectuarse conforme estándares actualizados, sean nacionales o internacionales, o bien, conforme criterios ampliamente aceptados por la industria. Deberá dejarse constancia de las pruebas efectuadas, los estándares aplicados, los resultados obtenidos, las medidas adoptadas en consecuencia y las oportunidades de mejora detectadas. Asimismo, se deberá informar a la SCJ mediante el SAYN su ejecución </w:t>
            </w:r>
            <w:r w:rsidRPr="000D1C0B">
              <w:rPr>
                <w:rFonts w:ascii="Arial" w:hAnsi="Arial" w:cs="Arial"/>
                <w:b/>
                <w:bCs/>
                <w:color w:val="010000"/>
                <w:sz w:val="18"/>
                <w:szCs w:val="18"/>
              </w:rPr>
              <w:t>a más tardar 15 días hábiles administrativos</w:t>
            </w:r>
            <w:r w:rsidRPr="000D1C0B">
              <w:rPr>
                <w:rFonts w:ascii="Arial" w:hAnsi="Arial" w:cs="Arial"/>
                <w:color w:val="010000"/>
                <w:sz w:val="18"/>
                <w:szCs w:val="18"/>
              </w:rPr>
              <w:t xml:space="preserve"> luego de realizadas.</w:t>
            </w:r>
          </w:p>
        </w:tc>
        <w:tc>
          <w:tcPr>
            <w:tcW w:w="5247" w:type="dxa"/>
          </w:tcPr>
          <w:p w14:paraId="5E2CBD2A" w14:textId="49F76534" w:rsidR="00A74791" w:rsidRPr="000D1C0B" w:rsidRDefault="00A74791" w:rsidP="00A74791">
            <w:pPr>
              <w:autoSpaceDE w:val="0"/>
              <w:autoSpaceDN w:val="0"/>
              <w:adjustRightInd w:val="0"/>
              <w:spacing w:after="0" w:line="240" w:lineRule="auto"/>
              <w:jc w:val="both"/>
              <w:rPr>
                <w:rFonts w:ascii="Arial" w:hAnsi="Arial" w:cs="Arial"/>
                <w:b/>
                <w:bCs/>
                <w:color w:val="010000"/>
                <w:sz w:val="18"/>
                <w:szCs w:val="18"/>
              </w:rPr>
            </w:pPr>
            <w:r w:rsidRPr="000D1C0B">
              <w:rPr>
                <w:rFonts w:ascii="Arial" w:hAnsi="Arial" w:cs="Arial"/>
                <w:b/>
                <w:bCs/>
                <w:sz w:val="18"/>
                <w:szCs w:val="18"/>
              </w:rPr>
              <w:lastRenderedPageBreak/>
              <w:t>Reemplácese en el cuarto párrafo del numeral 3</w:t>
            </w:r>
            <w:r w:rsidRPr="000D1C0B">
              <w:rPr>
                <w:rFonts w:ascii="Arial" w:hAnsi="Arial" w:cs="Arial"/>
                <w:b/>
                <w:bCs/>
                <w:color w:val="010000"/>
                <w:sz w:val="18"/>
                <w:szCs w:val="18"/>
              </w:rPr>
              <w:t xml:space="preserve"> del título II</w:t>
            </w:r>
            <w:r w:rsidRPr="000D1C0B">
              <w:rPr>
                <w:rFonts w:ascii="Arial" w:hAnsi="Arial" w:cs="Arial"/>
                <w:b/>
                <w:bCs/>
                <w:sz w:val="18"/>
                <w:szCs w:val="18"/>
              </w:rPr>
              <w:t xml:space="preserve">: </w:t>
            </w:r>
          </w:p>
          <w:p w14:paraId="7561EEB0" w14:textId="77777777" w:rsidR="00A74791" w:rsidRPr="000D1C0B" w:rsidRDefault="00A74791" w:rsidP="00A74791">
            <w:pPr>
              <w:spacing w:after="0" w:line="240" w:lineRule="auto"/>
              <w:jc w:val="both"/>
              <w:rPr>
                <w:rFonts w:ascii="Arial" w:hAnsi="Arial" w:cs="Arial"/>
                <w:sz w:val="18"/>
                <w:szCs w:val="18"/>
              </w:rPr>
            </w:pPr>
          </w:p>
          <w:p w14:paraId="490ECE7F"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Con el objeto de garantizar la ciberseguridad en la implementación de nuevas tecnologías, las sociedades operadoras y las sociedades concesionarias de casinos de juego, deberán considerar un conjunto de medidas de mitigación de riesgos de Ciberseguridad. Lo anterior será validado y aprobado por el directorio o por la alta gerencia, si no cuenta con directorio, de la sociedad operadora y concesionaria municipal, y notificando el acta o documento en que conste la aprobación vía Sistema de Autorizaciones y Notificaciones (SAYN) a la Superintendencia durante los </w:t>
            </w:r>
            <w:r w:rsidRPr="000D1C0B">
              <w:rPr>
                <w:rFonts w:ascii="Arial" w:hAnsi="Arial" w:cs="Arial"/>
                <w:b/>
                <w:bCs/>
                <w:sz w:val="18"/>
                <w:szCs w:val="18"/>
              </w:rPr>
              <w:t>30 días hábiles</w:t>
            </w:r>
            <w:r w:rsidRPr="000D1C0B">
              <w:rPr>
                <w:rFonts w:ascii="Arial" w:hAnsi="Arial" w:cs="Arial"/>
                <w:sz w:val="18"/>
                <w:szCs w:val="18"/>
              </w:rPr>
              <w:t xml:space="preserve"> siguientes a su aprobación.</w:t>
            </w:r>
          </w:p>
          <w:p w14:paraId="5814C204" w14:textId="559EF41B" w:rsidR="00A74791" w:rsidRDefault="00A74791" w:rsidP="00A74791">
            <w:pPr>
              <w:autoSpaceDE w:val="0"/>
              <w:autoSpaceDN w:val="0"/>
              <w:adjustRightInd w:val="0"/>
              <w:spacing w:after="0" w:line="240" w:lineRule="auto"/>
              <w:jc w:val="both"/>
              <w:rPr>
                <w:rFonts w:ascii="Arial" w:hAnsi="Arial" w:cs="Arial"/>
                <w:sz w:val="18"/>
                <w:szCs w:val="18"/>
              </w:rPr>
            </w:pPr>
          </w:p>
          <w:p w14:paraId="4E079257" w14:textId="1385E7FA" w:rsidR="00DF6B17" w:rsidRDefault="00DF6B17" w:rsidP="00A74791">
            <w:pPr>
              <w:autoSpaceDE w:val="0"/>
              <w:autoSpaceDN w:val="0"/>
              <w:adjustRightInd w:val="0"/>
              <w:spacing w:after="0" w:line="240" w:lineRule="auto"/>
              <w:jc w:val="both"/>
              <w:rPr>
                <w:rFonts w:ascii="Arial" w:hAnsi="Arial" w:cs="Arial"/>
                <w:sz w:val="18"/>
                <w:szCs w:val="18"/>
              </w:rPr>
            </w:pPr>
          </w:p>
          <w:p w14:paraId="13212988" w14:textId="7A42F35C" w:rsidR="00DF6B17" w:rsidRDefault="00DF6B17" w:rsidP="00A74791">
            <w:pPr>
              <w:autoSpaceDE w:val="0"/>
              <w:autoSpaceDN w:val="0"/>
              <w:adjustRightInd w:val="0"/>
              <w:spacing w:after="0" w:line="240" w:lineRule="auto"/>
              <w:jc w:val="both"/>
              <w:rPr>
                <w:rFonts w:ascii="Arial" w:hAnsi="Arial" w:cs="Arial"/>
                <w:sz w:val="18"/>
                <w:szCs w:val="18"/>
              </w:rPr>
            </w:pPr>
          </w:p>
          <w:p w14:paraId="757F1006" w14:textId="26969CE9" w:rsidR="00DF6B17" w:rsidRDefault="00DF6B17" w:rsidP="00A74791">
            <w:pPr>
              <w:autoSpaceDE w:val="0"/>
              <w:autoSpaceDN w:val="0"/>
              <w:adjustRightInd w:val="0"/>
              <w:spacing w:after="0" w:line="240" w:lineRule="auto"/>
              <w:jc w:val="both"/>
              <w:rPr>
                <w:rFonts w:ascii="Arial" w:hAnsi="Arial" w:cs="Arial"/>
                <w:sz w:val="18"/>
                <w:szCs w:val="18"/>
              </w:rPr>
            </w:pPr>
          </w:p>
          <w:p w14:paraId="7B0E4B51" w14:textId="6E6C56DD" w:rsidR="00DF6B17" w:rsidRDefault="00DF6B17" w:rsidP="00A74791">
            <w:pPr>
              <w:autoSpaceDE w:val="0"/>
              <w:autoSpaceDN w:val="0"/>
              <w:adjustRightInd w:val="0"/>
              <w:spacing w:after="0" w:line="240" w:lineRule="auto"/>
              <w:jc w:val="both"/>
              <w:rPr>
                <w:rFonts w:ascii="Arial" w:hAnsi="Arial" w:cs="Arial"/>
                <w:sz w:val="18"/>
                <w:szCs w:val="18"/>
              </w:rPr>
            </w:pPr>
          </w:p>
          <w:p w14:paraId="4D4D409D" w14:textId="27B4A945" w:rsidR="00DF6B17" w:rsidRDefault="00DF6B17" w:rsidP="00A74791">
            <w:pPr>
              <w:autoSpaceDE w:val="0"/>
              <w:autoSpaceDN w:val="0"/>
              <w:adjustRightInd w:val="0"/>
              <w:spacing w:after="0" w:line="240" w:lineRule="auto"/>
              <w:jc w:val="both"/>
              <w:rPr>
                <w:rFonts w:ascii="Arial" w:hAnsi="Arial" w:cs="Arial"/>
                <w:sz w:val="18"/>
                <w:szCs w:val="18"/>
              </w:rPr>
            </w:pPr>
          </w:p>
          <w:p w14:paraId="58CE7490" w14:textId="77777777" w:rsidR="00DF6B17" w:rsidRPr="000D1C0B" w:rsidRDefault="00DF6B17" w:rsidP="00A74791">
            <w:pPr>
              <w:autoSpaceDE w:val="0"/>
              <w:autoSpaceDN w:val="0"/>
              <w:adjustRightInd w:val="0"/>
              <w:spacing w:after="0" w:line="240" w:lineRule="auto"/>
              <w:jc w:val="both"/>
              <w:rPr>
                <w:rFonts w:ascii="Arial" w:hAnsi="Arial" w:cs="Arial"/>
                <w:sz w:val="18"/>
                <w:szCs w:val="18"/>
              </w:rPr>
            </w:pPr>
          </w:p>
          <w:p w14:paraId="2F63F22A" w14:textId="1F85D4A6" w:rsidR="00A74791" w:rsidRPr="000D1C0B" w:rsidRDefault="00A74791" w:rsidP="00A7479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Remplácese el cuarto párrafo del numeral 1 del título III:</w:t>
            </w:r>
          </w:p>
          <w:p w14:paraId="284DFF83"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p>
          <w:p w14:paraId="53501EA7"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Las sociedades operadoras y las sociedades concesionarias de casinos de juego deberán notificar a esta Superintendencia las identidades y medios de contacto del o la titular y suplente de la Unidad de Ciberseguridad, dentro de los </w:t>
            </w:r>
            <w:r w:rsidRPr="000D1C0B">
              <w:rPr>
                <w:rFonts w:ascii="Arial" w:hAnsi="Arial" w:cs="Arial"/>
                <w:b/>
                <w:bCs/>
                <w:sz w:val="18"/>
                <w:szCs w:val="18"/>
              </w:rPr>
              <w:t>10 días hábiles</w:t>
            </w:r>
            <w:r w:rsidRPr="000D1C0B">
              <w:rPr>
                <w:rFonts w:ascii="Arial" w:hAnsi="Arial" w:cs="Arial"/>
                <w:sz w:val="18"/>
                <w:szCs w:val="18"/>
              </w:rPr>
              <w:t xml:space="preserve"> siguientes a la </w:t>
            </w:r>
            <w:proofErr w:type="gramStart"/>
            <w:r w:rsidRPr="000D1C0B">
              <w:rPr>
                <w:rFonts w:ascii="Arial" w:hAnsi="Arial" w:cs="Arial"/>
                <w:sz w:val="18"/>
                <w:szCs w:val="18"/>
              </w:rPr>
              <w:t>entrada en vigencia</w:t>
            </w:r>
            <w:proofErr w:type="gramEnd"/>
            <w:r w:rsidRPr="000D1C0B">
              <w:rPr>
                <w:rFonts w:ascii="Arial" w:hAnsi="Arial" w:cs="Arial"/>
                <w:sz w:val="18"/>
                <w:szCs w:val="18"/>
              </w:rPr>
              <w:t xml:space="preserve"> de esta circular a través del SAYN. En el mismo plazo se deberá proceder ante </w:t>
            </w:r>
            <w:r w:rsidRPr="000D1C0B">
              <w:rPr>
                <w:rFonts w:ascii="Arial" w:hAnsi="Arial" w:cs="Arial"/>
                <w:sz w:val="18"/>
                <w:szCs w:val="18"/>
              </w:rPr>
              <w:lastRenderedPageBreak/>
              <w:t>modificaciones en dichos cargos. La designación podrá constar en acta de directorio o ser consideradas dentro de las funciones en el contrato individual de las personas que ostenten dichos cargos.</w:t>
            </w:r>
          </w:p>
          <w:p w14:paraId="43B4D33F" w14:textId="171A120A" w:rsidR="00A74791" w:rsidRPr="000D1C0B" w:rsidRDefault="00A74791" w:rsidP="00A74791">
            <w:pPr>
              <w:autoSpaceDE w:val="0"/>
              <w:autoSpaceDN w:val="0"/>
              <w:adjustRightInd w:val="0"/>
              <w:spacing w:after="0" w:line="240" w:lineRule="auto"/>
              <w:jc w:val="both"/>
              <w:rPr>
                <w:rFonts w:ascii="Arial" w:hAnsi="Arial" w:cs="Arial"/>
                <w:sz w:val="18"/>
                <w:szCs w:val="18"/>
              </w:rPr>
            </w:pPr>
          </w:p>
          <w:p w14:paraId="2F667EBD" w14:textId="035A9082" w:rsidR="00A74791" w:rsidRDefault="00A74791" w:rsidP="00A74791">
            <w:pPr>
              <w:autoSpaceDE w:val="0"/>
              <w:autoSpaceDN w:val="0"/>
              <w:adjustRightInd w:val="0"/>
              <w:spacing w:after="0" w:line="240" w:lineRule="auto"/>
              <w:jc w:val="both"/>
              <w:rPr>
                <w:rFonts w:ascii="Arial" w:hAnsi="Arial" w:cs="Arial"/>
                <w:sz w:val="18"/>
                <w:szCs w:val="18"/>
              </w:rPr>
            </w:pPr>
          </w:p>
          <w:p w14:paraId="446676AF" w14:textId="29E3FEE7" w:rsidR="00DF6B17" w:rsidRDefault="00DF6B17" w:rsidP="00A74791">
            <w:pPr>
              <w:autoSpaceDE w:val="0"/>
              <w:autoSpaceDN w:val="0"/>
              <w:adjustRightInd w:val="0"/>
              <w:spacing w:after="0" w:line="240" w:lineRule="auto"/>
              <w:jc w:val="both"/>
              <w:rPr>
                <w:rFonts w:ascii="Arial" w:hAnsi="Arial" w:cs="Arial"/>
                <w:sz w:val="18"/>
                <w:szCs w:val="18"/>
              </w:rPr>
            </w:pPr>
          </w:p>
          <w:p w14:paraId="2AB6A9E7" w14:textId="3CA0CF6C" w:rsidR="00DF6B17" w:rsidRDefault="00DF6B17" w:rsidP="00A74791">
            <w:pPr>
              <w:autoSpaceDE w:val="0"/>
              <w:autoSpaceDN w:val="0"/>
              <w:adjustRightInd w:val="0"/>
              <w:spacing w:after="0" w:line="240" w:lineRule="auto"/>
              <w:jc w:val="both"/>
              <w:rPr>
                <w:rFonts w:ascii="Arial" w:hAnsi="Arial" w:cs="Arial"/>
                <w:sz w:val="18"/>
                <w:szCs w:val="18"/>
              </w:rPr>
            </w:pPr>
          </w:p>
          <w:p w14:paraId="0042272C" w14:textId="04E57AA9" w:rsidR="00DF6B17" w:rsidRDefault="00DF6B17" w:rsidP="00A74791">
            <w:pPr>
              <w:autoSpaceDE w:val="0"/>
              <w:autoSpaceDN w:val="0"/>
              <w:adjustRightInd w:val="0"/>
              <w:spacing w:after="0" w:line="240" w:lineRule="auto"/>
              <w:jc w:val="both"/>
              <w:rPr>
                <w:rFonts w:ascii="Arial" w:hAnsi="Arial" w:cs="Arial"/>
                <w:sz w:val="18"/>
                <w:szCs w:val="18"/>
              </w:rPr>
            </w:pPr>
          </w:p>
          <w:p w14:paraId="729F574C" w14:textId="65E4E5C5" w:rsidR="00DF6B17" w:rsidRDefault="00DF6B17" w:rsidP="00A74791">
            <w:pPr>
              <w:autoSpaceDE w:val="0"/>
              <w:autoSpaceDN w:val="0"/>
              <w:adjustRightInd w:val="0"/>
              <w:spacing w:after="0" w:line="240" w:lineRule="auto"/>
              <w:jc w:val="both"/>
              <w:rPr>
                <w:rFonts w:ascii="Arial" w:hAnsi="Arial" w:cs="Arial"/>
                <w:sz w:val="18"/>
                <w:szCs w:val="18"/>
              </w:rPr>
            </w:pPr>
          </w:p>
          <w:p w14:paraId="194FA47D" w14:textId="77777777" w:rsidR="00DF6B17" w:rsidRPr="000D1C0B" w:rsidRDefault="00DF6B17" w:rsidP="00A74791">
            <w:pPr>
              <w:autoSpaceDE w:val="0"/>
              <w:autoSpaceDN w:val="0"/>
              <w:adjustRightInd w:val="0"/>
              <w:spacing w:after="0" w:line="240" w:lineRule="auto"/>
              <w:jc w:val="both"/>
              <w:rPr>
                <w:rFonts w:ascii="Arial" w:hAnsi="Arial" w:cs="Arial"/>
                <w:sz w:val="18"/>
                <w:szCs w:val="18"/>
              </w:rPr>
            </w:pPr>
          </w:p>
          <w:p w14:paraId="0B18E4EB" w14:textId="6C3BAA96" w:rsidR="00A74791" w:rsidRPr="000D1C0B" w:rsidRDefault="00A74791" w:rsidP="00A7479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Reemplácese el primer párrafo del título VIII:</w:t>
            </w:r>
          </w:p>
          <w:p w14:paraId="5512B45B"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p>
          <w:p w14:paraId="499DEE9C" w14:textId="2FEA989B"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Las sociedades operadoras y las sociedades concesionarias de casinos de juego deberán someter a lo menos una vez al semestre sus redes, equipos y sistemas a pruebas de seguridad. Las pruebas podrán ser efectuadas por las sociedades operadoras y las sociedades concesionarias de casinos de juego en forma interna, o bien, con asistencia por parte de terceros externos especializados en dichos servicios. En todo caso, deberán efectuarse conforme estándares actualizados, sean nacionales o internacionales, o bien, conforme criterios ampliamente aceptados por la industria. Deberá dejarse constancia de las pruebas efectuadas, los estándares aplicados, los resultados obtenidos, las medidas adoptadas en consecuencia y las oportunidades de mejora detectadas. Asimismo, se deberá informar a la SCJ mediante el SAYN su ejecución </w:t>
            </w:r>
            <w:r w:rsidRPr="000D1C0B">
              <w:rPr>
                <w:rFonts w:ascii="Arial" w:hAnsi="Arial" w:cs="Arial"/>
                <w:b/>
                <w:bCs/>
                <w:sz w:val="18"/>
                <w:szCs w:val="18"/>
              </w:rPr>
              <w:t>a más tardar 15 días hábiles</w:t>
            </w:r>
            <w:r w:rsidRPr="000D1C0B">
              <w:rPr>
                <w:rFonts w:ascii="Arial" w:hAnsi="Arial" w:cs="Arial"/>
                <w:sz w:val="18"/>
                <w:szCs w:val="18"/>
              </w:rPr>
              <w:t xml:space="preserve"> luego de realizadas.</w:t>
            </w:r>
          </w:p>
        </w:tc>
      </w:tr>
      <w:tr w:rsidR="00A74791" w:rsidRPr="000D1C0B" w14:paraId="1036A12B" w14:textId="77777777" w:rsidTr="00A74791">
        <w:trPr>
          <w:trHeight w:val="20"/>
        </w:trPr>
        <w:tc>
          <w:tcPr>
            <w:tcW w:w="416" w:type="dxa"/>
          </w:tcPr>
          <w:p w14:paraId="4FC3A173" w14:textId="1576DDAF" w:rsidR="00A74791" w:rsidRPr="000D1C0B" w:rsidRDefault="00A74791" w:rsidP="00A74791">
            <w:pPr>
              <w:spacing w:after="0" w:line="240" w:lineRule="auto"/>
              <w:jc w:val="both"/>
              <w:rPr>
                <w:rFonts w:ascii="Arial" w:hAnsi="Arial" w:cs="Arial"/>
                <w:bCs/>
                <w:spacing w:val="-3"/>
                <w:sz w:val="18"/>
                <w:szCs w:val="18"/>
              </w:rPr>
            </w:pPr>
            <w:r w:rsidRPr="000D1C0B">
              <w:rPr>
                <w:rFonts w:ascii="Arial" w:hAnsi="Arial" w:cs="Arial"/>
                <w:bCs/>
                <w:spacing w:val="-3"/>
                <w:sz w:val="18"/>
                <w:szCs w:val="18"/>
              </w:rPr>
              <w:lastRenderedPageBreak/>
              <w:t>21</w:t>
            </w:r>
          </w:p>
        </w:tc>
        <w:tc>
          <w:tcPr>
            <w:tcW w:w="1267" w:type="dxa"/>
          </w:tcPr>
          <w:p w14:paraId="1F15A533" w14:textId="77777777" w:rsidR="00A74791" w:rsidRPr="000D1C0B" w:rsidRDefault="00A74791" w:rsidP="00A74791">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 N°119/2021</w:t>
            </w:r>
          </w:p>
        </w:tc>
        <w:tc>
          <w:tcPr>
            <w:tcW w:w="2582" w:type="dxa"/>
          </w:tcPr>
          <w:p w14:paraId="1C6F6900"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bCs/>
                <w:spacing w:val="-3"/>
                <w:sz w:val="18"/>
                <w:szCs w:val="18"/>
              </w:rPr>
              <w:t xml:space="preserve">Notificación de reportes de </w:t>
            </w:r>
            <w:proofErr w:type="spellStart"/>
            <w:r w:rsidRPr="000D1C0B">
              <w:rPr>
                <w:rFonts w:ascii="Arial" w:hAnsi="Arial" w:cs="Arial"/>
                <w:bCs/>
                <w:spacing w:val="-3"/>
                <w:sz w:val="18"/>
                <w:szCs w:val="18"/>
              </w:rPr>
              <w:t>ciberincidentes</w:t>
            </w:r>
            <w:proofErr w:type="spellEnd"/>
          </w:p>
        </w:tc>
        <w:tc>
          <w:tcPr>
            <w:tcW w:w="3666" w:type="dxa"/>
          </w:tcPr>
          <w:p w14:paraId="791BE5CF" w14:textId="73141AC5" w:rsidR="00A74791" w:rsidRPr="000D1C0B" w:rsidRDefault="00A74791" w:rsidP="00A74791">
            <w:pPr>
              <w:autoSpaceDE w:val="0"/>
              <w:autoSpaceDN w:val="0"/>
              <w:adjustRightInd w:val="0"/>
              <w:spacing w:after="0" w:line="240" w:lineRule="auto"/>
              <w:jc w:val="both"/>
              <w:rPr>
                <w:rFonts w:ascii="Arial" w:hAnsi="Arial" w:cs="Arial"/>
                <w:b/>
                <w:bCs/>
                <w:color w:val="010000"/>
                <w:sz w:val="18"/>
                <w:szCs w:val="18"/>
              </w:rPr>
            </w:pPr>
            <w:r w:rsidRPr="000D1C0B">
              <w:rPr>
                <w:rFonts w:ascii="Arial" w:hAnsi="Arial" w:cs="Arial"/>
                <w:b/>
                <w:bCs/>
                <w:color w:val="010000"/>
                <w:sz w:val="18"/>
                <w:szCs w:val="18"/>
              </w:rPr>
              <w:t>Tabla N°3 Oportunidad de reportes obligatorios</w:t>
            </w:r>
            <w:r w:rsidRPr="000D1C0B">
              <w:rPr>
                <w:rFonts w:ascii="Arial" w:hAnsi="Arial" w:cs="Arial"/>
                <w:color w:val="010000"/>
                <w:sz w:val="18"/>
                <w:szCs w:val="18"/>
              </w:rPr>
              <w:t xml:space="preserve"> </w:t>
            </w:r>
            <w:r w:rsidRPr="000D1C0B">
              <w:rPr>
                <w:rFonts w:ascii="Arial" w:hAnsi="Arial" w:cs="Arial"/>
                <w:b/>
                <w:bCs/>
                <w:color w:val="010000"/>
                <w:sz w:val="18"/>
                <w:szCs w:val="18"/>
              </w:rPr>
              <w:t>del numeral 3 del título IV:</w:t>
            </w:r>
          </w:p>
          <w:p w14:paraId="3E4C3AF9" w14:textId="77777777" w:rsidR="00A74791" w:rsidRPr="000D1C0B" w:rsidRDefault="00A74791" w:rsidP="00A74791">
            <w:pPr>
              <w:autoSpaceDE w:val="0"/>
              <w:autoSpaceDN w:val="0"/>
              <w:adjustRightInd w:val="0"/>
              <w:spacing w:after="0" w:line="240" w:lineRule="auto"/>
              <w:jc w:val="both"/>
              <w:rPr>
                <w:rFonts w:ascii="Arial" w:hAnsi="Arial" w:cs="Arial"/>
                <w:color w:val="010000"/>
                <w:sz w:val="18"/>
                <w:szCs w:val="18"/>
              </w:rPr>
            </w:pPr>
          </w:p>
          <w:p w14:paraId="5D11A063"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lastRenderedPageBreak/>
              <w:t>Columna “Reporte final”</w:t>
            </w:r>
          </w:p>
          <w:p w14:paraId="73D06976" w14:textId="77777777" w:rsidR="00A74791" w:rsidRPr="000D1C0B" w:rsidRDefault="00A74791" w:rsidP="00A74791">
            <w:pPr>
              <w:pStyle w:val="Prrafodelista"/>
              <w:numPr>
                <w:ilvl w:val="0"/>
                <w:numId w:val="20"/>
              </w:num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Critico= Máximo 10 días corridos</w:t>
            </w:r>
          </w:p>
          <w:p w14:paraId="005A0139" w14:textId="674C69B4" w:rsidR="00A74791" w:rsidRPr="000D1C0B" w:rsidRDefault="00A74791" w:rsidP="00A74791">
            <w:pPr>
              <w:pStyle w:val="Prrafodelista"/>
              <w:numPr>
                <w:ilvl w:val="0"/>
                <w:numId w:val="20"/>
              </w:num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Muy alto= Máximo 20 días corridos</w:t>
            </w:r>
          </w:p>
          <w:p w14:paraId="0D7F3734" w14:textId="09AF80BD" w:rsidR="00A74791" w:rsidRPr="000D1C0B" w:rsidRDefault="00A74791" w:rsidP="00A74791">
            <w:pPr>
              <w:pStyle w:val="Prrafodelista"/>
              <w:numPr>
                <w:ilvl w:val="0"/>
                <w:numId w:val="20"/>
              </w:num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Alto= Máximo 30 días corridos</w:t>
            </w:r>
          </w:p>
        </w:tc>
        <w:tc>
          <w:tcPr>
            <w:tcW w:w="5247" w:type="dxa"/>
          </w:tcPr>
          <w:p w14:paraId="0B057F0A" w14:textId="67470380" w:rsidR="00A74791" w:rsidRPr="000D1C0B" w:rsidRDefault="00A74791" w:rsidP="00A74791">
            <w:pPr>
              <w:spacing w:after="0" w:line="240" w:lineRule="auto"/>
              <w:jc w:val="both"/>
              <w:rPr>
                <w:rFonts w:ascii="Arial" w:hAnsi="Arial" w:cs="Arial"/>
                <w:b/>
                <w:bCs/>
                <w:sz w:val="18"/>
                <w:szCs w:val="18"/>
              </w:rPr>
            </w:pPr>
            <w:r w:rsidRPr="000D1C0B">
              <w:rPr>
                <w:rFonts w:ascii="Arial" w:hAnsi="Arial" w:cs="Arial"/>
                <w:b/>
                <w:bCs/>
                <w:sz w:val="18"/>
                <w:szCs w:val="18"/>
              </w:rPr>
              <w:lastRenderedPageBreak/>
              <w:t>Reemplácese en la tabla N°3 Oportunidad de reportes obligatorios del numeral 3 del título IV:</w:t>
            </w:r>
          </w:p>
          <w:p w14:paraId="543CA954" w14:textId="77777777" w:rsidR="00A74791" w:rsidRPr="000D1C0B" w:rsidRDefault="00A74791" w:rsidP="00A74791">
            <w:pPr>
              <w:spacing w:after="0" w:line="240" w:lineRule="auto"/>
              <w:jc w:val="both"/>
              <w:rPr>
                <w:rFonts w:ascii="Arial" w:hAnsi="Arial" w:cs="Arial"/>
                <w:b/>
                <w:bCs/>
                <w:sz w:val="18"/>
                <w:szCs w:val="18"/>
              </w:rPr>
            </w:pPr>
          </w:p>
          <w:p w14:paraId="370FD3A3"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lastRenderedPageBreak/>
              <w:t>Columna “Reporte final”</w:t>
            </w:r>
          </w:p>
          <w:p w14:paraId="7536E0CA" w14:textId="3F778913" w:rsidR="00A74791" w:rsidRPr="000D1C0B" w:rsidRDefault="00A74791" w:rsidP="00A74791">
            <w:pPr>
              <w:pStyle w:val="Prrafodelista"/>
              <w:numPr>
                <w:ilvl w:val="0"/>
                <w:numId w:val="20"/>
              </w:num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Critico= Máximo 10 días hábiles</w:t>
            </w:r>
          </w:p>
          <w:p w14:paraId="555A97A6" w14:textId="6019B14A" w:rsidR="00A74791" w:rsidRPr="000D1C0B" w:rsidRDefault="00A74791" w:rsidP="00A74791">
            <w:pPr>
              <w:pStyle w:val="Prrafodelista"/>
              <w:numPr>
                <w:ilvl w:val="0"/>
                <w:numId w:val="20"/>
              </w:num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Muy alto= Máximo 15 días hábiles</w:t>
            </w:r>
          </w:p>
          <w:p w14:paraId="58ECD1BA" w14:textId="24AE7C72" w:rsidR="00A74791" w:rsidRPr="000D1C0B" w:rsidRDefault="00A74791" w:rsidP="00A74791">
            <w:pPr>
              <w:pStyle w:val="Prrafodelista"/>
              <w:numPr>
                <w:ilvl w:val="0"/>
                <w:numId w:val="20"/>
              </w:numPr>
              <w:spacing w:after="0" w:line="240" w:lineRule="auto"/>
              <w:jc w:val="both"/>
              <w:rPr>
                <w:rFonts w:ascii="Arial" w:hAnsi="Arial" w:cs="Arial"/>
                <w:b/>
                <w:bCs/>
                <w:sz w:val="18"/>
                <w:szCs w:val="18"/>
              </w:rPr>
            </w:pPr>
            <w:r w:rsidRPr="000D1C0B">
              <w:rPr>
                <w:rFonts w:ascii="Arial" w:hAnsi="Arial" w:cs="Arial"/>
                <w:sz w:val="18"/>
                <w:szCs w:val="18"/>
              </w:rPr>
              <w:t>Alto= Máximo 20 días hábiles</w:t>
            </w:r>
          </w:p>
        </w:tc>
      </w:tr>
      <w:tr w:rsidR="00A74791" w:rsidRPr="000D1C0B" w14:paraId="700E35C8" w14:textId="77777777" w:rsidTr="00A74791">
        <w:trPr>
          <w:trHeight w:val="20"/>
        </w:trPr>
        <w:tc>
          <w:tcPr>
            <w:tcW w:w="416" w:type="dxa"/>
          </w:tcPr>
          <w:p w14:paraId="1AD1A4DF" w14:textId="41725924" w:rsidR="00A74791" w:rsidRPr="000D1C0B" w:rsidRDefault="00A74791" w:rsidP="00A74791">
            <w:pPr>
              <w:spacing w:after="0" w:line="240" w:lineRule="auto"/>
              <w:jc w:val="both"/>
              <w:rPr>
                <w:rFonts w:ascii="Arial" w:hAnsi="Arial" w:cs="Arial"/>
                <w:bCs/>
                <w:spacing w:val="-3"/>
                <w:sz w:val="18"/>
                <w:szCs w:val="18"/>
              </w:rPr>
            </w:pPr>
            <w:r w:rsidRPr="000D1C0B">
              <w:rPr>
                <w:rFonts w:ascii="Arial" w:hAnsi="Arial" w:cs="Arial"/>
                <w:bCs/>
                <w:spacing w:val="-3"/>
                <w:sz w:val="18"/>
                <w:szCs w:val="18"/>
              </w:rPr>
              <w:lastRenderedPageBreak/>
              <w:t>22</w:t>
            </w:r>
          </w:p>
        </w:tc>
        <w:tc>
          <w:tcPr>
            <w:tcW w:w="1267" w:type="dxa"/>
          </w:tcPr>
          <w:p w14:paraId="77AEC5F7" w14:textId="77777777" w:rsidR="00A74791" w:rsidRPr="000D1C0B" w:rsidRDefault="00A74791" w:rsidP="00A74791">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 N°121/2021</w:t>
            </w:r>
          </w:p>
        </w:tc>
        <w:tc>
          <w:tcPr>
            <w:tcW w:w="2582" w:type="dxa"/>
          </w:tcPr>
          <w:p w14:paraId="06ED9576"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bCs/>
                <w:spacing w:val="-3"/>
                <w:sz w:val="18"/>
                <w:szCs w:val="18"/>
              </w:rPr>
              <w:t>Notificación de cambios societarios en una sociedad operadora de casino de juego que se notifican</w:t>
            </w:r>
          </w:p>
        </w:tc>
        <w:tc>
          <w:tcPr>
            <w:tcW w:w="3666" w:type="dxa"/>
          </w:tcPr>
          <w:p w14:paraId="7720DFB9" w14:textId="0206447E"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Segundo párrafo del numeral 11.3</w:t>
            </w:r>
            <w:r w:rsidRPr="000D1C0B">
              <w:rPr>
                <w:rFonts w:ascii="Arial" w:hAnsi="Arial" w:cs="Arial"/>
                <w:sz w:val="18"/>
                <w:szCs w:val="18"/>
              </w:rPr>
              <w:t>:</w:t>
            </w:r>
          </w:p>
          <w:p w14:paraId="4333B5D1"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p>
          <w:p w14:paraId="5541425A"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 De igual modo, se deberá notificar la nómina de director(es), gerente general y/o administrador(es) y/o representante(s) legal(es) de los accionistas directos e indirectos o partícipes de la sociedad operadora actualizada al 31 de diciembre de cada año, en el </w:t>
            </w:r>
            <w:r w:rsidRPr="000D1C0B">
              <w:rPr>
                <w:rFonts w:ascii="Arial" w:hAnsi="Arial" w:cs="Arial"/>
                <w:b/>
                <w:bCs/>
                <w:sz w:val="18"/>
                <w:szCs w:val="18"/>
              </w:rPr>
              <w:t>plazo máximo de 90 días</w:t>
            </w:r>
            <w:r w:rsidRPr="000D1C0B">
              <w:rPr>
                <w:rFonts w:ascii="Arial" w:hAnsi="Arial" w:cs="Arial"/>
                <w:sz w:val="18"/>
                <w:szCs w:val="18"/>
              </w:rPr>
              <w:t xml:space="preserve"> corridos posteriores a dicha fecha.</w:t>
            </w:r>
          </w:p>
          <w:p w14:paraId="38594A59"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p>
          <w:p w14:paraId="78A5419F" w14:textId="297EDB72"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Segundo párrafo del numeral 11.5</w:t>
            </w:r>
            <w:r w:rsidRPr="000D1C0B">
              <w:rPr>
                <w:rFonts w:ascii="Arial" w:hAnsi="Arial" w:cs="Arial"/>
                <w:sz w:val="18"/>
                <w:szCs w:val="18"/>
              </w:rPr>
              <w:t>:</w:t>
            </w:r>
          </w:p>
          <w:p w14:paraId="34F5A4DC" w14:textId="55A72EE9" w:rsidR="00A74791" w:rsidRPr="000D1C0B" w:rsidRDefault="00A74791" w:rsidP="00A74791">
            <w:pPr>
              <w:autoSpaceDE w:val="0"/>
              <w:autoSpaceDN w:val="0"/>
              <w:adjustRightInd w:val="0"/>
              <w:spacing w:after="0" w:line="240" w:lineRule="auto"/>
              <w:jc w:val="both"/>
              <w:rPr>
                <w:rFonts w:ascii="Arial" w:hAnsi="Arial" w:cs="Arial"/>
                <w:sz w:val="18"/>
                <w:szCs w:val="18"/>
              </w:rPr>
            </w:pPr>
          </w:p>
          <w:p w14:paraId="7DCF00B6" w14:textId="1AD1CCA1"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En el caso de porcentajes menores al 5%, sólo será necesario agregar en el diagrama que se trata de accionistas minoritarios, de manera que siempre dicho diagrama refleje el 100% de participación. De igual modo, se deberá notificar el diagrama actualizado con los porcentajes de participación de aquellos accionistas y partícipes que integran dicho diagrama y que posean directa e indirectamente el 5% o más de su propiedad consolidada al 31 de diciembre de cada año, en el plazo máximo de </w:t>
            </w:r>
            <w:r w:rsidRPr="000D1C0B">
              <w:rPr>
                <w:rFonts w:ascii="Arial" w:hAnsi="Arial" w:cs="Arial"/>
                <w:b/>
                <w:bCs/>
                <w:sz w:val="18"/>
                <w:szCs w:val="18"/>
              </w:rPr>
              <w:t>90 días corridos</w:t>
            </w:r>
            <w:r w:rsidRPr="000D1C0B">
              <w:rPr>
                <w:rFonts w:ascii="Arial" w:hAnsi="Arial" w:cs="Arial"/>
                <w:sz w:val="18"/>
                <w:szCs w:val="18"/>
              </w:rPr>
              <w:t xml:space="preserve"> posteriores a dicha fecha.</w:t>
            </w:r>
          </w:p>
        </w:tc>
        <w:tc>
          <w:tcPr>
            <w:tcW w:w="5247" w:type="dxa"/>
          </w:tcPr>
          <w:p w14:paraId="76585CE9" w14:textId="17D898EB" w:rsidR="00A74791" w:rsidRPr="000D1C0B" w:rsidRDefault="00A74791" w:rsidP="00A74791">
            <w:pPr>
              <w:spacing w:after="0" w:line="240" w:lineRule="auto"/>
              <w:jc w:val="both"/>
              <w:rPr>
                <w:rFonts w:ascii="Arial" w:hAnsi="Arial" w:cs="Arial"/>
                <w:b/>
                <w:bCs/>
                <w:sz w:val="18"/>
                <w:szCs w:val="18"/>
              </w:rPr>
            </w:pPr>
            <w:r w:rsidRPr="000D1C0B">
              <w:rPr>
                <w:rFonts w:ascii="Arial" w:hAnsi="Arial" w:cs="Arial"/>
                <w:b/>
                <w:bCs/>
                <w:sz w:val="18"/>
                <w:szCs w:val="18"/>
              </w:rPr>
              <w:t>Reemplácese en el segundo párrafo del numeral 11.3:</w:t>
            </w:r>
          </w:p>
          <w:p w14:paraId="36F14790" w14:textId="77777777" w:rsidR="00A74791" w:rsidRPr="000D1C0B" w:rsidRDefault="00A74791" w:rsidP="00A74791">
            <w:pPr>
              <w:spacing w:after="0" w:line="240" w:lineRule="auto"/>
              <w:jc w:val="both"/>
              <w:rPr>
                <w:rFonts w:ascii="Arial" w:hAnsi="Arial" w:cs="Arial"/>
                <w:sz w:val="18"/>
                <w:szCs w:val="18"/>
              </w:rPr>
            </w:pPr>
          </w:p>
          <w:p w14:paraId="0900129D" w14:textId="77777777" w:rsidR="00A74791" w:rsidRPr="000D1C0B" w:rsidRDefault="00A74791" w:rsidP="00A74791">
            <w:pPr>
              <w:spacing w:after="0" w:line="240" w:lineRule="auto"/>
              <w:jc w:val="both"/>
              <w:rPr>
                <w:rFonts w:ascii="Arial" w:hAnsi="Arial" w:cs="Arial"/>
                <w:sz w:val="18"/>
                <w:szCs w:val="18"/>
              </w:rPr>
            </w:pPr>
            <w:r w:rsidRPr="000D1C0B">
              <w:rPr>
                <w:rFonts w:ascii="Arial" w:hAnsi="Arial" w:cs="Arial"/>
                <w:sz w:val="18"/>
                <w:szCs w:val="18"/>
              </w:rPr>
              <w:t xml:space="preserve">…De igual modo, se deberá notificar la nómina de director(es), gerente general y/o administrador(es) y/o representante(s) legal(es) de los accionistas directos e indirectos o partícipes de la sociedad operadora actualizada al 31 de diciembre de cada año, en el plazo </w:t>
            </w:r>
            <w:r w:rsidRPr="000D1C0B">
              <w:rPr>
                <w:rFonts w:ascii="Arial" w:hAnsi="Arial" w:cs="Arial"/>
                <w:b/>
                <w:bCs/>
                <w:sz w:val="18"/>
                <w:szCs w:val="18"/>
              </w:rPr>
              <w:t>máximo de 60 días hábiles</w:t>
            </w:r>
            <w:r w:rsidRPr="000D1C0B">
              <w:rPr>
                <w:rFonts w:ascii="Arial" w:hAnsi="Arial" w:cs="Arial"/>
                <w:sz w:val="18"/>
                <w:szCs w:val="18"/>
              </w:rPr>
              <w:t xml:space="preserve"> posteriores a dicha fecha.</w:t>
            </w:r>
          </w:p>
          <w:p w14:paraId="61C543B6" w14:textId="1F6614CC" w:rsidR="00A74791" w:rsidRDefault="00A74791" w:rsidP="00A74791">
            <w:pPr>
              <w:spacing w:after="0" w:line="240" w:lineRule="auto"/>
              <w:jc w:val="both"/>
              <w:rPr>
                <w:rFonts w:ascii="Arial" w:hAnsi="Arial" w:cs="Arial"/>
                <w:sz w:val="18"/>
                <w:szCs w:val="18"/>
              </w:rPr>
            </w:pPr>
          </w:p>
          <w:p w14:paraId="2A38913B" w14:textId="572843F9" w:rsidR="00DF6B17" w:rsidRDefault="00DF6B17" w:rsidP="00A74791">
            <w:pPr>
              <w:spacing w:after="0" w:line="240" w:lineRule="auto"/>
              <w:jc w:val="both"/>
              <w:rPr>
                <w:rFonts w:ascii="Arial" w:hAnsi="Arial" w:cs="Arial"/>
                <w:sz w:val="18"/>
                <w:szCs w:val="18"/>
              </w:rPr>
            </w:pPr>
          </w:p>
          <w:p w14:paraId="3EC4827F" w14:textId="77777777" w:rsidR="00DF6B17" w:rsidRPr="000D1C0B" w:rsidRDefault="00DF6B17" w:rsidP="00A74791">
            <w:pPr>
              <w:spacing w:after="0" w:line="240" w:lineRule="auto"/>
              <w:jc w:val="both"/>
              <w:rPr>
                <w:rFonts w:ascii="Arial" w:hAnsi="Arial" w:cs="Arial"/>
                <w:sz w:val="18"/>
                <w:szCs w:val="18"/>
              </w:rPr>
            </w:pPr>
          </w:p>
          <w:p w14:paraId="67C38EC8"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Segundo párrafo del numeral 11.5</w:t>
            </w:r>
            <w:r w:rsidRPr="000D1C0B">
              <w:rPr>
                <w:rFonts w:ascii="Arial" w:hAnsi="Arial" w:cs="Arial"/>
                <w:sz w:val="18"/>
                <w:szCs w:val="18"/>
              </w:rPr>
              <w:t>:</w:t>
            </w:r>
          </w:p>
          <w:p w14:paraId="54497D8D"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p>
          <w:p w14:paraId="030EF65E" w14:textId="6735ECFE"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En el caso de porcentajes menores al 5%, sólo será necesario agregar en el diagrama que se trata de accionistas minoritarios, de manera que siempre dicho diagrama refleje el 100% de participación. De igual modo, se deberá notificar el diagrama actualizado con los porcentajes de participación de aquellos accionistas y partícipes que integran dicho diagrama y que posean directa e indirectamente el 5% o más de su propiedad consolidada al 31 de diciembre de cada año, en el plazo máximo de </w:t>
            </w:r>
            <w:r w:rsidRPr="000D1C0B">
              <w:rPr>
                <w:rFonts w:ascii="Arial" w:hAnsi="Arial" w:cs="Arial"/>
                <w:b/>
                <w:bCs/>
                <w:sz w:val="18"/>
                <w:szCs w:val="18"/>
              </w:rPr>
              <w:t>90 días hábiles</w:t>
            </w:r>
            <w:r w:rsidRPr="000D1C0B">
              <w:rPr>
                <w:rFonts w:ascii="Arial" w:hAnsi="Arial" w:cs="Arial"/>
                <w:sz w:val="18"/>
                <w:szCs w:val="18"/>
              </w:rPr>
              <w:t xml:space="preserve"> posteriores a dicha fecha.</w:t>
            </w:r>
          </w:p>
        </w:tc>
      </w:tr>
      <w:tr w:rsidR="00A74791" w:rsidRPr="000D1C0B" w14:paraId="78062452" w14:textId="77777777" w:rsidTr="00A74791">
        <w:trPr>
          <w:trHeight w:val="20"/>
        </w:trPr>
        <w:tc>
          <w:tcPr>
            <w:tcW w:w="416" w:type="dxa"/>
          </w:tcPr>
          <w:p w14:paraId="6C323E5B" w14:textId="59E66289" w:rsidR="00A74791" w:rsidRPr="000D1C0B" w:rsidRDefault="00A74791" w:rsidP="00A74791">
            <w:pPr>
              <w:spacing w:after="0" w:line="240" w:lineRule="auto"/>
              <w:jc w:val="both"/>
              <w:rPr>
                <w:rFonts w:ascii="Arial" w:hAnsi="Arial" w:cs="Arial"/>
                <w:bCs/>
                <w:spacing w:val="-3"/>
                <w:sz w:val="18"/>
                <w:szCs w:val="18"/>
              </w:rPr>
            </w:pPr>
            <w:r w:rsidRPr="000D1C0B">
              <w:rPr>
                <w:rFonts w:ascii="Arial" w:hAnsi="Arial" w:cs="Arial"/>
                <w:bCs/>
                <w:spacing w:val="-3"/>
                <w:sz w:val="18"/>
                <w:szCs w:val="18"/>
              </w:rPr>
              <w:t>23</w:t>
            </w:r>
          </w:p>
        </w:tc>
        <w:tc>
          <w:tcPr>
            <w:tcW w:w="1267" w:type="dxa"/>
          </w:tcPr>
          <w:p w14:paraId="1C6E627B" w14:textId="557A3291" w:rsidR="00A74791" w:rsidRPr="000D1C0B" w:rsidRDefault="00A74791" w:rsidP="00A74791">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 N°125/2022</w:t>
            </w:r>
          </w:p>
        </w:tc>
        <w:tc>
          <w:tcPr>
            <w:tcW w:w="2582" w:type="dxa"/>
          </w:tcPr>
          <w:p w14:paraId="480F4588" w14:textId="4BF2D6F1" w:rsidR="00A74791" w:rsidRPr="000D1C0B" w:rsidRDefault="00A74791" w:rsidP="00A74791">
            <w:pPr>
              <w:autoSpaceDE w:val="0"/>
              <w:autoSpaceDN w:val="0"/>
              <w:adjustRightInd w:val="0"/>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información de entrega de valores entre el casino y jugadores</w:t>
            </w:r>
          </w:p>
        </w:tc>
        <w:tc>
          <w:tcPr>
            <w:tcW w:w="3666" w:type="dxa"/>
          </w:tcPr>
          <w:p w14:paraId="3E2CB577" w14:textId="3E452198" w:rsidR="00A74791" w:rsidRPr="000D1C0B" w:rsidRDefault="00A74791" w:rsidP="00A7479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Tercer párrafo del numeral 9.4:</w:t>
            </w:r>
          </w:p>
          <w:p w14:paraId="543A6EDF"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p>
          <w:p w14:paraId="31EFA6C1" w14:textId="3865E2E9"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Cada vez que se modifique alguna información señalada en el presente numeral deberá informarlo a esta Superintendencia </w:t>
            </w:r>
            <w:r w:rsidRPr="000D1C0B">
              <w:rPr>
                <w:rFonts w:ascii="Arial" w:hAnsi="Arial" w:cs="Arial"/>
                <w:b/>
                <w:bCs/>
                <w:sz w:val="18"/>
                <w:szCs w:val="18"/>
              </w:rPr>
              <w:t>a más tardar el quinto día hábil anterior</w:t>
            </w:r>
            <w:r w:rsidRPr="000D1C0B">
              <w:rPr>
                <w:rFonts w:ascii="Arial" w:hAnsi="Arial" w:cs="Arial"/>
                <w:sz w:val="18"/>
                <w:szCs w:val="18"/>
              </w:rPr>
              <w:t xml:space="preserve"> a su uso o vigencia.</w:t>
            </w:r>
          </w:p>
        </w:tc>
        <w:tc>
          <w:tcPr>
            <w:tcW w:w="5247" w:type="dxa"/>
          </w:tcPr>
          <w:p w14:paraId="2F7B36C2" w14:textId="7082A871" w:rsidR="00A74791" w:rsidRPr="000D1C0B" w:rsidRDefault="00A74791" w:rsidP="00A74791">
            <w:pPr>
              <w:spacing w:after="0" w:line="240" w:lineRule="auto"/>
              <w:jc w:val="both"/>
              <w:rPr>
                <w:rFonts w:ascii="Arial" w:hAnsi="Arial" w:cs="Arial"/>
                <w:sz w:val="18"/>
                <w:szCs w:val="18"/>
              </w:rPr>
            </w:pPr>
            <w:r w:rsidRPr="000D1C0B">
              <w:rPr>
                <w:rFonts w:ascii="Arial" w:hAnsi="Arial" w:cs="Arial"/>
                <w:b/>
                <w:bCs/>
                <w:sz w:val="18"/>
                <w:szCs w:val="18"/>
              </w:rPr>
              <w:t>Reemplácese el tercer párrafo del numeral 9.4</w:t>
            </w:r>
            <w:r w:rsidRPr="000D1C0B">
              <w:rPr>
                <w:rFonts w:ascii="Arial" w:hAnsi="Arial" w:cs="Arial"/>
                <w:sz w:val="18"/>
                <w:szCs w:val="18"/>
              </w:rPr>
              <w:t>:</w:t>
            </w:r>
          </w:p>
          <w:p w14:paraId="24F078B6" w14:textId="77777777" w:rsidR="00A74791" w:rsidRPr="000D1C0B" w:rsidRDefault="00A74791" w:rsidP="00A74791">
            <w:pPr>
              <w:spacing w:after="0" w:line="240" w:lineRule="auto"/>
              <w:jc w:val="both"/>
              <w:rPr>
                <w:rFonts w:ascii="Arial" w:hAnsi="Arial" w:cs="Arial"/>
                <w:sz w:val="18"/>
                <w:szCs w:val="18"/>
              </w:rPr>
            </w:pPr>
          </w:p>
          <w:p w14:paraId="72BA817A" w14:textId="0B2C2A78" w:rsidR="00A74791" w:rsidRPr="000D1C0B" w:rsidRDefault="00A74791" w:rsidP="00A74791">
            <w:pPr>
              <w:spacing w:after="0" w:line="240" w:lineRule="auto"/>
              <w:jc w:val="both"/>
              <w:rPr>
                <w:rFonts w:ascii="Arial" w:hAnsi="Arial" w:cs="Arial"/>
                <w:sz w:val="18"/>
                <w:szCs w:val="18"/>
              </w:rPr>
            </w:pPr>
            <w:r w:rsidRPr="000D1C0B">
              <w:rPr>
                <w:rFonts w:ascii="Arial" w:hAnsi="Arial" w:cs="Arial"/>
                <w:sz w:val="18"/>
                <w:szCs w:val="18"/>
              </w:rPr>
              <w:t xml:space="preserve">Cada vez que se modifique alguna información señalada en el presente numeral deberá informarlo a esta Superintendencia </w:t>
            </w:r>
            <w:r w:rsidRPr="000D1C0B">
              <w:rPr>
                <w:rFonts w:ascii="Arial" w:hAnsi="Arial" w:cs="Arial"/>
                <w:b/>
                <w:bCs/>
                <w:sz w:val="18"/>
                <w:szCs w:val="18"/>
              </w:rPr>
              <w:t xml:space="preserve">dentro de 10 días hábiles posteriores </w:t>
            </w:r>
            <w:r w:rsidRPr="000D1C0B">
              <w:rPr>
                <w:rFonts w:ascii="Arial" w:hAnsi="Arial" w:cs="Arial"/>
                <w:sz w:val="18"/>
                <w:szCs w:val="18"/>
              </w:rPr>
              <w:t>a su uso o vigencia.</w:t>
            </w:r>
          </w:p>
        </w:tc>
      </w:tr>
      <w:tr w:rsidR="00A74791" w:rsidRPr="000D1C0B" w14:paraId="78CFD0CD" w14:textId="77777777" w:rsidTr="00A74791">
        <w:trPr>
          <w:trHeight w:val="20"/>
        </w:trPr>
        <w:tc>
          <w:tcPr>
            <w:tcW w:w="416" w:type="dxa"/>
          </w:tcPr>
          <w:p w14:paraId="4B30EE7B" w14:textId="36E9EA32" w:rsidR="00A74791" w:rsidRPr="000D1C0B" w:rsidRDefault="00A74791" w:rsidP="00A74791">
            <w:pPr>
              <w:spacing w:after="0" w:line="240" w:lineRule="auto"/>
              <w:jc w:val="both"/>
              <w:rPr>
                <w:rFonts w:ascii="Arial" w:hAnsi="Arial" w:cs="Arial"/>
                <w:bCs/>
                <w:spacing w:val="-3"/>
                <w:sz w:val="18"/>
                <w:szCs w:val="18"/>
              </w:rPr>
            </w:pPr>
            <w:r w:rsidRPr="000D1C0B">
              <w:rPr>
                <w:rFonts w:ascii="Arial" w:hAnsi="Arial" w:cs="Arial"/>
                <w:bCs/>
                <w:spacing w:val="-3"/>
                <w:sz w:val="18"/>
                <w:szCs w:val="18"/>
              </w:rPr>
              <w:lastRenderedPageBreak/>
              <w:t>24</w:t>
            </w:r>
          </w:p>
        </w:tc>
        <w:tc>
          <w:tcPr>
            <w:tcW w:w="1267" w:type="dxa"/>
          </w:tcPr>
          <w:p w14:paraId="2F39C86A" w14:textId="567118EB" w:rsidR="00A74791" w:rsidRPr="000D1C0B" w:rsidRDefault="00A74791" w:rsidP="00A74791">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 N°125/2022</w:t>
            </w:r>
          </w:p>
        </w:tc>
        <w:tc>
          <w:tcPr>
            <w:tcW w:w="2582" w:type="dxa"/>
          </w:tcPr>
          <w:p w14:paraId="56CA5B48" w14:textId="3C806BDC" w:rsidR="00A74791" w:rsidRPr="000D1C0B" w:rsidRDefault="00A74791" w:rsidP="00A74791">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procedimientos operativos</w:t>
            </w:r>
          </w:p>
        </w:tc>
        <w:tc>
          <w:tcPr>
            <w:tcW w:w="3666" w:type="dxa"/>
          </w:tcPr>
          <w:p w14:paraId="67B0FEF4"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Numeral 9.3</w:t>
            </w:r>
            <w:r w:rsidRPr="000D1C0B">
              <w:rPr>
                <w:rFonts w:ascii="Arial" w:hAnsi="Arial" w:cs="Arial"/>
                <w:sz w:val="18"/>
                <w:szCs w:val="18"/>
              </w:rPr>
              <w:t>:</w:t>
            </w:r>
          </w:p>
          <w:p w14:paraId="0C31CA42"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p>
          <w:p w14:paraId="2C1CABA7" w14:textId="6D2903DD"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Las modificaciones al procedimiento, deberá ser notificado a esta Superintendencia a más tardar el </w:t>
            </w:r>
            <w:r w:rsidRPr="000D1C0B">
              <w:rPr>
                <w:rFonts w:ascii="Arial" w:hAnsi="Arial" w:cs="Arial"/>
                <w:b/>
                <w:bCs/>
                <w:sz w:val="18"/>
                <w:szCs w:val="18"/>
              </w:rPr>
              <w:t>quinto día hábil previo</w:t>
            </w:r>
            <w:r w:rsidRPr="000D1C0B">
              <w:rPr>
                <w:rFonts w:ascii="Arial" w:hAnsi="Arial" w:cs="Arial"/>
                <w:sz w:val="18"/>
                <w:szCs w:val="18"/>
              </w:rPr>
              <w:t xml:space="preserve"> a la fecha de su implementación.</w:t>
            </w:r>
          </w:p>
        </w:tc>
        <w:tc>
          <w:tcPr>
            <w:tcW w:w="5247" w:type="dxa"/>
          </w:tcPr>
          <w:p w14:paraId="598636D6" w14:textId="77777777" w:rsidR="00A74791" w:rsidRPr="000D1C0B" w:rsidRDefault="00A74791" w:rsidP="00A74791">
            <w:pPr>
              <w:spacing w:after="0" w:line="240" w:lineRule="auto"/>
              <w:jc w:val="both"/>
              <w:rPr>
                <w:rFonts w:ascii="Arial" w:hAnsi="Arial" w:cs="Arial"/>
                <w:sz w:val="18"/>
                <w:szCs w:val="18"/>
              </w:rPr>
            </w:pPr>
            <w:r w:rsidRPr="000D1C0B">
              <w:rPr>
                <w:rFonts w:ascii="Arial" w:hAnsi="Arial" w:cs="Arial"/>
                <w:b/>
                <w:bCs/>
                <w:sz w:val="18"/>
                <w:szCs w:val="18"/>
              </w:rPr>
              <w:t>Reemplácese el numeral 9.3</w:t>
            </w:r>
            <w:r w:rsidRPr="000D1C0B">
              <w:rPr>
                <w:rFonts w:ascii="Arial" w:hAnsi="Arial" w:cs="Arial"/>
                <w:sz w:val="18"/>
                <w:szCs w:val="18"/>
              </w:rPr>
              <w:t>:</w:t>
            </w:r>
          </w:p>
          <w:p w14:paraId="0CF28BD5" w14:textId="77777777" w:rsidR="00A74791" w:rsidRPr="000D1C0B" w:rsidRDefault="00A74791" w:rsidP="00A74791">
            <w:pPr>
              <w:spacing w:after="0" w:line="240" w:lineRule="auto"/>
              <w:jc w:val="both"/>
              <w:rPr>
                <w:rFonts w:ascii="Arial" w:hAnsi="Arial" w:cs="Arial"/>
                <w:sz w:val="18"/>
                <w:szCs w:val="18"/>
              </w:rPr>
            </w:pPr>
          </w:p>
          <w:p w14:paraId="62F1FEFB" w14:textId="4FEB26EC" w:rsidR="00A74791" w:rsidRPr="000D1C0B" w:rsidRDefault="00A74791" w:rsidP="00A74791">
            <w:pPr>
              <w:spacing w:after="0" w:line="240" w:lineRule="auto"/>
              <w:jc w:val="both"/>
              <w:rPr>
                <w:rFonts w:ascii="Arial" w:hAnsi="Arial" w:cs="Arial"/>
                <w:sz w:val="18"/>
                <w:szCs w:val="18"/>
              </w:rPr>
            </w:pPr>
            <w:r w:rsidRPr="000D1C0B">
              <w:rPr>
                <w:rFonts w:ascii="Arial" w:hAnsi="Arial" w:cs="Arial"/>
                <w:sz w:val="18"/>
                <w:szCs w:val="18"/>
              </w:rPr>
              <w:t xml:space="preserve">Las modificaciones al procedimiento, deberá ser notificado a esta Superintendencia a más tardar </w:t>
            </w:r>
            <w:r w:rsidRPr="000D1C0B">
              <w:rPr>
                <w:rFonts w:ascii="Arial" w:hAnsi="Arial" w:cs="Arial"/>
                <w:b/>
                <w:bCs/>
                <w:sz w:val="18"/>
                <w:szCs w:val="18"/>
              </w:rPr>
              <w:t>10 días hábiles</w:t>
            </w:r>
            <w:r w:rsidRPr="000D1C0B">
              <w:rPr>
                <w:rFonts w:ascii="Arial" w:hAnsi="Arial" w:cs="Arial"/>
                <w:sz w:val="18"/>
                <w:szCs w:val="18"/>
              </w:rPr>
              <w:t xml:space="preserve"> posteriores a la fecha de su implementación.</w:t>
            </w:r>
          </w:p>
        </w:tc>
      </w:tr>
      <w:tr w:rsidR="00A74791" w:rsidRPr="000D1C0B" w14:paraId="56D0533D" w14:textId="77777777" w:rsidTr="00A74791">
        <w:trPr>
          <w:trHeight w:val="20"/>
        </w:trPr>
        <w:tc>
          <w:tcPr>
            <w:tcW w:w="416" w:type="dxa"/>
          </w:tcPr>
          <w:p w14:paraId="655FAD08" w14:textId="5A8CF9D0" w:rsidR="00A74791" w:rsidRPr="000D1C0B" w:rsidRDefault="00A74791" w:rsidP="00A74791">
            <w:pPr>
              <w:spacing w:after="0" w:line="240" w:lineRule="auto"/>
              <w:jc w:val="both"/>
              <w:rPr>
                <w:rFonts w:ascii="Arial" w:hAnsi="Arial" w:cs="Arial"/>
                <w:bCs/>
                <w:spacing w:val="-3"/>
                <w:sz w:val="18"/>
                <w:szCs w:val="18"/>
              </w:rPr>
            </w:pPr>
            <w:r w:rsidRPr="000D1C0B">
              <w:rPr>
                <w:rFonts w:ascii="Arial" w:hAnsi="Arial" w:cs="Arial"/>
                <w:bCs/>
                <w:spacing w:val="-3"/>
                <w:sz w:val="18"/>
                <w:szCs w:val="18"/>
              </w:rPr>
              <w:t>25</w:t>
            </w:r>
          </w:p>
        </w:tc>
        <w:tc>
          <w:tcPr>
            <w:tcW w:w="1267" w:type="dxa"/>
          </w:tcPr>
          <w:p w14:paraId="227DE9B8" w14:textId="77777777" w:rsidR="00A74791" w:rsidRPr="000D1C0B" w:rsidRDefault="00A74791" w:rsidP="00A74791">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 N°127/2022</w:t>
            </w:r>
          </w:p>
        </w:tc>
        <w:tc>
          <w:tcPr>
            <w:tcW w:w="2582" w:type="dxa"/>
          </w:tcPr>
          <w:p w14:paraId="537BFB34"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bCs/>
                <w:spacing w:val="-3"/>
                <w:sz w:val="18"/>
                <w:szCs w:val="18"/>
              </w:rPr>
              <w:t>Notificación de información financiera de sociedades operadoras</w:t>
            </w:r>
          </w:p>
        </w:tc>
        <w:tc>
          <w:tcPr>
            <w:tcW w:w="3666" w:type="dxa"/>
          </w:tcPr>
          <w:p w14:paraId="5660DF0B" w14:textId="3E68217D" w:rsidR="00A74791" w:rsidRPr="000D1C0B" w:rsidRDefault="00A74791" w:rsidP="00A7479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 xml:space="preserve">Numeral 6 del literal a del título II: </w:t>
            </w:r>
          </w:p>
          <w:p w14:paraId="5D598B13"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p>
          <w:p w14:paraId="60507015" w14:textId="264F7753"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Los estados financieros de las sociedades operadoras correspondientes a marzo y septiembre deberán ser presentados a esta Superintendencia dentro del plazo de </w:t>
            </w:r>
            <w:r w:rsidRPr="000D1C0B">
              <w:rPr>
                <w:rFonts w:ascii="Arial" w:hAnsi="Arial" w:cs="Arial"/>
                <w:b/>
                <w:bCs/>
                <w:sz w:val="18"/>
                <w:szCs w:val="18"/>
              </w:rPr>
              <w:t>sesenta (60) días</w:t>
            </w:r>
            <w:r w:rsidRPr="000D1C0B">
              <w:rPr>
                <w:rFonts w:ascii="Arial" w:hAnsi="Arial" w:cs="Arial"/>
                <w:sz w:val="18"/>
                <w:szCs w:val="18"/>
              </w:rPr>
              <w:t xml:space="preserve">, </w:t>
            </w:r>
            <w:r w:rsidRPr="000D1C0B">
              <w:rPr>
                <w:rFonts w:ascii="Arial" w:hAnsi="Arial" w:cs="Arial"/>
                <w:b/>
                <w:bCs/>
                <w:sz w:val="18"/>
                <w:szCs w:val="18"/>
              </w:rPr>
              <w:t>contado desde la fecha de cierre del respectivo trimestre calendari</w:t>
            </w:r>
            <w:r w:rsidRPr="000D1C0B">
              <w:rPr>
                <w:rFonts w:ascii="Arial" w:hAnsi="Arial" w:cs="Arial"/>
                <w:sz w:val="18"/>
                <w:szCs w:val="18"/>
              </w:rPr>
              <w:t xml:space="preserve">o. En el mes de junio </w:t>
            </w:r>
            <w:r w:rsidRPr="000D1C0B">
              <w:rPr>
                <w:rFonts w:ascii="Arial" w:hAnsi="Arial" w:cs="Arial"/>
                <w:b/>
                <w:bCs/>
                <w:sz w:val="18"/>
                <w:szCs w:val="18"/>
              </w:rPr>
              <w:t>el plazo se extiende a 75 días, contado desde la fecha de cierre del respectivo trimestre calendario</w:t>
            </w:r>
            <w:r w:rsidRPr="000D1C0B">
              <w:rPr>
                <w:rFonts w:ascii="Arial" w:hAnsi="Arial" w:cs="Arial"/>
                <w:sz w:val="18"/>
                <w:szCs w:val="18"/>
              </w:rPr>
              <w:t xml:space="preserve">. Los estados financieros anuales correspondientes a diciembre de cada año deben ser auditados por auditores independientes, los que deberán estar registrados en la Comisión para el Mercado Financiero. Los citados estados financieros deberán remitirse dentro del plazo de </w:t>
            </w:r>
            <w:r w:rsidRPr="000D1C0B">
              <w:rPr>
                <w:rFonts w:ascii="Arial" w:hAnsi="Arial" w:cs="Arial"/>
                <w:b/>
                <w:bCs/>
                <w:sz w:val="18"/>
                <w:szCs w:val="18"/>
              </w:rPr>
              <w:t>noventa (90) días</w:t>
            </w:r>
            <w:r w:rsidRPr="000D1C0B">
              <w:rPr>
                <w:rFonts w:ascii="Arial" w:hAnsi="Arial" w:cs="Arial"/>
                <w:sz w:val="18"/>
                <w:szCs w:val="18"/>
              </w:rPr>
              <w:t>, contado desde la fecha de cierre del ejercicio anual.</w:t>
            </w:r>
          </w:p>
          <w:p w14:paraId="190F74D8" w14:textId="01023DBE" w:rsidR="00A74791" w:rsidRPr="000D1C0B" w:rsidRDefault="00A74791" w:rsidP="00A74791">
            <w:pPr>
              <w:autoSpaceDE w:val="0"/>
              <w:autoSpaceDN w:val="0"/>
              <w:adjustRightInd w:val="0"/>
              <w:spacing w:after="0" w:line="240" w:lineRule="auto"/>
              <w:jc w:val="both"/>
              <w:rPr>
                <w:rFonts w:ascii="Arial" w:hAnsi="Arial" w:cs="Arial"/>
                <w:sz w:val="18"/>
                <w:szCs w:val="18"/>
              </w:rPr>
            </w:pPr>
          </w:p>
          <w:p w14:paraId="4E074923"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p>
          <w:p w14:paraId="13644081" w14:textId="10777C95" w:rsidR="00A74791" w:rsidRPr="000D1C0B" w:rsidRDefault="00A74791" w:rsidP="00A7479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Primer y segundo párrafo del título III:</w:t>
            </w:r>
          </w:p>
          <w:p w14:paraId="080B5AC6" w14:textId="4B344728" w:rsidR="00A74791" w:rsidRPr="000D1C0B" w:rsidRDefault="00A74791" w:rsidP="00A74791">
            <w:pPr>
              <w:autoSpaceDE w:val="0"/>
              <w:autoSpaceDN w:val="0"/>
              <w:adjustRightInd w:val="0"/>
              <w:spacing w:after="0" w:line="240" w:lineRule="auto"/>
              <w:jc w:val="both"/>
              <w:rPr>
                <w:rFonts w:ascii="Arial" w:hAnsi="Arial" w:cs="Arial"/>
                <w:sz w:val="18"/>
                <w:szCs w:val="18"/>
              </w:rPr>
            </w:pPr>
          </w:p>
          <w:p w14:paraId="1CDB6615" w14:textId="7243CD76"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Las sociedades operadoras deberán remitir a esta Superintendencia dentro del plazo de </w:t>
            </w:r>
            <w:r w:rsidRPr="000D1C0B">
              <w:rPr>
                <w:rFonts w:ascii="Arial" w:hAnsi="Arial" w:cs="Arial"/>
                <w:b/>
                <w:bCs/>
                <w:sz w:val="18"/>
                <w:szCs w:val="18"/>
              </w:rPr>
              <w:t>noventa (90) días</w:t>
            </w:r>
            <w:r w:rsidRPr="000D1C0B">
              <w:rPr>
                <w:rFonts w:ascii="Arial" w:hAnsi="Arial" w:cs="Arial"/>
                <w:sz w:val="18"/>
                <w:szCs w:val="18"/>
              </w:rPr>
              <w:t xml:space="preserve">, contado desde la fecha de cierre del ejercicio anual los estados financieros correspondientes al 31 de diciembre del ejercicio anterior, los cuales deben ser auditados por auditores independientes, inscritos en el registro que </w:t>
            </w:r>
            <w:r w:rsidRPr="000D1C0B">
              <w:rPr>
                <w:rFonts w:ascii="Arial" w:hAnsi="Arial" w:cs="Arial"/>
                <w:sz w:val="18"/>
                <w:szCs w:val="18"/>
              </w:rPr>
              <w:lastRenderedPageBreak/>
              <w:t>para estos efectos lleva la Comisión para el Mercado Financiero</w:t>
            </w:r>
          </w:p>
          <w:p w14:paraId="0C307C82"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p>
          <w:p w14:paraId="4ED76EBD" w14:textId="7E9718EB"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En el plazo de </w:t>
            </w:r>
            <w:r w:rsidRPr="000D1C0B">
              <w:rPr>
                <w:rFonts w:ascii="Arial" w:hAnsi="Arial" w:cs="Arial"/>
                <w:b/>
                <w:bCs/>
                <w:sz w:val="18"/>
                <w:szCs w:val="18"/>
              </w:rPr>
              <w:t>30 días</w:t>
            </w:r>
            <w:r w:rsidRPr="000D1C0B">
              <w:rPr>
                <w:rFonts w:ascii="Arial" w:hAnsi="Arial" w:cs="Arial"/>
                <w:sz w:val="18"/>
                <w:szCs w:val="18"/>
              </w:rPr>
              <w:t xml:space="preserve"> posteriores a la fecha mencionada en el párrafo anterior, debe remitir a esta Superintendencia, copia del Informe a la Administración o Carta de Comentarios de Control, correspondiente a la sociedad operadora. Este envío deberá realizarse al igual que los estados financieros a través de la plataforma SAYN.</w:t>
            </w:r>
          </w:p>
        </w:tc>
        <w:tc>
          <w:tcPr>
            <w:tcW w:w="5247" w:type="dxa"/>
          </w:tcPr>
          <w:p w14:paraId="4242CF01" w14:textId="68D25E75" w:rsidR="00A74791" w:rsidRPr="000D1C0B" w:rsidRDefault="00A74791" w:rsidP="00A74791">
            <w:pPr>
              <w:spacing w:after="0" w:line="240" w:lineRule="auto"/>
              <w:jc w:val="both"/>
              <w:rPr>
                <w:rFonts w:ascii="Arial" w:hAnsi="Arial" w:cs="Arial"/>
                <w:b/>
                <w:bCs/>
                <w:sz w:val="18"/>
                <w:szCs w:val="18"/>
              </w:rPr>
            </w:pPr>
            <w:r w:rsidRPr="000D1C0B">
              <w:rPr>
                <w:rFonts w:ascii="Arial" w:hAnsi="Arial" w:cs="Arial"/>
                <w:b/>
                <w:bCs/>
                <w:sz w:val="18"/>
                <w:szCs w:val="18"/>
              </w:rPr>
              <w:lastRenderedPageBreak/>
              <w:t>Reemplácese el numeral 6 del literal a del título II:</w:t>
            </w:r>
          </w:p>
          <w:p w14:paraId="180C3F6B" w14:textId="77777777" w:rsidR="00A74791" w:rsidRPr="000D1C0B" w:rsidRDefault="00A74791" w:rsidP="00A74791">
            <w:pPr>
              <w:spacing w:after="0" w:line="240" w:lineRule="auto"/>
              <w:jc w:val="both"/>
              <w:rPr>
                <w:rFonts w:ascii="Arial" w:hAnsi="Arial" w:cs="Arial"/>
                <w:sz w:val="18"/>
                <w:szCs w:val="18"/>
              </w:rPr>
            </w:pPr>
          </w:p>
          <w:p w14:paraId="13DDECAB" w14:textId="09ADCBCD"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Los estados financieros de las sociedades operadoras correspondientes a marzo y septiembre deberán ser presentados a esta Superintendencia </w:t>
            </w:r>
            <w:r w:rsidR="00CD4C1B" w:rsidRPr="000D1C0B">
              <w:rPr>
                <w:rFonts w:ascii="Arial" w:hAnsi="Arial" w:cs="Arial"/>
                <w:b/>
                <w:bCs/>
                <w:sz w:val="18"/>
                <w:szCs w:val="18"/>
              </w:rPr>
              <w:t xml:space="preserve">a más tardar el </w:t>
            </w:r>
            <w:r w:rsidR="007A7FBF" w:rsidRPr="000D1C0B">
              <w:rPr>
                <w:rFonts w:ascii="Arial" w:hAnsi="Arial" w:cs="Arial"/>
                <w:b/>
                <w:bCs/>
                <w:sz w:val="18"/>
                <w:szCs w:val="18"/>
              </w:rPr>
              <w:t xml:space="preserve">31 de mayo y 30 de noviembre, </w:t>
            </w:r>
            <w:r w:rsidR="00925722" w:rsidRPr="000D1C0B">
              <w:rPr>
                <w:rFonts w:ascii="Arial" w:hAnsi="Arial" w:cs="Arial"/>
                <w:b/>
                <w:bCs/>
                <w:sz w:val="18"/>
                <w:szCs w:val="18"/>
              </w:rPr>
              <w:t xml:space="preserve">o </w:t>
            </w:r>
            <w:r w:rsidR="007A7FBF" w:rsidRPr="000D1C0B">
              <w:rPr>
                <w:rFonts w:ascii="Arial" w:hAnsi="Arial" w:cs="Arial"/>
                <w:b/>
                <w:bCs/>
                <w:sz w:val="18"/>
                <w:szCs w:val="18"/>
              </w:rPr>
              <w:t>el día hábil siguiente</w:t>
            </w:r>
            <w:r w:rsidR="00E57341" w:rsidRPr="000D1C0B">
              <w:rPr>
                <w:rFonts w:ascii="Arial" w:hAnsi="Arial" w:cs="Arial"/>
                <w:b/>
                <w:bCs/>
                <w:sz w:val="18"/>
                <w:szCs w:val="18"/>
              </w:rPr>
              <w:t>, en el mismo año,</w:t>
            </w:r>
            <w:r w:rsidR="00CD4C1B" w:rsidRPr="000D1C0B">
              <w:rPr>
                <w:rFonts w:ascii="Arial" w:hAnsi="Arial" w:cs="Arial"/>
                <w:b/>
                <w:bCs/>
                <w:sz w:val="18"/>
                <w:szCs w:val="18"/>
              </w:rPr>
              <w:t xml:space="preserve"> respectivamente</w:t>
            </w:r>
            <w:r w:rsidRPr="000D1C0B">
              <w:rPr>
                <w:rFonts w:ascii="Arial" w:hAnsi="Arial" w:cs="Arial"/>
                <w:sz w:val="18"/>
                <w:szCs w:val="18"/>
              </w:rPr>
              <w:t xml:space="preserve">. En el mes de junio </w:t>
            </w:r>
            <w:r w:rsidR="00E57341" w:rsidRPr="000D1C0B">
              <w:rPr>
                <w:rFonts w:ascii="Arial" w:hAnsi="Arial" w:cs="Arial"/>
                <w:b/>
                <w:bCs/>
                <w:sz w:val="18"/>
                <w:szCs w:val="18"/>
              </w:rPr>
              <w:t>se debe presentar el 15 de septiembre o el día hábil siguiente, en el mismo a</w:t>
            </w:r>
            <w:r w:rsidR="00E57341" w:rsidRPr="000D1C0B">
              <w:rPr>
                <w:rFonts w:ascii="Arial" w:hAnsi="Arial" w:cs="Arial"/>
                <w:sz w:val="18"/>
                <w:szCs w:val="18"/>
              </w:rPr>
              <w:t>ño</w:t>
            </w:r>
            <w:r w:rsidRPr="000D1C0B">
              <w:rPr>
                <w:rFonts w:ascii="Arial" w:hAnsi="Arial" w:cs="Arial"/>
                <w:sz w:val="18"/>
                <w:szCs w:val="18"/>
              </w:rPr>
              <w:t>. Los estados financieros anuales correspondientes a diciembre de cada año deben ser auditados por auditores independientes, los que deberán estar registrados en la Comisión para el Mercado Financiero. Los citados estados financieros deberán remitirse</w:t>
            </w:r>
            <w:r w:rsidRPr="000D1C0B">
              <w:rPr>
                <w:rFonts w:ascii="Arial" w:hAnsi="Arial" w:cs="Arial"/>
                <w:b/>
                <w:bCs/>
                <w:sz w:val="18"/>
                <w:szCs w:val="18"/>
              </w:rPr>
              <w:t xml:space="preserve"> </w:t>
            </w:r>
            <w:r w:rsidR="007A7FBF" w:rsidRPr="000D1C0B">
              <w:rPr>
                <w:rFonts w:ascii="Arial" w:hAnsi="Arial" w:cs="Arial"/>
                <w:b/>
                <w:bCs/>
                <w:sz w:val="18"/>
                <w:szCs w:val="18"/>
              </w:rPr>
              <w:t>a más tardar el 31 de marzo o el día hábil siguiente, del año posterior</w:t>
            </w:r>
            <w:r w:rsidR="00DF6B17">
              <w:rPr>
                <w:rFonts w:ascii="Arial" w:hAnsi="Arial" w:cs="Arial"/>
                <w:b/>
                <w:bCs/>
                <w:sz w:val="18"/>
                <w:szCs w:val="18"/>
              </w:rPr>
              <w:t>.</w:t>
            </w:r>
          </w:p>
          <w:p w14:paraId="43CD294C" w14:textId="5CB66869" w:rsidR="00A74791" w:rsidRPr="000D1C0B" w:rsidRDefault="00A74791" w:rsidP="00A74791">
            <w:pPr>
              <w:spacing w:after="0" w:line="240" w:lineRule="auto"/>
              <w:jc w:val="both"/>
              <w:rPr>
                <w:rFonts w:ascii="Arial" w:hAnsi="Arial" w:cs="Arial"/>
                <w:sz w:val="18"/>
                <w:szCs w:val="18"/>
              </w:rPr>
            </w:pPr>
          </w:p>
          <w:p w14:paraId="5CD06B2B" w14:textId="113A50FC" w:rsidR="007F5722" w:rsidRPr="000D1C0B" w:rsidRDefault="007F5722" w:rsidP="00A74791">
            <w:pPr>
              <w:spacing w:after="0" w:line="240" w:lineRule="auto"/>
              <w:jc w:val="both"/>
              <w:rPr>
                <w:rFonts w:ascii="Arial" w:hAnsi="Arial" w:cs="Arial"/>
                <w:sz w:val="18"/>
                <w:szCs w:val="18"/>
              </w:rPr>
            </w:pPr>
          </w:p>
          <w:p w14:paraId="0541841B" w14:textId="34207AEE" w:rsidR="007F5722" w:rsidRPr="000D1C0B" w:rsidRDefault="007F5722" w:rsidP="00A74791">
            <w:pPr>
              <w:spacing w:after="0" w:line="240" w:lineRule="auto"/>
              <w:jc w:val="both"/>
              <w:rPr>
                <w:rFonts w:ascii="Arial" w:hAnsi="Arial" w:cs="Arial"/>
                <w:sz w:val="18"/>
                <w:szCs w:val="18"/>
              </w:rPr>
            </w:pPr>
          </w:p>
          <w:p w14:paraId="5D18C78A" w14:textId="59AE76FC" w:rsidR="007F5722" w:rsidRPr="000D1C0B" w:rsidRDefault="007F5722" w:rsidP="00A74791">
            <w:pPr>
              <w:spacing w:after="0" w:line="240" w:lineRule="auto"/>
              <w:jc w:val="both"/>
              <w:rPr>
                <w:rFonts w:ascii="Arial" w:hAnsi="Arial" w:cs="Arial"/>
                <w:sz w:val="18"/>
                <w:szCs w:val="18"/>
              </w:rPr>
            </w:pPr>
          </w:p>
          <w:p w14:paraId="15178222" w14:textId="2AA24CDC" w:rsidR="007F5722" w:rsidRPr="000D1C0B" w:rsidRDefault="007F5722" w:rsidP="00A74791">
            <w:pPr>
              <w:spacing w:after="0" w:line="240" w:lineRule="auto"/>
              <w:jc w:val="both"/>
              <w:rPr>
                <w:rFonts w:ascii="Arial" w:hAnsi="Arial" w:cs="Arial"/>
                <w:sz w:val="18"/>
                <w:szCs w:val="18"/>
              </w:rPr>
            </w:pPr>
          </w:p>
          <w:p w14:paraId="2F6B6093" w14:textId="244C3FD3" w:rsidR="007F5722" w:rsidRPr="000D1C0B" w:rsidRDefault="007F5722" w:rsidP="00A74791">
            <w:pPr>
              <w:spacing w:after="0" w:line="240" w:lineRule="auto"/>
              <w:jc w:val="both"/>
              <w:rPr>
                <w:rFonts w:ascii="Arial" w:hAnsi="Arial" w:cs="Arial"/>
                <w:sz w:val="18"/>
                <w:szCs w:val="18"/>
              </w:rPr>
            </w:pPr>
          </w:p>
          <w:p w14:paraId="1C393F19" w14:textId="77777777" w:rsidR="007F5722" w:rsidRPr="000D1C0B" w:rsidRDefault="007F5722" w:rsidP="00A74791">
            <w:pPr>
              <w:spacing w:after="0" w:line="240" w:lineRule="auto"/>
              <w:jc w:val="both"/>
              <w:rPr>
                <w:rFonts w:ascii="Arial" w:hAnsi="Arial" w:cs="Arial"/>
                <w:sz w:val="18"/>
                <w:szCs w:val="18"/>
              </w:rPr>
            </w:pPr>
          </w:p>
          <w:p w14:paraId="30B625E5" w14:textId="31BD4B8C" w:rsidR="00A74791" w:rsidRPr="000D1C0B" w:rsidRDefault="00A74791" w:rsidP="00A74791">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 xml:space="preserve">Reemplácese el primer y segundo párrafo del título III: </w:t>
            </w:r>
          </w:p>
          <w:p w14:paraId="63547982" w14:textId="77777777" w:rsidR="00A74791" w:rsidRPr="000D1C0B" w:rsidRDefault="00A74791" w:rsidP="00A74791">
            <w:pPr>
              <w:autoSpaceDE w:val="0"/>
              <w:autoSpaceDN w:val="0"/>
              <w:adjustRightInd w:val="0"/>
              <w:spacing w:after="0" w:line="240" w:lineRule="auto"/>
              <w:jc w:val="both"/>
              <w:rPr>
                <w:rFonts w:ascii="Arial" w:hAnsi="Arial" w:cs="Arial"/>
                <w:b/>
                <w:bCs/>
                <w:sz w:val="18"/>
                <w:szCs w:val="18"/>
              </w:rPr>
            </w:pPr>
          </w:p>
          <w:p w14:paraId="4D9D212E" w14:textId="00682AAB"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Las sociedades operadoras deberán remitir a esta Superintendencia </w:t>
            </w:r>
            <w:r w:rsidR="007F5722" w:rsidRPr="000D1C0B">
              <w:rPr>
                <w:rFonts w:ascii="Arial" w:hAnsi="Arial" w:cs="Arial"/>
                <w:b/>
                <w:bCs/>
                <w:sz w:val="18"/>
                <w:szCs w:val="18"/>
              </w:rPr>
              <w:t>a más tardar el 31 de marzo o el día hábil siguiente, del año posterior</w:t>
            </w:r>
            <w:r w:rsidRPr="000D1C0B">
              <w:rPr>
                <w:rFonts w:ascii="Arial" w:hAnsi="Arial" w:cs="Arial"/>
                <w:sz w:val="18"/>
                <w:szCs w:val="18"/>
              </w:rPr>
              <w:t>, los estados financieros correspondientes al 31 de diciembre del ejercicio anterior, los cuales deben ser auditados por auditores independientes, inscritos en el registro que para estos efectos lleva la Comisión para el Mercado Financiero</w:t>
            </w:r>
          </w:p>
          <w:p w14:paraId="69DE2EA8" w14:textId="77777777" w:rsidR="00A74791" w:rsidRPr="000D1C0B" w:rsidRDefault="00A74791" w:rsidP="00A74791">
            <w:pPr>
              <w:autoSpaceDE w:val="0"/>
              <w:autoSpaceDN w:val="0"/>
              <w:adjustRightInd w:val="0"/>
              <w:spacing w:after="0" w:line="240" w:lineRule="auto"/>
              <w:jc w:val="both"/>
              <w:rPr>
                <w:rFonts w:ascii="Arial" w:hAnsi="Arial" w:cs="Arial"/>
                <w:sz w:val="18"/>
                <w:szCs w:val="18"/>
              </w:rPr>
            </w:pPr>
          </w:p>
          <w:p w14:paraId="4854E7A6" w14:textId="77777777" w:rsidR="00DF6B17" w:rsidRDefault="00DF6B17" w:rsidP="00A74791">
            <w:pPr>
              <w:autoSpaceDE w:val="0"/>
              <w:autoSpaceDN w:val="0"/>
              <w:adjustRightInd w:val="0"/>
              <w:spacing w:after="0" w:line="240" w:lineRule="auto"/>
              <w:jc w:val="both"/>
              <w:rPr>
                <w:rFonts w:ascii="Arial" w:hAnsi="Arial" w:cs="Arial"/>
                <w:sz w:val="18"/>
                <w:szCs w:val="18"/>
              </w:rPr>
            </w:pPr>
          </w:p>
          <w:p w14:paraId="63DC4B02" w14:textId="77777777" w:rsidR="00DF6B17" w:rsidRDefault="00DF6B17" w:rsidP="00A74791">
            <w:pPr>
              <w:autoSpaceDE w:val="0"/>
              <w:autoSpaceDN w:val="0"/>
              <w:adjustRightInd w:val="0"/>
              <w:spacing w:after="0" w:line="240" w:lineRule="auto"/>
              <w:jc w:val="both"/>
              <w:rPr>
                <w:rFonts w:ascii="Arial" w:hAnsi="Arial" w:cs="Arial"/>
                <w:sz w:val="18"/>
                <w:szCs w:val="18"/>
              </w:rPr>
            </w:pPr>
          </w:p>
          <w:p w14:paraId="6544A1EE" w14:textId="77777777" w:rsidR="00DF6B17" w:rsidRDefault="00DF6B17" w:rsidP="00A74791">
            <w:pPr>
              <w:autoSpaceDE w:val="0"/>
              <w:autoSpaceDN w:val="0"/>
              <w:adjustRightInd w:val="0"/>
              <w:spacing w:after="0" w:line="240" w:lineRule="auto"/>
              <w:jc w:val="both"/>
              <w:rPr>
                <w:rFonts w:ascii="Arial" w:hAnsi="Arial" w:cs="Arial"/>
                <w:sz w:val="18"/>
                <w:szCs w:val="18"/>
              </w:rPr>
            </w:pPr>
          </w:p>
          <w:p w14:paraId="7D4BEA6A" w14:textId="77777777" w:rsidR="00DF6B17" w:rsidRDefault="00DF6B17" w:rsidP="00A74791">
            <w:pPr>
              <w:autoSpaceDE w:val="0"/>
              <w:autoSpaceDN w:val="0"/>
              <w:adjustRightInd w:val="0"/>
              <w:spacing w:after="0" w:line="240" w:lineRule="auto"/>
              <w:jc w:val="both"/>
              <w:rPr>
                <w:rFonts w:ascii="Arial" w:hAnsi="Arial" w:cs="Arial"/>
                <w:sz w:val="18"/>
                <w:szCs w:val="18"/>
              </w:rPr>
            </w:pPr>
          </w:p>
          <w:p w14:paraId="2DA9668F" w14:textId="1505098C" w:rsidR="00A74791" w:rsidRPr="000D1C0B" w:rsidRDefault="00A74791" w:rsidP="00A74791">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En el plazo de </w:t>
            </w:r>
            <w:r w:rsidRPr="000D1C0B">
              <w:rPr>
                <w:rFonts w:ascii="Arial" w:hAnsi="Arial" w:cs="Arial"/>
                <w:b/>
                <w:bCs/>
                <w:sz w:val="18"/>
                <w:szCs w:val="18"/>
              </w:rPr>
              <w:t>30 días hábiles</w:t>
            </w:r>
            <w:r w:rsidRPr="000D1C0B">
              <w:rPr>
                <w:rFonts w:ascii="Arial" w:hAnsi="Arial" w:cs="Arial"/>
                <w:sz w:val="18"/>
                <w:szCs w:val="18"/>
              </w:rPr>
              <w:t xml:space="preserve"> posteriores a la fecha mencionada en el párrafo anterior, debe remitir a esta Superintendencia, copia del Informe a la Administración o Carta de Comentarios de Control, correspondiente a la sociedad operadora. Este envío deberá realizarse al igual que los estados financieros a través de la plataforma SAYN.</w:t>
            </w:r>
          </w:p>
        </w:tc>
      </w:tr>
    </w:tbl>
    <w:p w14:paraId="3D397A19" w14:textId="3528B102" w:rsidR="007509D6" w:rsidRPr="000D1C0B" w:rsidRDefault="007509D6" w:rsidP="00B837A7">
      <w:pPr>
        <w:spacing w:after="0" w:line="240" w:lineRule="auto"/>
        <w:jc w:val="both"/>
        <w:rPr>
          <w:rFonts w:ascii="Arial" w:hAnsi="Arial" w:cs="Arial"/>
          <w:bCs/>
          <w:spacing w:val="-3"/>
          <w:sz w:val="18"/>
          <w:szCs w:val="18"/>
        </w:rPr>
      </w:pPr>
    </w:p>
    <w:p w14:paraId="1DE4349E" w14:textId="680948EF" w:rsidR="00A564AA" w:rsidRPr="000D1C0B" w:rsidRDefault="0028455C" w:rsidP="0028455C">
      <w:pPr>
        <w:spacing w:after="0" w:line="240" w:lineRule="auto"/>
        <w:jc w:val="both"/>
        <w:rPr>
          <w:rFonts w:ascii="Arial" w:hAnsi="Arial" w:cs="Arial"/>
          <w:sz w:val="18"/>
          <w:szCs w:val="18"/>
        </w:rPr>
      </w:pPr>
      <w:r w:rsidRPr="000D1C0B">
        <w:rPr>
          <w:rFonts w:ascii="Arial" w:hAnsi="Arial" w:cs="Arial"/>
          <w:sz w:val="18"/>
          <w:szCs w:val="18"/>
        </w:rPr>
        <w:t>En todo lo no modificado siguen plenamente vigentes las circulares indicadas.</w:t>
      </w:r>
      <w:r w:rsidRPr="000D1C0B">
        <w:rPr>
          <w:rStyle w:val="cf01"/>
          <w:rFonts w:ascii="Arial" w:hAnsi="Arial" w:cs="Arial"/>
        </w:rPr>
        <w:t xml:space="preserve"> Todas las modificaciones </w:t>
      </w:r>
      <w:r w:rsidR="003D2C70" w:rsidRPr="000D1C0B">
        <w:rPr>
          <w:rStyle w:val="cf01"/>
          <w:rFonts w:ascii="Arial" w:hAnsi="Arial" w:cs="Arial"/>
        </w:rPr>
        <w:t>individualizadas</w:t>
      </w:r>
      <w:r w:rsidRPr="000D1C0B">
        <w:rPr>
          <w:rStyle w:val="cf01"/>
          <w:rFonts w:ascii="Arial" w:hAnsi="Arial" w:cs="Arial"/>
        </w:rPr>
        <w:t>, se encontrarán incorporadas en las respectivas circulares que modifican</w:t>
      </w:r>
      <w:r w:rsidR="00177CB5" w:rsidRPr="000D1C0B">
        <w:rPr>
          <w:rStyle w:val="cf01"/>
          <w:rFonts w:ascii="Arial" w:hAnsi="Arial" w:cs="Arial"/>
        </w:rPr>
        <w:t xml:space="preserve"> una vez </w:t>
      </w:r>
      <w:proofErr w:type="gramStart"/>
      <w:r w:rsidR="00177CB5" w:rsidRPr="000D1C0B">
        <w:rPr>
          <w:rStyle w:val="cf01"/>
          <w:rFonts w:ascii="Arial" w:hAnsi="Arial" w:cs="Arial"/>
        </w:rPr>
        <w:t>entrada en vigencia</w:t>
      </w:r>
      <w:proofErr w:type="gramEnd"/>
      <w:r w:rsidR="00177CB5" w:rsidRPr="000D1C0B">
        <w:rPr>
          <w:rStyle w:val="cf01"/>
          <w:rFonts w:ascii="Arial" w:hAnsi="Arial" w:cs="Arial"/>
        </w:rPr>
        <w:t xml:space="preserve"> esta circular</w:t>
      </w:r>
      <w:r w:rsidRPr="000D1C0B">
        <w:rPr>
          <w:rStyle w:val="cf01"/>
          <w:rFonts w:ascii="Arial" w:hAnsi="Arial" w:cs="Arial"/>
        </w:rPr>
        <w:t>.</w:t>
      </w:r>
    </w:p>
    <w:p w14:paraId="0B2BFB86" w14:textId="77777777" w:rsidR="00F70056" w:rsidRPr="000D1C0B" w:rsidRDefault="00F70056" w:rsidP="00B837A7">
      <w:pPr>
        <w:spacing w:after="0" w:line="240" w:lineRule="auto"/>
        <w:jc w:val="both"/>
        <w:rPr>
          <w:rFonts w:ascii="Arial" w:hAnsi="Arial" w:cs="Arial"/>
          <w:bCs/>
          <w:spacing w:val="-3"/>
          <w:sz w:val="18"/>
          <w:szCs w:val="18"/>
        </w:rPr>
      </w:pPr>
    </w:p>
    <w:p w14:paraId="482CFD4F" w14:textId="6248AC91" w:rsidR="00A564AA" w:rsidRPr="000D1C0B" w:rsidRDefault="00A564AA" w:rsidP="00C033AD">
      <w:pPr>
        <w:pStyle w:val="Ttulo1"/>
        <w:numPr>
          <w:ilvl w:val="0"/>
          <w:numId w:val="43"/>
        </w:numPr>
        <w:jc w:val="left"/>
        <w:rPr>
          <w:sz w:val="18"/>
          <w:szCs w:val="18"/>
        </w:rPr>
      </w:pPr>
      <w:r w:rsidRPr="000D1C0B">
        <w:rPr>
          <w:sz w:val="18"/>
          <w:szCs w:val="18"/>
        </w:rPr>
        <w:t xml:space="preserve">PLAZOS </w:t>
      </w:r>
      <w:r w:rsidR="00CA417F" w:rsidRPr="000D1C0B">
        <w:rPr>
          <w:sz w:val="18"/>
          <w:szCs w:val="18"/>
        </w:rPr>
        <w:t>SIN MODIFICAR</w:t>
      </w:r>
    </w:p>
    <w:p w14:paraId="7FF55FF9" w14:textId="2645EE34" w:rsidR="007509D6" w:rsidRPr="000D1C0B" w:rsidRDefault="007509D6" w:rsidP="00B837A7">
      <w:pPr>
        <w:spacing w:after="0" w:line="240" w:lineRule="auto"/>
        <w:jc w:val="both"/>
        <w:rPr>
          <w:rFonts w:ascii="Arial" w:hAnsi="Arial" w:cs="Arial"/>
          <w:bCs/>
          <w:spacing w:val="-3"/>
          <w:sz w:val="18"/>
          <w:szCs w:val="18"/>
        </w:rPr>
      </w:pPr>
    </w:p>
    <w:p w14:paraId="0A8E0624" w14:textId="617BA0F0" w:rsidR="00357BF3" w:rsidRPr="000D1C0B" w:rsidRDefault="008A7DCD" w:rsidP="00357BF3">
      <w:pPr>
        <w:spacing w:after="0" w:line="240" w:lineRule="auto"/>
        <w:jc w:val="both"/>
        <w:rPr>
          <w:rFonts w:ascii="Arial" w:hAnsi="Arial" w:cs="Arial"/>
          <w:bCs/>
          <w:spacing w:val="-3"/>
          <w:sz w:val="18"/>
          <w:szCs w:val="18"/>
        </w:rPr>
      </w:pPr>
      <w:r w:rsidRPr="000D1C0B">
        <w:rPr>
          <w:rFonts w:ascii="Arial" w:hAnsi="Arial" w:cs="Arial"/>
          <w:bCs/>
          <w:spacing w:val="-3"/>
          <w:sz w:val="18"/>
          <w:szCs w:val="18"/>
        </w:rPr>
        <w:t>Finalmente</w:t>
      </w:r>
      <w:r w:rsidR="00357BF3" w:rsidRPr="000D1C0B">
        <w:rPr>
          <w:rFonts w:ascii="Arial" w:hAnsi="Arial" w:cs="Arial"/>
          <w:bCs/>
          <w:spacing w:val="-3"/>
          <w:sz w:val="18"/>
          <w:szCs w:val="18"/>
        </w:rPr>
        <w:t xml:space="preserve">, para mejor conocimiento, se individualiza la normativa que no experimenta cambios respecto a los plazos de </w:t>
      </w:r>
      <w:r w:rsidR="00690B30" w:rsidRPr="000D1C0B">
        <w:rPr>
          <w:rFonts w:ascii="Arial" w:hAnsi="Arial" w:cs="Arial"/>
          <w:bCs/>
          <w:spacing w:val="-3"/>
          <w:sz w:val="18"/>
          <w:szCs w:val="18"/>
        </w:rPr>
        <w:t xml:space="preserve">las </w:t>
      </w:r>
      <w:r w:rsidR="00357BF3" w:rsidRPr="000D1C0B">
        <w:rPr>
          <w:rFonts w:ascii="Arial" w:hAnsi="Arial" w:cs="Arial"/>
          <w:bCs/>
          <w:spacing w:val="-3"/>
          <w:sz w:val="18"/>
          <w:szCs w:val="18"/>
        </w:rPr>
        <w:t>notificaciones.</w:t>
      </w:r>
    </w:p>
    <w:p w14:paraId="0F87B7B6" w14:textId="207D930E" w:rsidR="00357BF3" w:rsidRPr="000D1C0B" w:rsidRDefault="00357BF3" w:rsidP="00357BF3">
      <w:pPr>
        <w:spacing w:after="0" w:line="240" w:lineRule="auto"/>
        <w:jc w:val="both"/>
        <w:rPr>
          <w:rFonts w:ascii="Arial" w:hAnsi="Arial" w:cs="Arial"/>
          <w:bCs/>
          <w:spacing w:val="-3"/>
          <w:sz w:val="18"/>
          <w:szCs w:val="18"/>
        </w:rPr>
      </w:pPr>
    </w:p>
    <w:p w14:paraId="4F43A81C" w14:textId="37D06032" w:rsidR="007509D6" w:rsidRPr="000D1C0B" w:rsidRDefault="007509D6" w:rsidP="007509D6">
      <w:pPr>
        <w:spacing w:after="0" w:line="240" w:lineRule="auto"/>
        <w:jc w:val="center"/>
        <w:rPr>
          <w:rFonts w:ascii="Arial" w:hAnsi="Arial" w:cs="Arial"/>
          <w:spacing w:val="-3"/>
          <w:sz w:val="18"/>
          <w:szCs w:val="18"/>
          <w:u w:val="single"/>
        </w:rPr>
      </w:pPr>
      <w:r w:rsidRPr="000D1C0B">
        <w:rPr>
          <w:rFonts w:ascii="Arial" w:hAnsi="Arial" w:cs="Arial"/>
          <w:spacing w:val="-3"/>
          <w:sz w:val="18"/>
          <w:szCs w:val="18"/>
          <w:u w:val="single"/>
        </w:rPr>
        <w:t xml:space="preserve">Cuadro N°5: </w:t>
      </w:r>
      <w:r w:rsidR="00936F6F" w:rsidRPr="000D1C0B">
        <w:rPr>
          <w:rFonts w:ascii="Arial" w:hAnsi="Arial" w:cs="Arial"/>
          <w:spacing w:val="-3"/>
          <w:sz w:val="18"/>
          <w:szCs w:val="18"/>
          <w:u w:val="single"/>
        </w:rPr>
        <w:t>Normativa de plazos de notificaciones sin cambios</w:t>
      </w:r>
    </w:p>
    <w:p w14:paraId="7E03EB15" w14:textId="77777777" w:rsidR="003574A3" w:rsidRPr="000D1C0B" w:rsidRDefault="003574A3" w:rsidP="00475F0D">
      <w:pPr>
        <w:spacing w:after="0" w:line="240" w:lineRule="auto"/>
        <w:ind w:left="284"/>
        <w:jc w:val="both"/>
        <w:rPr>
          <w:rFonts w:ascii="Arial" w:hAnsi="Arial" w:cs="Arial"/>
          <w:b/>
          <w:spacing w:val="-3"/>
          <w:sz w:val="18"/>
          <w:szCs w:val="18"/>
        </w:rPr>
      </w:pPr>
    </w:p>
    <w:tbl>
      <w:tblPr>
        <w:tblStyle w:val="Tablaconcuadrcula"/>
        <w:tblW w:w="13178" w:type="dxa"/>
        <w:tblLook w:val="04A0" w:firstRow="1" w:lastRow="0" w:firstColumn="1" w:lastColumn="0" w:noHBand="0" w:noVBand="1"/>
      </w:tblPr>
      <w:tblGrid>
        <w:gridCol w:w="611"/>
        <w:gridCol w:w="1227"/>
        <w:gridCol w:w="1843"/>
        <w:gridCol w:w="9497"/>
      </w:tblGrid>
      <w:tr w:rsidR="00EE631D" w:rsidRPr="000D1C0B" w14:paraId="0D52D5C0" w14:textId="1878238B" w:rsidTr="002643A1">
        <w:trPr>
          <w:trHeight w:val="512"/>
          <w:tblHeader/>
        </w:trPr>
        <w:tc>
          <w:tcPr>
            <w:tcW w:w="611" w:type="dxa"/>
            <w:tcBorders>
              <w:bottom w:val="single" w:sz="4" w:space="0" w:color="auto"/>
            </w:tcBorders>
            <w:shd w:val="clear" w:color="auto" w:fill="8EAADB" w:themeFill="accent1" w:themeFillTint="99"/>
            <w:vAlign w:val="center"/>
          </w:tcPr>
          <w:p w14:paraId="04E2C08A" w14:textId="2E4255AA" w:rsidR="00EE631D" w:rsidRPr="000D1C0B" w:rsidRDefault="00EE631D" w:rsidP="00472BEB">
            <w:pPr>
              <w:spacing w:after="0" w:line="240" w:lineRule="auto"/>
              <w:jc w:val="center"/>
              <w:rPr>
                <w:rFonts w:ascii="Arial" w:hAnsi="Arial" w:cs="Arial"/>
                <w:b/>
                <w:bCs/>
                <w:spacing w:val="-3"/>
                <w:sz w:val="18"/>
                <w:szCs w:val="18"/>
              </w:rPr>
            </w:pPr>
            <w:bookmarkStart w:id="0" w:name="_Hlk105617640"/>
            <w:proofErr w:type="spellStart"/>
            <w:r w:rsidRPr="000D1C0B">
              <w:rPr>
                <w:rFonts w:ascii="Arial" w:hAnsi="Arial" w:cs="Arial"/>
                <w:b/>
                <w:bCs/>
                <w:spacing w:val="-3"/>
                <w:sz w:val="18"/>
                <w:szCs w:val="18"/>
              </w:rPr>
              <w:t>N°</w:t>
            </w:r>
            <w:proofErr w:type="spellEnd"/>
          </w:p>
        </w:tc>
        <w:tc>
          <w:tcPr>
            <w:tcW w:w="1227" w:type="dxa"/>
            <w:tcBorders>
              <w:bottom w:val="single" w:sz="4" w:space="0" w:color="auto"/>
            </w:tcBorders>
            <w:shd w:val="clear" w:color="auto" w:fill="8EAADB" w:themeFill="accent1" w:themeFillTint="99"/>
            <w:vAlign w:val="center"/>
          </w:tcPr>
          <w:p w14:paraId="5B00019B" w14:textId="3EF0C19A" w:rsidR="00EE631D" w:rsidRPr="000D1C0B" w:rsidRDefault="00EE631D" w:rsidP="00EA6725">
            <w:pPr>
              <w:spacing w:after="0" w:line="240" w:lineRule="auto"/>
              <w:jc w:val="center"/>
              <w:rPr>
                <w:rFonts w:ascii="Arial" w:hAnsi="Arial" w:cs="Arial"/>
                <w:b/>
                <w:bCs/>
                <w:spacing w:val="-3"/>
                <w:sz w:val="18"/>
                <w:szCs w:val="18"/>
              </w:rPr>
            </w:pPr>
            <w:r w:rsidRPr="000D1C0B">
              <w:rPr>
                <w:rFonts w:ascii="Arial" w:hAnsi="Arial" w:cs="Arial"/>
                <w:b/>
                <w:bCs/>
                <w:spacing w:val="-3"/>
                <w:sz w:val="18"/>
                <w:szCs w:val="18"/>
              </w:rPr>
              <w:t>Circular</w:t>
            </w:r>
          </w:p>
        </w:tc>
        <w:tc>
          <w:tcPr>
            <w:tcW w:w="1843" w:type="dxa"/>
            <w:tcBorders>
              <w:bottom w:val="single" w:sz="4" w:space="0" w:color="auto"/>
            </w:tcBorders>
            <w:shd w:val="clear" w:color="auto" w:fill="8EAADB" w:themeFill="accent1" w:themeFillTint="99"/>
            <w:vAlign w:val="center"/>
          </w:tcPr>
          <w:p w14:paraId="5D5AE69F" w14:textId="6050D1D7" w:rsidR="00EE631D" w:rsidRPr="000D1C0B" w:rsidRDefault="00EE631D" w:rsidP="00472BEB">
            <w:pPr>
              <w:spacing w:after="0" w:line="240" w:lineRule="auto"/>
              <w:jc w:val="center"/>
              <w:rPr>
                <w:rFonts w:ascii="Arial" w:hAnsi="Arial" w:cs="Arial"/>
                <w:b/>
                <w:bCs/>
                <w:spacing w:val="-3"/>
                <w:sz w:val="18"/>
                <w:szCs w:val="18"/>
              </w:rPr>
            </w:pPr>
            <w:r w:rsidRPr="000D1C0B">
              <w:rPr>
                <w:rFonts w:ascii="Arial" w:hAnsi="Arial" w:cs="Arial"/>
                <w:b/>
                <w:bCs/>
                <w:spacing w:val="-3"/>
                <w:sz w:val="18"/>
                <w:szCs w:val="18"/>
              </w:rPr>
              <w:t>Notificaciones relacionadas</w:t>
            </w:r>
          </w:p>
        </w:tc>
        <w:tc>
          <w:tcPr>
            <w:tcW w:w="9497" w:type="dxa"/>
            <w:tcBorders>
              <w:bottom w:val="single" w:sz="4" w:space="0" w:color="auto"/>
            </w:tcBorders>
            <w:shd w:val="clear" w:color="auto" w:fill="8EAADB" w:themeFill="accent1" w:themeFillTint="99"/>
            <w:vAlign w:val="center"/>
          </w:tcPr>
          <w:p w14:paraId="2A4A7C17" w14:textId="67B9EED6" w:rsidR="00EE631D" w:rsidRPr="000D1C0B" w:rsidRDefault="00EE631D" w:rsidP="00472BEB">
            <w:pPr>
              <w:spacing w:after="0" w:line="240" w:lineRule="auto"/>
              <w:jc w:val="center"/>
              <w:rPr>
                <w:rFonts w:ascii="Arial" w:hAnsi="Arial" w:cs="Arial"/>
                <w:b/>
                <w:bCs/>
                <w:spacing w:val="-3"/>
                <w:sz w:val="18"/>
                <w:szCs w:val="18"/>
              </w:rPr>
            </w:pPr>
            <w:r w:rsidRPr="000D1C0B">
              <w:rPr>
                <w:rFonts w:ascii="Arial" w:hAnsi="Arial" w:cs="Arial"/>
                <w:b/>
                <w:bCs/>
                <w:spacing w:val="-3"/>
                <w:sz w:val="18"/>
                <w:szCs w:val="18"/>
              </w:rPr>
              <w:t>Articulado actual</w:t>
            </w:r>
          </w:p>
        </w:tc>
      </w:tr>
      <w:tr w:rsidR="00262BCA" w:rsidRPr="000D1C0B" w14:paraId="6BE76DF0" w14:textId="77777777" w:rsidTr="002643A1">
        <w:trPr>
          <w:trHeight w:val="512"/>
        </w:trPr>
        <w:tc>
          <w:tcPr>
            <w:tcW w:w="611" w:type="dxa"/>
            <w:vAlign w:val="center"/>
          </w:tcPr>
          <w:p w14:paraId="66B17A24" w14:textId="56DAA93E" w:rsidR="00262BCA" w:rsidRPr="000D1C0B" w:rsidRDefault="00262BCA" w:rsidP="00262BCA">
            <w:pPr>
              <w:spacing w:line="240" w:lineRule="auto"/>
              <w:jc w:val="center"/>
              <w:rPr>
                <w:rFonts w:ascii="Arial" w:hAnsi="Arial" w:cs="Arial"/>
                <w:bCs/>
                <w:spacing w:val="-3"/>
                <w:sz w:val="18"/>
                <w:szCs w:val="18"/>
              </w:rPr>
            </w:pPr>
            <w:r w:rsidRPr="000D1C0B">
              <w:rPr>
                <w:rFonts w:ascii="Arial" w:hAnsi="Arial" w:cs="Arial"/>
                <w:bCs/>
                <w:spacing w:val="-3"/>
                <w:sz w:val="18"/>
                <w:szCs w:val="18"/>
              </w:rPr>
              <w:t>1</w:t>
            </w:r>
          </w:p>
        </w:tc>
        <w:tc>
          <w:tcPr>
            <w:tcW w:w="1227" w:type="dxa"/>
            <w:vAlign w:val="center"/>
          </w:tcPr>
          <w:p w14:paraId="1083F9B9" w14:textId="77777777" w:rsidR="00D32F47" w:rsidRPr="000D1C0B" w:rsidRDefault="00262BCA" w:rsidP="00D32F47">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N°13/2020</w:t>
            </w:r>
          </w:p>
          <w:p w14:paraId="2000951B" w14:textId="0E7245A2" w:rsidR="00D32F47" w:rsidRPr="000D1C0B" w:rsidRDefault="00262BCA" w:rsidP="00D32F47">
            <w:pPr>
              <w:spacing w:line="240" w:lineRule="auto"/>
              <w:jc w:val="center"/>
              <w:rPr>
                <w:rFonts w:ascii="Arial" w:hAnsi="Arial" w:cs="Arial"/>
                <w:bCs/>
                <w:spacing w:val="-3"/>
                <w:sz w:val="18"/>
                <w:szCs w:val="18"/>
              </w:rPr>
            </w:pPr>
            <w:r w:rsidRPr="000D1C0B">
              <w:rPr>
                <w:rFonts w:ascii="Arial" w:hAnsi="Arial" w:cs="Arial"/>
                <w:bCs/>
                <w:spacing w:val="-3"/>
                <w:sz w:val="18"/>
                <w:szCs w:val="18"/>
              </w:rPr>
              <w:t xml:space="preserve">modificada </w:t>
            </w:r>
            <w:r w:rsidR="00D32F47" w:rsidRPr="000D1C0B">
              <w:rPr>
                <w:rFonts w:ascii="Arial" w:hAnsi="Arial" w:cs="Arial"/>
                <w:bCs/>
                <w:spacing w:val="-3"/>
                <w:sz w:val="18"/>
                <w:szCs w:val="18"/>
              </w:rPr>
              <w:t>por la</w:t>
            </w:r>
          </w:p>
          <w:p w14:paraId="626CB692" w14:textId="50E611B2" w:rsidR="00262BCA" w:rsidRPr="000D1C0B" w:rsidRDefault="00262BCA" w:rsidP="00D32F47">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w:t>
            </w:r>
          </w:p>
          <w:p w14:paraId="055A101C" w14:textId="353D8597" w:rsidR="00262BCA" w:rsidRPr="000D1C0B" w:rsidRDefault="00262BCA" w:rsidP="00D32F47">
            <w:pPr>
              <w:spacing w:after="0"/>
              <w:jc w:val="center"/>
              <w:rPr>
                <w:rFonts w:ascii="Arial" w:hAnsi="Arial" w:cs="Arial"/>
                <w:bCs/>
                <w:spacing w:val="-3"/>
                <w:sz w:val="18"/>
                <w:szCs w:val="18"/>
              </w:rPr>
            </w:pPr>
            <w:r w:rsidRPr="000D1C0B">
              <w:rPr>
                <w:rFonts w:ascii="Arial" w:hAnsi="Arial" w:cs="Arial"/>
                <w:bCs/>
                <w:spacing w:val="-3"/>
                <w:sz w:val="18"/>
                <w:szCs w:val="18"/>
              </w:rPr>
              <w:t>N°35/2013, Circular N°51/2014</w:t>
            </w:r>
            <w:r w:rsidR="00832781" w:rsidRPr="000D1C0B">
              <w:rPr>
                <w:rFonts w:ascii="Arial" w:hAnsi="Arial" w:cs="Arial"/>
                <w:bCs/>
                <w:spacing w:val="-3"/>
                <w:sz w:val="18"/>
                <w:szCs w:val="18"/>
              </w:rPr>
              <w:t xml:space="preserve">, </w:t>
            </w:r>
          </w:p>
          <w:p w14:paraId="6B28BF29" w14:textId="057556C5" w:rsidR="00262BCA" w:rsidRPr="000D1C0B" w:rsidRDefault="00262BCA" w:rsidP="00D32F47">
            <w:pPr>
              <w:spacing w:after="0"/>
              <w:jc w:val="center"/>
              <w:rPr>
                <w:rFonts w:ascii="Arial" w:hAnsi="Arial" w:cs="Arial"/>
                <w:bCs/>
                <w:spacing w:val="-3"/>
                <w:sz w:val="18"/>
                <w:szCs w:val="18"/>
              </w:rPr>
            </w:pPr>
            <w:r w:rsidRPr="000D1C0B">
              <w:rPr>
                <w:rFonts w:ascii="Arial" w:hAnsi="Arial" w:cs="Arial"/>
                <w:bCs/>
                <w:spacing w:val="-3"/>
                <w:sz w:val="18"/>
                <w:szCs w:val="18"/>
              </w:rPr>
              <w:t>Circular</w:t>
            </w:r>
          </w:p>
          <w:p w14:paraId="153A828E" w14:textId="77777777" w:rsidR="00262BCA" w:rsidRPr="000D1C0B" w:rsidRDefault="00262BCA" w:rsidP="00D32F47">
            <w:pPr>
              <w:spacing w:after="0"/>
              <w:jc w:val="center"/>
              <w:rPr>
                <w:rFonts w:ascii="Arial" w:hAnsi="Arial" w:cs="Arial"/>
                <w:bCs/>
                <w:spacing w:val="-3"/>
                <w:sz w:val="18"/>
                <w:szCs w:val="18"/>
              </w:rPr>
            </w:pPr>
            <w:r w:rsidRPr="000D1C0B">
              <w:rPr>
                <w:rFonts w:ascii="Arial" w:hAnsi="Arial" w:cs="Arial"/>
                <w:bCs/>
                <w:spacing w:val="-3"/>
                <w:sz w:val="18"/>
                <w:szCs w:val="18"/>
              </w:rPr>
              <w:t>N°52/2014</w:t>
            </w:r>
          </w:p>
          <w:p w14:paraId="5E932176" w14:textId="77777777" w:rsidR="00262BCA" w:rsidRPr="000D1C0B" w:rsidRDefault="00262BCA" w:rsidP="00D32F47">
            <w:pPr>
              <w:spacing w:after="0" w:line="240" w:lineRule="auto"/>
              <w:jc w:val="center"/>
              <w:rPr>
                <w:rFonts w:ascii="Arial" w:hAnsi="Arial" w:cs="Arial"/>
                <w:bCs/>
                <w:spacing w:val="-3"/>
                <w:sz w:val="18"/>
                <w:szCs w:val="18"/>
              </w:rPr>
            </w:pPr>
            <w:r w:rsidRPr="000D1C0B">
              <w:rPr>
                <w:rFonts w:ascii="Arial" w:hAnsi="Arial" w:cs="Arial"/>
                <w:bCs/>
                <w:spacing w:val="-3"/>
                <w:sz w:val="18"/>
                <w:szCs w:val="18"/>
              </w:rPr>
              <w:t>y</w:t>
            </w:r>
          </w:p>
          <w:p w14:paraId="41A7AAB1" w14:textId="53C3D6A4" w:rsidR="00262BCA" w:rsidRPr="000D1C0B" w:rsidRDefault="00262BCA" w:rsidP="001D3D7E">
            <w:pPr>
              <w:spacing w:after="0" w:line="240" w:lineRule="auto"/>
              <w:jc w:val="center"/>
              <w:rPr>
                <w:rFonts w:ascii="Arial" w:hAnsi="Arial" w:cs="Arial"/>
                <w:bCs/>
                <w:spacing w:val="-3"/>
                <w:sz w:val="18"/>
                <w:szCs w:val="18"/>
              </w:rPr>
            </w:pPr>
            <w:r w:rsidRPr="000D1C0B">
              <w:rPr>
                <w:rFonts w:ascii="Arial" w:hAnsi="Arial" w:cs="Arial"/>
                <w:bCs/>
                <w:spacing w:val="-3"/>
                <w:sz w:val="18"/>
                <w:szCs w:val="18"/>
              </w:rPr>
              <w:lastRenderedPageBreak/>
              <w:t xml:space="preserve"> la Circular N°128/2022</w:t>
            </w:r>
          </w:p>
        </w:tc>
        <w:tc>
          <w:tcPr>
            <w:tcW w:w="1843" w:type="dxa"/>
            <w:vAlign w:val="center"/>
          </w:tcPr>
          <w:p w14:paraId="75459CA7" w14:textId="60811A4C" w:rsidR="00262BCA" w:rsidRPr="000D1C0B" w:rsidRDefault="00262BCA" w:rsidP="00262BCA">
            <w:pPr>
              <w:spacing w:after="0" w:line="240" w:lineRule="auto"/>
              <w:jc w:val="both"/>
              <w:rPr>
                <w:rFonts w:ascii="Arial" w:hAnsi="Arial" w:cs="Arial"/>
                <w:bCs/>
                <w:spacing w:val="-3"/>
                <w:sz w:val="18"/>
                <w:szCs w:val="18"/>
              </w:rPr>
            </w:pPr>
            <w:r w:rsidRPr="000D1C0B">
              <w:rPr>
                <w:rFonts w:ascii="Arial" w:hAnsi="Arial" w:cs="Arial"/>
                <w:bCs/>
                <w:spacing w:val="-3"/>
                <w:sz w:val="18"/>
                <w:szCs w:val="18"/>
              </w:rPr>
              <w:lastRenderedPageBreak/>
              <w:t>Notificación de modificación del/a coordinador/a de reclamos y/o representantes habilitados para tramitar reclamos casino de juego</w:t>
            </w:r>
          </w:p>
          <w:p w14:paraId="3C28E3C9" w14:textId="77777777" w:rsidR="00262BCA" w:rsidRPr="000D1C0B" w:rsidRDefault="00262BCA" w:rsidP="00262BCA">
            <w:pPr>
              <w:spacing w:after="0" w:line="240" w:lineRule="auto"/>
              <w:jc w:val="both"/>
              <w:rPr>
                <w:rFonts w:ascii="Arial" w:hAnsi="Arial" w:cs="Arial"/>
                <w:bCs/>
                <w:spacing w:val="-3"/>
                <w:sz w:val="18"/>
                <w:szCs w:val="18"/>
              </w:rPr>
            </w:pPr>
          </w:p>
          <w:p w14:paraId="584C2C8E" w14:textId="3DE6CD34" w:rsidR="00262BCA" w:rsidRPr="000D1C0B" w:rsidRDefault="00262BCA" w:rsidP="00262BCA">
            <w:pPr>
              <w:spacing w:after="0" w:line="240" w:lineRule="auto"/>
              <w:jc w:val="both"/>
              <w:rPr>
                <w:rFonts w:ascii="Arial" w:hAnsi="Arial" w:cs="Arial"/>
                <w:bCs/>
                <w:spacing w:val="-3"/>
                <w:sz w:val="18"/>
                <w:szCs w:val="18"/>
              </w:rPr>
            </w:pPr>
            <w:r w:rsidRPr="000D1C0B">
              <w:rPr>
                <w:rFonts w:ascii="Arial" w:hAnsi="Arial" w:cs="Arial"/>
                <w:bCs/>
                <w:spacing w:val="-3"/>
                <w:sz w:val="18"/>
                <w:szCs w:val="18"/>
              </w:rPr>
              <w:t xml:space="preserve">Notificación de modificación del/a coordinador/a de reclamos y/o representantes habilitados para </w:t>
            </w:r>
            <w:r w:rsidRPr="000D1C0B">
              <w:rPr>
                <w:rFonts w:ascii="Arial" w:hAnsi="Arial" w:cs="Arial"/>
                <w:bCs/>
                <w:spacing w:val="-3"/>
                <w:sz w:val="18"/>
                <w:szCs w:val="18"/>
              </w:rPr>
              <w:lastRenderedPageBreak/>
              <w:t>tramitar reclamos casino de juego municipal</w:t>
            </w:r>
          </w:p>
        </w:tc>
        <w:tc>
          <w:tcPr>
            <w:tcW w:w="9497" w:type="dxa"/>
            <w:vAlign w:val="center"/>
          </w:tcPr>
          <w:p w14:paraId="26D37493" w14:textId="77777777" w:rsidR="005F0E19" w:rsidRPr="000D1C0B" w:rsidRDefault="005F0E19" w:rsidP="005F0E19">
            <w:pPr>
              <w:autoSpaceDE w:val="0"/>
              <w:autoSpaceDN w:val="0"/>
              <w:adjustRightInd w:val="0"/>
              <w:spacing w:after="0" w:line="240" w:lineRule="auto"/>
              <w:rPr>
                <w:rFonts w:ascii="Arial" w:hAnsi="Arial" w:cs="Arial"/>
                <w:b/>
                <w:bCs/>
                <w:sz w:val="18"/>
                <w:szCs w:val="18"/>
              </w:rPr>
            </w:pPr>
            <w:r w:rsidRPr="000D1C0B">
              <w:rPr>
                <w:rFonts w:ascii="Arial" w:hAnsi="Arial" w:cs="Arial"/>
                <w:b/>
                <w:bCs/>
                <w:sz w:val="18"/>
                <w:szCs w:val="18"/>
              </w:rPr>
              <w:lastRenderedPageBreak/>
              <w:t>Tercer párrafo del numeral 2.1</w:t>
            </w:r>
          </w:p>
          <w:p w14:paraId="192BED7E" w14:textId="77777777" w:rsidR="005F0E19" w:rsidRPr="000D1C0B" w:rsidRDefault="005F0E19" w:rsidP="005F0E19">
            <w:pPr>
              <w:autoSpaceDE w:val="0"/>
              <w:autoSpaceDN w:val="0"/>
              <w:adjustRightInd w:val="0"/>
              <w:spacing w:after="0" w:line="240" w:lineRule="auto"/>
              <w:rPr>
                <w:rFonts w:ascii="Arial" w:hAnsi="Arial" w:cs="Arial"/>
                <w:sz w:val="18"/>
                <w:szCs w:val="18"/>
              </w:rPr>
            </w:pPr>
          </w:p>
          <w:p w14:paraId="4542B631" w14:textId="77777777" w:rsidR="005F0E19" w:rsidRPr="000D1C0B" w:rsidRDefault="005F0E19" w:rsidP="005F0E19">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Para los efectos de la interposición de reclamos mediante correo electrónico, las sociedades operadoras y concesionarias de casinos de juego deberán habilitar una dirección de correo electrónico exclusiva para su recepción. Dicha dirección deberá ser notificada ante esta Superintendencia en un plazo de</w:t>
            </w:r>
            <w:r w:rsidRPr="000D1C0B">
              <w:rPr>
                <w:rFonts w:ascii="Arial" w:hAnsi="Arial" w:cs="Arial"/>
                <w:b/>
                <w:bCs/>
                <w:sz w:val="18"/>
                <w:szCs w:val="18"/>
              </w:rPr>
              <w:t xml:space="preserve"> diez días hábiles</w:t>
            </w:r>
            <w:r w:rsidRPr="000D1C0B">
              <w:rPr>
                <w:rFonts w:ascii="Arial" w:hAnsi="Arial" w:cs="Arial"/>
                <w:sz w:val="18"/>
                <w:szCs w:val="18"/>
              </w:rPr>
              <w:t xml:space="preserve"> contados desde su modificación e informarse debidamente al público en las salas de juego, página web y folletería dispuesta para tal efecto”.</w:t>
            </w:r>
          </w:p>
          <w:p w14:paraId="2DB58E8F" w14:textId="77777777" w:rsidR="005F0E19" w:rsidRPr="000D1C0B" w:rsidRDefault="005F0E19" w:rsidP="00262BCA">
            <w:pPr>
              <w:pStyle w:val="Default"/>
              <w:numPr>
                <w:ilvl w:val="0"/>
                <w:numId w:val="30"/>
              </w:numPr>
              <w:jc w:val="both"/>
              <w:rPr>
                <w:color w:val="auto"/>
                <w:sz w:val="18"/>
                <w:szCs w:val="18"/>
              </w:rPr>
            </w:pPr>
          </w:p>
          <w:p w14:paraId="384039E7" w14:textId="1B039FF1" w:rsidR="00262BCA" w:rsidRPr="000D1C0B" w:rsidRDefault="00262BCA" w:rsidP="00262BCA">
            <w:pPr>
              <w:pStyle w:val="Default"/>
              <w:numPr>
                <w:ilvl w:val="0"/>
                <w:numId w:val="30"/>
              </w:numPr>
              <w:jc w:val="both"/>
              <w:rPr>
                <w:b/>
                <w:bCs/>
                <w:color w:val="auto"/>
                <w:sz w:val="18"/>
                <w:szCs w:val="18"/>
              </w:rPr>
            </w:pPr>
            <w:r w:rsidRPr="000D1C0B">
              <w:rPr>
                <w:b/>
                <w:bCs/>
                <w:color w:val="auto"/>
                <w:sz w:val="18"/>
                <w:szCs w:val="18"/>
              </w:rPr>
              <w:t>Tercer párrafo del numeral 2.7</w:t>
            </w:r>
          </w:p>
          <w:p w14:paraId="12FA1502" w14:textId="77777777" w:rsidR="00262BCA" w:rsidRPr="000D1C0B" w:rsidRDefault="00262BCA" w:rsidP="00262BCA">
            <w:pPr>
              <w:pStyle w:val="Default"/>
              <w:jc w:val="both"/>
              <w:rPr>
                <w:color w:val="auto"/>
                <w:sz w:val="18"/>
                <w:szCs w:val="18"/>
              </w:rPr>
            </w:pPr>
          </w:p>
          <w:p w14:paraId="7D561EC5" w14:textId="68658C31" w:rsidR="00262BCA" w:rsidRPr="000D1C0B" w:rsidRDefault="00262BCA" w:rsidP="00262BCA">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Los casinos de juego deberán conformar una nómina de personas habilitadas para actuar en su nombre y representación en la recepción, tramitación y respuesta de los reclamos que se presenten. Dicha nómina y sus actualizaciones se deberán notificar a esta Superintendencia a través del formulario dispuesto en el Sistema SAYN con un plazo máximo de </w:t>
            </w:r>
            <w:r w:rsidRPr="000D1C0B">
              <w:rPr>
                <w:rFonts w:ascii="Arial" w:hAnsi="Arial" w:cs="Arial"/>
                <w:b/>
                <w:bCs/>
                <w:sz w:val="18"/>
                <w:szCs w:val="18"/>
              </w:rPr>
              <w:t>10 días hábiles</w:t>
            </w:r>
            <w:r w:rsidRPr="000D1C0B">
              <w:rPr>
                <w:rFonts w:ascii="Arial" w:hAnsi="Arial" w:cs="Arial"/>
                <w:sz w:val="18"/>
                <w:szCs w:val="18"/>
              </w:rPr>
              <w:t xml:space="preserve"> contado desde su creación y/o actualización. Una de las personas designadas por el casino deberá cumplir el rol de Coordinador de Reclamos y, en el ejercicio de tal función, deberá </w:t>
            </w:r>
            <w:r w:rsidRPr="000D1C0B">
              <w:rPr>
                <w:rFonts w:ascii="Arial" w:hAnsi="Arial" w:cs="Arial"/>
                <w:sz w:val="18"/>
                <w:szCs w:val="18"/>
              </w:rPr>
              <w:lastRenderedPageBreak/>
              <w:t xml:space="preserve">estar a disposición de la Superintendencia para los efectos derivados de la tramitación y consulta de los reclamos que se interpongan conforme a las presentes instrucciones. </w:t>
            </w:r>
          </w:p>
        </w:tc>
      </w:tr>
      <w:tr w:rsidR="00993AC0" w:rsidRPr="000D1C0B" w14:paraId="0C6E3682" w14:textId="77777777" w:rsidTr="002643A1">
        <w:trPr>
          <w:trHeight w:val="512"/>
        </w:trPr>
        <w:tc>
          <w:tcPr>
            <w:tcW w:w="611" w:type="dxa"/>
            <w:vAlign w:val="center"/>
          </w:tcPr>
          <w:p w14:paraId="0D258A00" w14:textId="6AF5E826" w:rsidR="00993AC0" w:rsidRPr="000D1C0B" w:rsidRDefault="00DB3E6F" w:rsidP="00993AC0">
            <w:pPr>
              <w:spacing w:line="240" w:lineRule="auto"/>
              <w:jc w:val="center"/>
              <w:rPr>
                <w:rFonts w:ascii="Arial" w:hAnsi="Arial" w:cs="Arial"/>
                <w:bCs/>
                <w:spacing w:val="-3"/>
                <w:sz w:val="18"/>
                <w:szCs w:val="18"/>
              </w:rPr>
            </w:pPr>
            <w:r w:rsidRPr="000D1C0B">
              <w:rPr>
                <w:rFonts w:ascii="Arial" w:hAnsi="Arial" w:cs="Arial"/>
                <w:bCs/>
                <w:spacing w:val="-3"/>
                <w:sz w:val="18"/>
                <w:szCs w:val="18"/>
              </w:rPr>
              <w:lastRenderedPageBreak/>
              <w:t>2</w:t>
            </w:r>
          </w:p>
        </w:tc>
        <w:tc>
          <w:tcPr>
            <w:tcW w:w="1227" w:type="dxa"/>
            <w:vAlign w:val="center"/>
          </w:tcPr>
          <w:p w14:paraId="44E06399" w14:textId="17AE08A6" w:rsidR="00993AC0" w:rsidRPr="000D1C0B" w:rsidRDefault="00993AC0" w:rsidP="00993AC0">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N°13/2020</w:t>
            </w:r>
          </w:p>
          <w:p w14:paraId="2C212426" w14:textId="77777777" w:rsidR="00993AC0" w:rsidRPr="000D1C0B" w:rsidRDefault="00993AC0" w:rsidP="00993AC0">
            <w:pPr>
              <w:spacing w:line="240" w:lineRule="auto"/>
              <w:jc w:val="center"/>
              <w:rPr>
                <w:rFonts w:ascii="Arial" w:hAnsi="Arial" w:cs="Arial"/>
                <w:bCs/>
                <w:spacing w:val="-3"/>
                <w:sz w:val="18"/>
                <w:szCs w:val="18"/>
              </w:rPr>
            </w:pPr>
            <w:r w:rsidRPr="000D1C0B">
              <w:rPr>
                <w:rFonts w:ascii="Arial" w:hAnsi="Arial" w:cs="Arial"/>
                <w:bCs/>
                <w:spacing w:val="-3"/>
                <w:sz w:val="18"/>
                <w:szCs w:val="18"/>
              </w:rPr>
              <w:t xml:space="preserve">modificada por la </w:t>
            </w:r>
          </w:p>
          <w:p w14:paraId="522B5264" w14:textId="77777777" w:rsidR="00993AC0" w:rsidRPr="000D1C0B" w:rsidRDefault="00993AC0" w:rsidP="00993AC0">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w:t>
            </w:r>
          </w:p>
          <w:p w14:paraId="630497EC" w14:textId="77777777" w:rsidR="00993AC0" w:rsidRPr="000D1C0B" w:rsidRDefault="00993AC0" w:rsidP="00993AC0">
            <w:pPr>
              <w:spacing w:after="0"/>
              <w:jc w:val="center"/>
              <w:rPr>
                <w:rFonts w:ascii="Arial" w:hAnsi="Arial" w:cs="Arial"/>
                <w:bCs/>
                <w:spacing w:val="-3"/>
                <w:sz w:val="18"/>
                <w:szCs w:val="18"/>
              </w:rPr>
            </w:pPr>
            <w:r w:rsidRPr="000D1C0B">
              <w:rPr>
                <w:rFonts w:ascii="Arial" w:hAnsi="Arial" w:cs="Arial"/>
                <w:bCs/>
                <w:spacing w:val="-3"/>
                <w:sz w:val="18"/>
                <w:szCs w:val="18"/>
              </w:rPr>
              <w:t xml:space="preserve">N°35/2013, Circular N°51/2014, </w:t>
            </w:r>
          </w:p>
          <w:p w14:paraId="42453185" w14:textId="77777777" w:rsidR="00993AC0" w:rsidRPr="000D1C0B" w:rsidRDefault="00993AC0" w:rsidP="00993AC0">
            <w:pPr>
              <w:spacing w:after="0"/>
              <w:jc w:val="center"/>
              <w:rPr>
                <w:rFonts w:ascii="Arial" w:hAnsi="Arial" w:cs="Arial"/>
                <w:bCs/>
                <w:spacing w:val="-3"/>
                <w:sz w:val="18"/>
                <w:szCs w:val="18"/>
              </w:rPr>
            </w:pPr>
            <w:r w:rsidRPr="000D1C0B">
              <w:rPr>
                <w:rFonts w:ascii="Arial" w:hAnsi="Arial" w:cs="Arial"/>
                <w:bCs/>
                <w:spacing w:val="-3"/>
                <w:sz w:val="18"/>
                <w:szCs w:val="18"/>
              </w:rPr>
              <w:t>Circular</w:t>
            </w:r>
          </w:p>
          <w:p w14:paraId="73898DA9" w14:textId="77777777" w:rsidR="00993AC0" w:rsidRPr="000D1C0B" w:rsidRDefault="00993AC0" w:rsidP="00993AC0">
            <w:pPr>
              <w:spacing w:after="0"/>
              <w:jc w:val="center"/>
              <w:rPr>
                <w:rFonts w:ascii="Arial" w:hAnsi="Arial" w:cs="Arial"/>
                <w:bCs/>
                <w:spacing w:val="-3"/>
                <w:sz w:val="18"/>
                <w:szCs w:val="18"/>
              </w:rPr>
            </w:pPr>
            <w:r w:rsidRPr="000D1C0B">
              <w:rPr>
                <w:rFonts w:ascii="Arial" w:hAnsi="Arial" w:cs="Arial"/>
                <w:bCs/>
                <w:spacing w:val="-3"/>
                <w:sz w:val="18"/>
                <w:szCs w:val="18"/>
              </w:rPr>
              <w:t>N°52/2014</w:t>
            </w:r>
          </w:p>
          <w:p w14:paraId="7F0C7E22" w14:textId="77777777" w:rsidR="00993AC0" w:rsidRPr="000D1C0B" w:rsidRDefault="00993AC0" w:rsidP="00993AC0">
            <w:pPr>
              <w:spacing w:after="0" w:line="240" w:lineRule="auto"/>
              <w:jc w:val="center"/>
              <w:rPr>
                <w:rFonts w:ascii="Arial" w:hAnsi="Arial" w:cs="Arial"/>
                <w:bCs/>
                <w:spacing w:val="-3"/>
                <w:sz w:val="18"/>
                <w:szCs w:val="18"/>
              </w:rPr>
            </w:pPr>
            <w:r w:rsidRPr="000D1C0B">
              <w:rPr>
                <w:rFonts w:ascii="Arial" w:hAnsi="Arial" w:cs="Arial"/>
                <w:bCs/>
                <w:spacing w:val="-3"/>
                <w:sz w:val="18"/>
                <w:szCs w:val="18"/>
              </w:rPr>
              <w:t>y</w:t>
            </w:r>
          </w:p>
          <w:p w14:paraId="742BE715" w14:textId="0D65BF1C" w:rsidR="00993AC0" w:rsidRPr="000D1C0B" w:rsidRDefault="00993AC0" w:rsidP="00993AC0">
            <w:pPr>
              <w:spacing w:after="0" w:line="240" w:lineRule="auto"/>
              <w:jc w:val="center"/>
              <w:rPr>
                <w:rFonts w:ascii="Arial" w:hAnsi="Arial" w:cs="Arial"/>
                <w:bCs/>
                <w:spacing w:val="-3"/>
                <w:sz w:val="18"/>
                <w:szCs w:val="18"/>
              </w:rPr>
            </w:pPr>
            <w:r w:rsidRPr="000D1C0B">
              <w:rPr>
                <w:rFonts w:ascii="Arial" w:hAnsi="Arial" w:cs="Arial"/>
                <w:bCs/>
                <w:spacing w:val="-3"/>
                <w:sz w:val="18"/>
                <w:szCs w:val="18"/>
              </w:rPr>
              <w:t xml:space="preserve"> la Circular N°128/2022</w:t>
            </w:r>
          </w:p>
        </w:tc>
        <w:tc>
          <w:tcPr>
            <w:tcW w:w="1843" w:type="dxa"/>
            <w:vAlign w:val="center"/>
          </w:tcPr>
          <w:p w14:paraId="534CFC9A" w14:textId="547A092D" w:rsidR="00993AC0" w:rsidRPr="000D1C0B" w:rsidRDefault="00993AC0" w:rsidP="00993AC0">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reclamos a los casinos de juego</w:t>
            </w:r>
          </w:p>
        </w:tc>
        <w:tc>
          <w:tcPr>
            <w:tcW w:w="9497" w:type="dxa"/>
            <w:vAlign w:val="center"/>
          </w:tcPr>
          <w:p w14:paraId="68BEE37A" w14:textId="77777777" w:rsidR="00993AC0" w:rsidRPr="000D1C0B" w:rsidRDefault="00993AC0" w:rsidP="00993AC0">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Numeral 5:</w:t>
            </w:r>
          </w:p>
          <w:p w14:paraId="7E29C13E" w14:textId="77777777" w:rsidR="00993AC0" w:rsidRPr="000D1C0B" w:rsidRDefault="00993AC0" w:rsidP="00993AC0">
            <w:pPr>
              <w:autoSpaceDE w:val="0"/>
              <w:autoSpaceDN w:val="0"/>
              <w:adjustRightInd w:val="0"/>
              <w:spacing w:after="0" w:line="240" w:lineRule="auto"/>
              <w:jc w:val="both"/>
              <w:rPr>
                <w:rFonts w:ascii="Arial" w:hAnsi="Arial" w:cs="Arial"/>
                <w:b/>
                <w:bCs/>
                <w:sz w:val="18"/>
                <w:szCs w:val="18"/>
              </w:rPr>
            </w:pPr>
          </w:p>
          <w:p w14:paraId="22E76661" w14:textId="77777777" w:rsidR="00993AC0" w:rsidRPr="000D1C0B" w:rsidRDefault="00993AC0" w:rsidP="00993AC0">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El casino de juego deberá remitir mensualmente a la Superintendencia la información estadística de los reclamos que tramiten </w:t>
            </w:r>
            <w:proofErr w:type="gramStart"/>
            <w:r w:rsidRPr="000D1C0B">
              <w:rPr>
                <w:rFonts w:ascii="Arial" w:hAnsi="Arial" w:cs="Arial"/>
                <w:sz w:val="18"/>
                <w:szCs w:val="18"/>
              </w:rPr>
              <w:t>de acuerdo a</w:t>
            </w:r>
            <w:proofErr w:type="gramEnd"/>
            <w:r w:rsidRPr="000D1C0B">
              <w:rPr>
                <w:rFonts w:ascii="Arial" w:hAnsi="Arial" w:cs="Arial"/>
                <w:sz w:val="18"/>
                <w:szCs w:val="18"/>
              </w:rPr>
              <w:t xml:space="preserve"> las especificaciones que se señalan en el Anexo N°3 de las presentes instrucciones a más tardar el </w:t>
            </w:r>
            <w:r w:rsidRPr="000D1C0B">
              <w:rPr>
                <w:rFonts w:ascii="Arial" w:hAnsi="Arial" w:cs="Arial"/>
                <w:b/>
                <w:bCs/>
                <w:sz w:val="18"/>
                <w:szCs w:val="18"/>
              </w:rPr>
              <w:t>día 15 del mes siguiente</w:t>
            </w:r>
            <w:r w:rsidRPr="000D1C0B">
              <w:rPr>
                <w:rFonts w:ascii="Arial" w:hAnsi="Arial" w:cs="Arial"/>
                <w:sz w:val="18"/>
                <w:szCs w:val="18"/>
              </w:rPr>
              <w:t xml:space="preserve"> al período que se informa.</w:t>
            </w:r>
          </w:p>
          <w:p w14:paraId="224F5EA6" w14:textId="77777777" w:rsidR="00993AC0" w:rsidRPr="000D1C0B" w:rsidRDefault="00993AC0" w:rsidP="00993AC0">
            <w:pPr>
              <w:autoSpaceDE w:val="0"/>
              <w:autoSpaceDN w:val="0"/>
              <w:adjustRightInd w:val="0"/>
              <w:spacing w:after="0" w:line="240" w:lineRule="auto"/>
              <w:jc w:val="both"/>
              <w:rPr>
                <w:rFonts w:ascii="Arial" w:hAnsi="Arial" w:cs="Arial"/>
                <w:sz w:val="18"/>
                <w:szCs w:val="18"/>
              </w:rPr>
            </w:pPr>
          </w:p>
          <w:p w14:paraId="59EEBDC0" w14:textId="77777777" w:rsidR="00993AC0" w:rsidRPr="000D1C0B" w:rsidRDefault="00993AC0" w:rsidP="00993AC0">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Primer párrafo del anexo N°3:</w:t>
            </w:r>
          </w:p>
          <w:p w14:paraId="36F2587A" w14:textId="77777777" w:rsidR="00993AC0" w:rsidRPr="000D1C0B" w:rsidRDefault="00993AC0" w:rsidP="00993AC0">
            <w:pPr>
              <w:autoSpaceDE w:val="0"/>
              <w:autoSpaceDN w:val="0"/>
              <w:adjustRightInd w:val="0"/>
              <w:spacing w:after="0" w:line="240" w:lineRule="auto"/>
              <w:jc w:val="both"/>
              <w:rPr>
                <w:rFonts w:ascii="Arial" w:hAnsi="Arial" w:cs="Arial"/>
                <w:sz w:val="18"/>
                <w:szCs w:val="18"/>
              </w:rPr>
            </w:pPr>
          </w:p>
          <w:p w14:paraId="4B83700B" w14:textId="24F74206" w:rsidR="00993AC0" w:rsidRPr="000D1C0B" w:rsidRDefault="00993AC0" w:rsidP="00993AC0">
            <w:pPr>
              <w:autoSpaceDE w:val="0"/>
              <w:autoSpaceDN w:val="0"/>
              <w:adjustRightInd w:val="0"/>
              <w:spacing w:after="0" w:line="240" w:lineRule="auto"/>
              <w:rPr>
                <w:rFonts w:ascii="Arial" w:hAnsi="Arial" w:cs="Arial"/>
                <w:b/>
                <w:bCs/>
                <w:sz w:val="18"/>
                <w:szCs w:val="18"/>
              </w:rPr>
            </w:pPr>
            <w:r w:rsidRPr="000D1C0B">
              <w:rPr>
                <w:rFonts w:ascii="Arial" w:hAnsi="Arial" w:cs="Arial"/>
                <w:sz w:val="18"/>
                <w:szCs w:val="18"/>
              </w:rPr>
              <w:t>Según la definición contenida en el numeral 5 de la presente circular, las sociedades operadoras</w:t>
            </w:r>
            <w:r w:rsidR="00470C7B" w:rsidRPr="000D1C0B">
              <w:rPr>
                <w:rFonts w:ascii="Arial" w:hAnsi="Arial" w:cs="Arial"/>
                <w:sz w:val="18"/>
                <w:szCs w:val="18"/>
              </w:rPr>
              <w:t xml:space="preserve"> y concesionarias</w:t>
            </w:r>
            <w:r w:rsidRPr="000D1C0B">
              <w:rPr>
                <w:rFonts w:ascii="Arial" w:hAnsi="Arial" w:cs="Arial"/>
                <w:sz w:val="18"/>
                <w:szCs w:val="18"/>
              </w:rPr>
              <w:t xml:space="preserve"> de los casinos de juego deberán remitir mensualmente a la Superintendencia la información estadística acumulada de los reclamos a más tardar el </w:t>
            </w:r>
            <w:r w:rsidRPr="000D1C0B">
              <w:rPr>
                <w:rFonts w:ascii="Arial" w:hAnsi="Arial" w:cs="Arial"/>
                <w:b/>
                <w:bCs/>
                <w:sz w:val="18"/>
                <w:szCs w:val="18"/>
              </w:rPr>
              <w:t>día 15 del mes siguiente</w:t>
            </w:r>
            <w:r w:rsidRPr="000D1C0B">
              <w:rPr>
                <w:rFonts w:ascii="Arial" w:hAnsi="Arial" w:cs="Arial"/>
                <w:sz w:val="18"/>
                <w:szCs w:val="18"/>
              </w:rPr>
              <w:t xml:space="preserve"> al período informado.</w:t>
            </w:r>
          </w:p>
        </w:tc>
      </w:tr>
      <w:tr w:rsidR="00993AC0" w:rsidRPr="000D1C0B" w14:paraId="6393F1E7" w14:textId="403F09EE" w:rsidTr="002643A1">
        <w:trPr>
          <w:trHeight w:val="512"/>
        </w:trPr>
        <w:tc>
          <w:tcPr>
            <w:tcW w:w="611" w:type="dxa"/>
            <w:vAlign w:val="center"/>
          </w:tcPr>
          <w:p w14:paraId="52448ABD" w14:textId="33CA55DC" w:rsidR="00993AC0" w:rsidRPr="000D1C0B" w:rsidRDefault="00DB3E6F" w:rsidP="00993AC0">
            <w:pPr>
              <w:spacing w:line="240" w:lineRule="auto"/>
              <w:jc w:val="center"/>
              <w:rPr>
                <w:rFonts w:ascii="Arial" w:hAnsi="Arial" w:cs="Arial"/>
                <w:bCs/>
                <w:spacing w:val="-3"/>
                <w:sz w:val="18"/>
                <w:szCs w:val="18"/>
              </w:rPr>
            </w:pPr>
            <w:r w:rsidRPr="000D1C0B">
              <w:rPr>
                <w:rFonts w:ascii="Arial" w:hAnsi="Arial" w:cs="Arial"/>
                <w:bCs/>
                <w:spacing w:val="-3"/>
                <w:sz w:val="18"/>
                <w:szCs w:val="18"/>
              </w:rPr>
              <w:t>3</w:t>
            </w:r>
          </w:p>
        </w:tc>
        <w:tc>
          <w:tcPr>
            <w:tcW w:w="1227" w:type="dxa"/>
            <w:vAlign w:val="center"/>
          </w:tcPr>
          <w:p w14:paraId="65C13F21" w14:textId="77777777" w:rsidR="00993AC0" w:rsidRPr="000D1C0B" w:rsidRDefault="00993AC0" w:rsidP="00993AC0">
            <w:pPr>
              <w:spacing w:line="240" w:lineRule="auto"/>
              <w:jc w:val="center"/>
              <w:rPr>
                <w:rFonts w:ascii="Arial" w:hAnsi="Arial" w:cs="Arial"/>
                <w:bCs/>
                <w:spacing w:val="-3"/>
                <w:sz w:val="18"/>
                <w:szCs w:val="18"/>
              </w:rPr>
            </w:pPr>
            <w:r w:rsidRPr="000D1C0B">
              <w:rPr>
                <w:rFonts w:ascii="Arial" w:hAnsi="Arial" w:cs="Arial"/>
                <w:bCs/>
                <w:spacing w:val="-3"/>
                <w:sz w:val="18"/>
                <w:szCs w:val="18"/>
              </w:rPr>
              <w:t xml:space="preserve">Circular N°14/2011 </w:t>
            </w:r>
          </w:p>
          <w:p w14:paraId="68ECEA6B" w14:textId="2FA8473A" w:rsidR="00993AC0" w:rsidRPr="000D1C0B" w:rsidRDefault="00993AC0" w:rsidP="00993AC0">
            <w:pPr>
              <w:spacing w:line="240" w:lineRule="auto"/>
              <w:jc w:val="center"/>
              <w:rPr>
                <w:rFonts w:ascii="Arial" w:hAnsi="Arial" w:cs="Arial"/>
                <w:bCs/>
                <w:spacing w:val="-3"/>
                <w:sz w:val="18"/>
                <w:szCs w:val="18"/>
              </w:rPr>
            </w:pPr>
            <w:r w:rsidRPr="000D1C0B">
              <w:rPr>
                <w:rFonts w:ascii="Arial" w:hAnsi="Arial" w:cs="Arial"/>
                <w:bCs/>
                <w:spacing w:val="-3"/>
                <w:sz w:val="18"/>
                <w:szCs w:val="18"/>
              </w:rPr>
              <w:t xml:space="preserve">modificada por la </w:t>
            </w:r>
          </w:p>
          <w:p w14:paraId="2A8B5864" w14:textId="7544BBFE" w:rsidR="00993AC0" w:rsidRPr="000D1C0B" w:rsidRDefault="00993AC0" w:rsidP="00993AC0">
            <w:pPr>
              <w:spacing w:line="240" w:lineRule="auto"/>
              <w:jc w:val="center"/>
              <w:rPr>
                <w:rFonts w:ascii="Arial" w:hAnsi="Arial" w:cs="Arial"/>
                <w:b/>
                <w:bCs/>
                <w:spacing w:val="-3"/>
                <w:sz w:val="18"/>
                <w:szCs w:val="18"/>
              </w:rPr>
            </w:pPr>
            <w:r w:rsidRPr="000D1C0B">
              <w:rPr>
                <w:rFonts w:ascii="Arial" w:hAnsi="Arial" w:cs="Arial"/>
                <w:bCs/>
                <w:spacing w:val="-3"/>
                <w:sz w:val="18"/>
                <w:szCs w:val="18"/>
              </w:rPr>
              <w:t>Circular N°22/2011</w:t>
            </w:r>
          </w:p>
        </w:tc>
        <w:tc>
          <w:tcPr>
            <w:tcW w:w="1843" w:type="dxa"/>
            <w:vAlign w:val="center"/>
          </w:tcPr>
          <w:p w14:paraId="786087A6" w14:textId="77777777" w:rsidR="00993AC0" w:rsidRPr="000D1C0B" w:rsidRDefault="00993AC0" w:rsidP="00993AC0">
            <w:pPr>
              <w:spacing w:after="0" w:line="240" w:lineRule="auto"/>
              <w:jc w:val="both"/>
              <w:rPr>
                <w:rFonts w:ascii="Arial" w:hAnsi="Arial" w:cs="Arial"/>
                <w:bCs/>
                <w:strike/>
                <w:spacing w:val="-3"/>
                <w:sz w:val="18"/>
                <w:szCs w:val="18"/>
              </w:rPr>
            </w:pPr>
            <w:r w:rsidRPr="000D1C0B">
              <w:rPr>
                <w:rFonts w:ascii="Arial" w:hAnsi="Arial" w:cs="Arial"/>
                <w:bCs/>
                <w:spacing w:val="-3"/>
                <w:sz w:val="18"/>
                <w:szCs w:val="18"/>
              </w:rPr>
              <w:t>Notificación de personal de juego</w:t>
            </w:r>
          </w:p>
          <w:p w14:paraId="3ECAC51A" w14:textId="77777777" w:rsidR="00993AC0" w:rsidRPr="000D1C0B" w:rsidRDefault="00993AC0" w:rsidP="00993AC0">
            <w:pPr>
              <w:spacing w:line="240" w:lineRule="auto"/>
              <w:jc w:val="center"/>
              <w:rPr>
                <w:rFonts w:ascii="Arial" w:hAnsi="Arial" w:cs="Arial"/>
                <w:b/>
                <w:bCs/>
                <w:spacing w:val="-3"/>
                <w:sz w:val="18"/>
                <w:szCs w:val="18"/>
              </w:rPr>
            </w:pPr>
          </w:p>
        </w:tc>
        <w:tc>
          <w:tcPr>
            <w:tcW w:w="9497" w:type="dxa"/>
            <w:vAlign w:val="center"/>
          </w:tcPr>
          <w:p w14:paraId="2A40E24B" w14:textId="77280413" w:rsidR="00993AC0" w:rsidRPr="000D1C0B" w:rsidRDefault="00993AC0" w:rsidP="00993AC0">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Numeral 1 del título I</w:t>
            </w:r>
            <w:r w:rsidRPr="000D1C0B">
              <w:rPr>
                <w:rFonts w:ascii="Arial" w:hAnsi="Arial" w:cs="Arial"/>
                <w:sz w:val="18"/>
                <w:szCs w:val="18"/>
              </w:rPr>
              <w:t>:</w:t>
            </w:r>
          </w:p>
          <w:p w14:paraId="16361BCF" w14:textId="77777777" w:rsidR="00993AC0" w:rsidRPr="000D1C0B" w:rsidRDefault="00993AC0" w:rsidP="00993AC0">
            <w:pPr>
              <w:autoSpaceDE w:val="0"/>
              <w:autoSpaceDN w:val="0"/>
              <w:adjustRightInd w:val="0"/>
              <w:spacing w:after="0" w:line="240" w:lineRule="auto"/>
              <w:jc w:val="both"/>
              <w:rPr>
                <w:rFonts w:ascii="Arial" w:hAnsi="Arial" w:cs="Arial"/>
                <w:sz w:val="18"/>
                <w:szCs w:val="18"/>
              </w:rPr>
            </w:pPr>
          </w:p>
          <w:p w14:paraId="34D58F65" w14:textId="77777777" w:rsidR="00993AC0" w:rsidRPr="000D1C0B" w:rsidRDefault="00993AC0" w:rsidP="00993AC0">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Dentro de los </w:t>
            </w:r>
            <w:r w:rsidRPr="000D1C0B">
              <w:rPr>
                <w:rFonts w:ascii="Arial" w:hAnsi="Arial" w:cs="Arial"/>
                <w:b/>
                <w:bCs/>
                <w:sz w:val="18"/>
                <w:szCs w:val="18"/>
              </w:rPr>
              <w:t>3 días hábiles</w:t>
            </w:r>
            <w:r w:rsidRPr="000D1C0B">
              <w:rPr>
                <w:rFonts w:ascii="Arial" w:hAnsi="Arial" w:cs="Arial"/>
                <w:sz w:val="18"/>
                <w:szCs w:val="18"/>
              </w:rPr>
              <w:t xml:space="preserve"> </w:t>
            </w:r>
            <w:r w:rsidRPr="000D1C0B">
              <w:rPr>
                <w:rFonts w:ascii="Arial" w:hAnsi="Arial" w:cs="Arial"/>
                <w:b/>
                <w:bCs/>
                <w:sz w:val="18"/>
                <w:szCs w:val="18"/>
              </w:rPr>
              <w:t>siguiente</w:t>
            </w:r>
            <w:r w:rsidRPr="000D1C0B">
              <w:rPr>
                <w:rFonts w:ascii="Arial" w:hAnsi="Arial" w:cs="Arial"/>
                <w:sz w:val="18"/>
                <w:szCs w:val="18"/>
              </w:rPr>
              <w:t>s a la incorporación y/o contratación de una persona que se desempeñe como personal de juego, la sociedad operadora deberá comunicar tal circunstancia a este Organismo de Control.</w:t>
            </w:r>
          </w:p>
          <w:p w14:paraId="7FEADC32" w14:textId="59A53004" w:rsidR="00993AC0" w:rsidRPr="000D1C0B" w:rsidRDefault="00993AC0" w:rsidP="00993AC0">
            <w:pPr>
              <w:autoSpaceDE w:val="0"/>
              <w:autoSpaceDN w:val="0"/>
              <w:adjustRightInd w:val="0"/>
              <w:spacing w:after="0" w:line="240" w:lineRule="auto"/>
              <w:jc w:val="both"/>
              <w:rPr>
                <w:rFonts w:ascii="Arial" w:hAnsi="Arial" w:cs="Arial"/>
                <w:sz w:val="18"/>
                <w:szCs w:val="18"/>
              </w:rPr>
            </w:pPr>
          </w:p>
          <w:p w14:paraId="700E6771" w14:textId="344E00EF" w:rsidR="00993AC0" w:rsidRPr="000D1C0B" w:rsidRDefault="00993AC0" w:rsidP="00993AC0">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Numeral 2 del título I:</w:t>
            </w:r>
          </w:p>
          <w:p w14:paraId="73A34EDC" w14:textId="77777777" w:rsidR="00993AC0" w:rsidRPr="000D1C0B" w:rsidRDefault="00993AC0" w:rsidP="00993AC0">
            <w:pPr>
              <w:autoSpaceDE w:val="0"/>
              <w:autoSpaceDN w:val="0"/>
              <w:adjustRightInd w:val="0"/>
              <w:spacing w:after="0" w:line="240" w:lineRule="auto"/>
              <w:jc w:val="both"/>
              <w:rPr>
                <w:rFonts w:ascii="Arial" w:hAnsi="Arial" w:cs="Arial"/>
                <w:sz w:val="18"/>
                <w:szCs w:val="18"/>
              </w:rPr>
            </w:pPr>
          </w:p>
          <w:p w14:paraId="03F848F2" w14:textId="3136A2C8" w:rsidR="00993AC0" w:rsidRPr="000D1C0B" w:rsidRDefault="00993AC0" w:rsidP="00993AC0">
            <w:pPr>
              <w:autoSpaceDE w:val="0"/>
              <w:autoSpaceDN w:val="0"/>
              <w:adjustRightInd w:val="0"/>
              <w:spacing w:after="0" w:line="240" w:lineRule="auto"/>
              <w:jc w:val="both"/>
              <w:rPr>
                <w:rFonts w:ascii="Arial" w:hAnsi="Arial" w:cs="Arial"/>
                <w:b/>
                <w:bCs/>
                <w:spacing w:val="-3"/>
                <w:sz w:val="18"/>
                <w:szCs w:val="18"/>
              </w:rPr>
            </w:pPr>
            <w:r w:rsidRPr="000D1C0B">
              <w:rPr>
                <w:rFonts w:ascii="Arial" w:hAnsi="Arial" w:cs="Arial"/>
                <w:sz w:val="18"/>
                <w:szCs w:val="18"/>
              </w:rPr>
              <w:t xml:space="preserve">Asimismo, dentro de los </w:t>
            </w:r>
            <w:r w:rsidRPr="000D1C0B">
              <w:rPr>
                <w:rFonts w:ascii="Arial" w:hAnsi="Arial" w:cs="Arial"/>
                <w:b/>
                <w:bCs/>
                <w:sz w:val="18"/>
                <w:szCs w:val="18"/>
              </w:rPr>
              <w:t>3 días hábiles siguientes</w:t>
            </w:r>
            <w:r w:rsidRPr="000D1C0B">
              <w:rPr>
                <w:rFonts w:ascii="Arial" w:hAnsi="Arial" w:cs="Arial"/>
                <w:sz w:val="18"/>
                <w:szCs w:val="18"/>
              </w:rPr>
              <w:t xml:space="preserve"> a la incorporación y/o contratación de una persona que se desempeñe en los cargos de </w:t>
            </w:r>
            <w:proofErr w:type="gramStart"/>
            <w:r w:rsidRPr="000D1C0B">
              <w:rPr>
                <w:rFonts w:ascii="Arial" w:hAnsi="Arial" w:cs="Arial"/>
                <w:sz w:val="18"/>
                <w:szCs w:val="18"/>
              </w:rPr>
              <w:t>Director General</w:t>
            </w:r>
            <w:proofErr w:type="gramEnd"/>
            <w:r w:rsidRPr="000D1C0B">
              <w:rPr>
                <w:rFonts w:ascii="Arial" w:hAnsi="Arial" w:cs="Arial"/>
                <w:sz w:val="18"/>
                <w:szCs w:val="18"/>
              </w:rPr>
              <w:t xml:space="preserve"> de Juegos y Directores de Áreas, la sociedad operadora deberá comunicar tal circunstancia a esta Superintendencia.</w:t>
            </w:r>
          </w:p>
        </w:tc>
      </w:tr>
      <w:tr w:rsidR="00993AC0" w:rsidRPr="000D1C0B" w14:paraId="1EDC7792" w14:textId="77777777" w:rsidTr="002643A1">
        <w:trPr>
          <w:trHeight w:val="512"/>
        </w:trPr>
        <w:tc>
          <w:tcPr>
            <w:tcW w:w="611" w:type="dxa"/>
            <w:vAlign w:val="center"/>
          </w:tcPr>
          <w:p w14:paraId="41607DAB" w14:textId="39B85F73" w:rsidR="00993AC0" w:rsidRPr="000D1C0B" w:rsidRDefault="00DB3E6F" w:rsidP="00993AC0">
            <w:pPr>
              <w:spacing w:line="240" w:lineRule="auto"/>
              <w:jc w:val="center"/>
              <w:rPr>
                <w:rFonts w:ascii="Arial" w:hAnsi="Arial" w:cs="Arial"/>
                <w:bCs/>
                <w:spacing w:val="-3"/>
                <w:sz w:val="18"/>
                <w:szCs w:val="18"/>
              </w:rPr>
            </w:pPr>
            <w:r w:rsidRPr="000D1C0B">
              <w:rPr>
                <w:rFonts w:ascii="Arial" w:hAnsi="Arial" w:cs="Arial"/>
                <w:bCs/>
                <w:spacing w:val="-3"/>
                <w:sz w:val="18"/>
                <w:szCs w:val="18"/>
              </w:rPr>
              <w:t>4</w:t>
            </w:r>
          </w:p>
        </w:tc>
        <w:tc>
          <w:tcPr>
            <w:tcW w:w="1227" w:type="dxa"/>
            <w:vAlign w:val="center"/>
          </w:tcPr>
          <w:p w14:paraId="338DED11" w14:textId="77777777" w:rsidR="00993AC0" w:rsidRPr="000D1C0B" w:rsidRDefault="00993AC0" w:rsidP="00993AC0">
            <w:pPr>
              <w:jc w:val="center"/>
              <w:rPr>
                <w:rFonts w:ascii="Arial" w:hAnsi="Arial" w:cs="Arial"/>
                <w:bCs/>
                <w:spacing w:val="-3"/>
                <w:sz w:val="18"/>
                <w:szCs w:val="18"/>
              </w:rPr>
            </w:pPr>
            <w:r w:rsidRPr="000D1C0B">
              <w:rPr>
                <w:rFonts w:ascii="Arial" w:hAnsi="Arial" w:cs="Arial"/>
                <w:bCs/>
                <w:spacing w:val="-3"/>
                <w:sz w:val="18"/>
                <w:szCs w:val="18"/>
              </w:rPr>
              <w:t xml:space="preserve">Circular N°25/2011 </w:t>
            </w:r>
          </w:p>
          <w:p w14:paraId="66CC7AF7" w14:textId="77777777" w:rsidR="00993AC0" w:rsidRPr="000D1C0B" w:rsidRDefault="00993AC0" w:rsidP="00993AC0">
            <w:pPr>
              <w:spacing w:line="240" w:lineRule="auto"/>
              <w:jc w:val="center"/>
              <w:rPr>
                <w:rFonts w:ascii="Arial" w:hAnsi="Arial" w:cs="Arial"/>
                <w:bCs/>
                <w:spacing w:val="-3"/>
                <w:sz w:val="18"/>
                <w:szCs w:val="18"/>
              </w:rPr>
            </w:pPr>
            <w:r w:rsidRPr="000D1C0B">
              <w:rPr>
                <w:rFonts w:ascii="Arial" w:hAnsi="Arial" w:cs="Arial"/>
                <w:bCs/>
                <w:spacing w:val="-3"/>
                <w:sz w:val="18"/>
                <w:szCs w:val="18"/>
              </w:rPr>
              <w:t>modificada por la</w:t>
            </w:r>
          </w:p>
          <w:p w14:paraId="2DC1E1EA" w14:textId="4D96551C" w:rsidR="00993AC0" w:rsidRPr="000D1C0B" w:rsidRDefault="00993AC0" w:rsidP="00993AC0">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N°99/2018</w:t>
            </w:r>
          </w:p>
        </w:tc>
        <w:tc>
          <w:tcPr>
            <w:tcW w:w="1843" w:type="dxa"/>
            <w:vAlign w:val="center"/>
          </w:tcPr>
          <w:p w14:paraId="02048ADB" w14:textId="1B4BE4EC" w:rsidR="00993AC0" w:rsidRPr="000D1C0B" w:rsidRDefault="00993AC0" w:rsidP="00993AC0">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del reglamento interno de propinas</w:t>
            </w:r>
          </w:p>
        </w:tc>
        <w:tc>
          <w:tcPr>
            <w:tcW w:w="9497" w:type="dxa"/>
            <w:vAlign w:val="center"/>
          </w:tcPr>
          <w:p w14:paraId="4999EBBB" w14:textId="3BE9E7B8" w:rsidR="00993AC0" w:rsidRPr="000D1C0B" w:rsidRDefault="00993AC0" w:rsidP="00993AC0">
            <w:pPr>
              <w:autoSpaceDE w:val="0"/>
              <w:autoSpaceDN w:val="0"/>
              <w:adjustRightInd w:val="0"/>
              <w:spacing w:after="0" w:line="240" w:lineRule="auto"/>
              <w:jc w:val="both"/>
              <w:rPr>
                <w:rFonts w:ascii="Arial" w:hAnsi="Arial" w:cs="Arial"/>
                <w:color w:val="010000"/>
                <w:sz w:val="18"/>
                <w:szCs w:val="18"/>
              </w:rPr>
            </w:pPr>
            <w:r w:rsidRPr="000D1C0B">
              <w:rPr>
                <w:rFonts w:ascii="Arial" w:hAnsi="Arial" w:cs="Arial"/>
                <w:b/>
                <w:bCs/>
                <w:color w:val="010000"/>
                <w:sz w:val="18"/>
                <w:szCs w:val="18"/>
              </w:rPr>
              <w:t>Segundo párrafo del numeral 5:</w:t>
            </w:r>
          </w:p>
          <w:p w14:paraId="30F52F0A" w14:textId="77777777" w:rsidR="00993AC0" w:rsidRPr="000D1C0B" w:rsidRDefault="00993AC0" w:rsidP="00993AC0">
            <w:pPr>
              <w:autoSpaceDE w:val="0"/>
              <w:autoSpaceDN w:val="0"/>
              <w:adjustRightInd w:val="0"/>
              <w:spacing w:after="0" w:line="240" w:lineRule="auto"/>
              <w:jc w:val="both"/>
              <w:rPr>
                <w:rFonts w:ascii="Arial" w:hAnsi="Arial" w:cs="Arial"/>
                <w:color w:val="010000"/>
                <w:sz w:val="18"/>
                <w:szCs w:val="18"/>
              </w:rPr>
            </w:pPr>
          </w:p>
          <w:p w14:paraId="491A5EC2" w14:textId="4A616229" w:rsidR="00993AC0" w:rsidRPr="000D1C0B" w:rsidRDefault="00993AC0" w:rsidP="00993AC0">
            <w:pPr>
              <w:autoSpaceDE w:val="0"/>
              <w:autoSpaceDN w:val="0"/>
              <w:adjustRightInd w:val="0"/>
              <w:spacing w:after="0" w:line="240" w:lineRule="auto"/>
              <w:jc w:val="both"/>
              <w:rPr>
                <w:rFonts w:ascii="Arial" w:hAnsi="Arial" w:cs="Arial"/>
                <w:color w:val="010000"/>
                <w:sz w:val="18"/>
                <w:szCs w:val="18"/>
              </w:rPr>
            </w:pPr>
            <w:r w:rsidRPr="000D1C0B">
              <w:rPr>
                <w:rFonts w:ascii="Arial" w:hAnsi="Arial" w:cs="Arial"/>
                <w:color w:val="010000"/>
                <w:sz w:val="18"/>
                <w:szCs w:val="18"/>
              </w:rPr>
              <w:t xml:space="preserve">Para efectos de la referida comunicación, dentro del </w:t>
            </w:r>
            <w:r w:rsidRPr="000D1C0B">
              <w:rPr>
                <w:rFonts w:ascii="Arial" w:hAnsi="Arial" w:cs="Arial"/>
                <w:b/>
                <w:bCs/>
                <w:color w:val="010000"/>
                <w:sz w:val="18"/>
                <w:szCs w:val="18"/>
              </w:rPr>
              <w:t>plazo de</w:t>
            </w:r>
            <w:r w:rsidRPr="000D1C0B">
              <w:rPr>
                <w:rFonts w:ascii="Arial" w:hAnsi="Arial" w:cs="Arial"/>
                <w:color w:val="010000"/>
                <w:sz w:val="18"/>
                <w:szCs w:val="18"/>
              </w:rPr>
              <w:t xml:space="preserve"> </w:t>
            </w:r>
            <w:r w:rsidRPr="000D1C0B">
              <w:rPr>
                <w:rFonts w:ascii="Arial" w:hAnsi="Arial" w:cs="Arial"/>
                <w:b/>
                <w:bCs/>
                <w:color w:val="010000"/>
                <w:sz w:val="18"/>
                <w:szCs w:val="18"/>
              </w:rPr>
              <w:t>10 días hábiles</w:t>
            </w:r>
            <w:r w:rsidRPr="000D1C0B">
              <w:rPr>
                <w:rFonts w:ascii="Arial" w:hAnsi="Arial" w:cs="Arial"/>
                <w:color w:val="010000"/>
                <w:sz w:val="18"/>
                <w:szCs w:val="18"/>
              </w:rPr>
              <w:t xml:space="preserve"> contados desde la aprobación de las modificaciones por parte de los beneficiarios del Fondo de Propinas, el órgano administrador del mismo, por intermedio de la Sociedad Operadora, deberá remitir a la Superintendencia el texto definitivo del Reglamento Interno del Fondo de Propinas modificado, suscrito por un representante de la sociedad operadora y por los representantes de los beneficiarios.</w:t>
            </w:r>
          </w:p>
          <w:p w14:paraId="13B2274C" w14:textId="77777777" w:rsidR="00993AC0" w:rsidRPr="000D1C0B" w:rsidRDefault="00993AC0" w:rsidP="00993AC0">
            <w:pPr>
              <w:autoSpaceDE w:val="0"/>
              <w:autoSpaceDN w:val="0"/>
              <w:adjustRightInd w:val="0"/>
              <w:spacing w:after="0" w:line="240" w:lineRule="auto"/>
              <w:jc w:val="both"/>
              <w:rPr>
                <w:rFonts w:ascii="Arial" w:hAnsi="Arial" w:cs="Arial"/>
                <w:color w:val="010000"/>
                <w:sz w:val="18"/>
                <w:szCs w:val="18"/>
              </w:rPr>
            </w:pPr>
          </w:p>
          <w:p w14:paraId="349A5AE3" w14:textId="2A2E9D37" w:rsidR="00993AC0" w:rsidRPr="000D1C0B" w:rsidRDefault="00993AC0" w:rsidP="00993AC0">
            <w:pPr>
              <w:spacing w:after="0" w:line="240" w:lineRule="auto"/>
              <w:jc w:val="both"/>
              <w:rPr>
                <w:rFonts w:ascii="Arial" w:hAnsi="Arial" w:cs="Arial"/>
                <w:sz w:val="18"/>
                <w:szCs w:val="18"/>
              </w:rPr>
            </w:pPr>
            <w:r w:rsidRPr="000D1C0B">
              <w:rPr>
                <w:rFonts w:ascii="Arial" w:hAnsi="Arial" w:cs="Arial"/>
                <w:b/>
                <w:bCs/>
                <w:sz w:val="18"/>
                <w:szCs w:val="18"/>
              </w:rPr>
              <w:t>Segundo párrafo del numeral 6</w:t>
            </w:r>
            <w:r w:rsidRPr="000D1C0B">
              <w:rPr>
                <w:rFonts w:ascii="Arial" w:hAnsi="Arial" w:cs="Arial"/>
                <w:sz w:val="18"/>
                <w:szCs w:val="18"/>
              </w:rPr>
              <w:t>:</w:t>
            </w:r>
          </w:p>
          <w:p w14:paraId="209D8CDC" w14:textId="77777777" w:rsidR="00993AC0" w:rsidRPr="000D1C0B" w:rsidRDefault="00993AC0" w:rsidP="00993AC0">
            <w:pPr>
              <w:spacing w:after="0" w:line="240" w:lineRule="auto"/>
              <w:jc w:val="both"/>
              <w:rPr>
                <w:rFonts w:ascii="Arial" w:hAnsi="Arial" w:cs="Arial"/>
                <w:sz w:val="18"/>
                <w:szCs w:val="18"/>
              </w:rPr>
            </w:pPr>
          </w:p>
          <w:p w14:paraId="034F938F" w14:textId="573197F5" w:rsidR="00993AC0" w:rsidRPr="000D1C0B" w:rsidRDefault="00993AC0" w:rsidP="00993AC0">
            <w:pPr>
              <w:autoSpaceDE w:val="0"/>
              <w:autoSpaceDN w:val="0"/>
              <w:adjustRightInd w:val="0"/>
              <w:spacing w:after="0" w:line="240" w:lineRule="auto"/>
              <w:jc w:val="both"/>
              <w:rPr>
                <w:rFonts w:ascii="Arial" w:hAnsi="Arial" w:cs="Arial"/>
                <w:b/>
                <w:bCs/>
                <w:sz w:val="18"/>
                <w:szCs w:val="18"/>
              </w:rPr>
            </w:pPr>
            <w:r w:rsidRPr="000D1C0B">
              <w:rPr>
                <w:rFonts w:ascii="Arial" w:hAnsi="Arial" w:cs="Arial"/>
                <w:sz w:val="18"/>
                <w:szCs w:val="18"/>
              </w:rPr>
              <w:lastRenderedPageBreak/>
              <w:t xml:space="preserve">Una vez efectuada la elección, los representantes de los beneficiarios deberán comunicar a la Superintendencia, a través de la sociedad operadora, los resultados de la votación, dentro del </w:t>
            </w:r>
            <w:r w:rsidRPr="000D1C0B">
              <w:rPr>
                <w:rFonts w:ascii="Arial" w:hAnsi="Arial" w:cs="Arial"/>
                <w:b/>
                <w:bCs/>
                <w:sz w:val="18"/>
                <w:szCs w:val="18"/>
              </w:rPr>
              <w:t>plazo de</w:t>
            </w:r>
            <w:r w:rsidRPr="000D1C0B">
              <w:rPr>
                <w:rFonts w:ascii="Arial" w:hAnsi="Arial" w:cs="Arial"/>
                <w:sz w:val="18"/>
                <w:szCs w:val="18"/>
              </w:rPr>
              <w:t xml:space="preserve"> </w:t>
            </w:r>
            <w:r w:rsidRPr="000D1C0B">
              <w:rPr>
                <w:rFonts w:ascii="Arial" w:hAnsi="Arial" w:cs="Arial"/>
                <w:b/>
                <w:bCs/>
                <w:sz w:val="18"/>
                <w:szCs w:val="18"/>
              </w:rPr>
              <w:t>10 días hábiles</w:t>
            </w:r>
            <w:r w:rsidRPr="000D1C0B">
              <w:rPr>
                <w:rFonts w:ascii="Arial" w:hAnsi="Arial" w:cs="Arial"/>
                <w:sz w:val="18"/>
                <w:szCs w:val="18"/>
              </w:rPr>
              <w:t xml:space="preserve"> de efectuada aquélla, señalando el nombre, número de cédula de identidad, y cargo o función de los miembros titulares y suplentes. Asimismo, deberán acompañar el acta, debidamente suscrita por quien tenga a su cargo el proceso de votación, que dé cuenta de la constitución de la asamblea, con expresa indicación del resultado de la votación.</w:t>
            </w:r>
          </w:p>
        </w:tc>
      </w:tr>
      <w:tr w:rsidR="00993AC0" w:rsidRPr="000D1C0B" w14:paraId="2471C06C" w14:textId="68FD9A4C" w:rsidTr="002643A1">
        <w:trPr>
          <w:trHeight w:val="512"/>
        </w:trPr>
        <w:tc>
          <w:tcPr>
            <w:tcW w:w="611" w:type="dxa"/>
            <w:vAlign w:val="center"/>
          </w:tcPr>
          <w:p w14:paraId="5416293A" w14:textId="3B1BCDD5" w:rsidR="00993AC0" w:rsidRPr="000D1C0B" w:rsidRDefault="00DB3E6F" w:rsidP="00993AC0">
            <w:pPr>
              <w:spacing w:line="240" w:lineRule="auto"/>
              <w:jc w:val="center"/>
              <w:rPr>
                <w:rFonts w:ascii="Arial" w:hAnsi="Arial" w:cs="Arial"/>
                <w:spacing w:val="-3"/>
                <w:sz w:val="18"/>
                <w:szCs w:val="18"/>
              </w:rPr>
            </w:pPr>
            <w:r w:rsidRPr="000D1C0B">
              <w:rPr>
                <w:rFonts w:ascii="Arial" w:hAnsi="Arial" w:cs="Arial"/>
                <w:spacing w:val="-3"/>
                <w:sz w:val="18"/>
                <w:szCs w:val="18"/>
              </w:rPr>
              <w:lastRenderedPageBreak/>
              <w:t>5</w:t>
            </w:r>
          </w:p>
        </w:tc>
        <w:tc>
          <w:tcPr>
            <w:tcW w:w="1227" w:type="dxa"/>
            <w:vAlign w:val="center"/>
          </w:tcPr>
          <w:p w14:paraId="10356DBC" w14:textId="77777777" w:rsidR="00993AC0" w:rsidRPr="000D1C0B" w:rsidRDefault="00993AC0" w:rsidP="00993AC0">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N°34/2013</w:t>
            </w:r>
          </w:p>
          <w:p w14:paraId="2596D179" w14:textId="58B373CC" w:rsidR="00993AC0" w:rsidRPr="000D1C0B" w:rsidRDefault="00993AC0" w:rsidP="00993AC0">
            <w:pPr>
              <w:spacing w:after="0" w:line="240" w:lineRule="auto"/>
              <w:jc w:val="center"/>
              <w:rPr>
                <w:rFonts w:ascii="Arial" w:hAnsi="Arial" w:cs="Arial"/>
                <w:bCs/>
                <w:spacing w:val="-3"/>
                <w:sz w:val="18"/>
                <w:szCs w:val="18"/>
              </w:rPr>
            </w:pPr>
            <w:r w:rsidRPr="000D1C0B">
              <w:rPr>
                <w:rFonts w:ascii="Arial" w:hAnsi="Arial" w:cs="Arial"/>
                <w:bCs/>
                <w:spacing w:val="-3"/>
                <w:sz w:val="18"/>
                <w:szCs w:val="18"/>
              </w:rPr>
              <w:t>modificada por la</w:t>
            </w:r>
          </w:p>
          <w:p w14:paraId="50CC486C" w14:textId="3C964884" w:rsidR="00993AC0" w:rsidRPr="000D1C0B" w:rsidRDefault="00993AC0" w:rsidP="00993AC0">
            <w:pPr>
              <w:spacing w:after="0" w:line="240" w:lineRule="auto"/>
              <w:jc w:val="center"/>
              <w:rPr>
                <w:rFonts w:ascii="Arial" w:hAnsi="Arial" w:cs="Arial"/>
                <w:bCs/>
                <w:spacing w:val="-3"/>
                <w:sz w:val="18"/>
                <w:szCs w:val="18"/>
              </w:rPr>
            </w:pPr>
            <w:r w:rsidRPr="000D1C0B">
              <w:rPr>
                <w:rFonts w:ascii="Arial" w:hAnsi="Arial" w:cs="Arial"/>
                <w:bCs/>
                <w:spacing w:val="-3"/>
                <w:sz w:val="18"/>
                <w:szCs w:val="18"/>
              </w:rPr>
              <w:t xml:space="preserve">Circular N°82/2017 </w:t>
            </w:r>
          </w:p>
          <w:p w14:paraId="480348D3" w14:textId="77777777" w:rsidR="00993AC0" w:rsidRPr="000D1C0B" w:rsidRDefault="00993AC0" w:rsidP="00993AC0">
            <w:pPr>
              <w:spacing w:after="0" w:line="240" w:lineRule="auto"/>
              <w:jc w:val="center"/>
              <w:rPr>
                <w:rFonts w:ascii="Arial" w:hAnsi="Arial" w:cs="Arial"/>
                <w:bCs/>
                <w:spacing w:val="-3"/>
                <w:sz w:val="18"/>
                <w:szCs w:val="18"/>
              </w:rPr>
            </w:pPr>
            <w:r w:rsidRPr="000D1C0B">
              <w:rPr>
                <w:rFonts w:ascii="Arial" w:hAnsi="Arial" w:cs="Arial"/>
                <w:bCs/>
                <w:spacing w:val="-3"/>
                <w:sz w:val="18"/>
                <w:szCs w:val="18"/>
              </w:rPr>
              <w:t>y</w:t>
            </w:r>
          </w:p>
          <w:p w14:paraId="7138730E" w14:textId="145BF542" w:rsidR="00993AC0" w:rsidRPr="000D1C0B" w:rsidRDefault="00993AC0" w:rsidP="00993AC0">
            <w:pPr>
              <w:spacing w:after="0" w:line="240" w:lineRule="auto"/>
              <w:jc w:val="center"/>
              <w:rPr>
                <w:rFonts w:ascii="Arial" w:hAnsi="Arial" w:cs="Arial"/>
                <w:bCs/>
                <w:spacing w:val="-3"/>
                <w:sz w:val="18"/>
                <w:szCs w:val="18"/>
              </w:rPr>
            </w:pPr>
            <w:r w:rsidRPr="000D1C0B">
              <w:rPr>
                <w:rFonts w:ascii="Arial" w:hAnsi="Arial" w:cs="Arial"/>
                <w:bCs/>
                <w:spacing w:val="-3"/>
                <w:sz w:val="18"/>
                <w:szCs w:val="18"/>
              </w:rPr>
              <w:t xml:space="preserve"> Circular N°90/2017</w:t>
            </w:r>
          </w:p>
        </w:tc>
        <w:tc>
          <w:tcPr>
            <w:tcW w:w="1843" w:type="dxa"/>
            <w:vAlign w:val="center"/>
          </w:tcPr>
          <w:p w14:paraId="3A5DDF97" w14:textId="6523D9F5" w:rsidR="00993AC0" w:rsidRPr="000D1C0B" w:rsidRDefault="00993AC0" w:rsidP="00993AC0">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información operacional de casinos de juego</w:t>
            </w:r>
          </w:p>
          <w:p w14:paraId="3BF170F3" w14:textId="77777777" w:rsidR="00993AC0" w:rsidRPr="000D1C0B" w:rsidRDefault="00993AC0" w:rsidP="00993AC0">
            <w:pPr>
              <w:spacing w:after="0" w:line="240" w:lineRule="auto"/>
              <w:jc w:val="both"/>
              <w:rPr>
                <w:rFonts w:ascii="Arial" w:hAnsi="Arial" w:cs="Arial"/>
                <w:bCs/>
                <w:spacing w:val="-3"/>
                <w:sz w:val="18"/>
                <w:szCs w:val="18"/>
              </w:rPr>
            </w:pPr>
          </w:p>
          <w:p w14:paraId="1DA2C9E3" w14:textId="4F441533" w:rsidR="00993AC0" w:rsidRPr="000D1C0B" w:rsidRDefault="00993AC0" w:rsidP="00993AC0">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reclamos a los casinos de juego</w:t>
            </w:r>
          </w:p>
        </w:tc>
        <w:tc>
          <w:tcPr>
            <w:tcW w:w="9497" w:type="dxa"/>
            <w:vAlign w:val="center"/>
          </w:tcPr>
          <w:p w14:paraId="55FF0E20" w14:textId="1FEF3928" w:rsidR="00993AC0" w:rsidRPr="000D1C0B" w:rsidRDefault="00993AC0" w:rsidP="00993AC0">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Numeral 1 del título III</w:t>
            </w:r>
            <w:r w:rsidRPr="000D1C0B">
              <w:rPr>
                <w:rFonts w:ascii="Arial" w:hAnsi="Arial" w:cs="Arial"/>
                <w:sz w:val="18"/>
                <w:szCs w:val="18"/>
              </w:rPr>
              <w:t>:</w:t>
            </w:r>
          </w:p>
          <w:p w14:paraId="34CDD1A5" w14:textId="77777777" w:rsidR="00993AC0" w:rsidRPr="000D1C0B" w:rsidRDefault="00993AC0" w:rsidP="00993AC0">
            <w:pPr>
              <w:autoSpaceDE w:val="0"/>
              <w:autoSpaceDN w:val="0"/>
              <w:adjustRightInd w:val="0"/>
              <w:spacing w:after="0" w:line="240" w:lineRule="auto"/>
              <w:jc w:val="both"/>
              <w:rPr>
                <w:rFonts w:ascii="Arial" w:hAnsi="Arial" w:cs="Arial"/>
                <w:sz w:val="18"/>
                <w:szCs w:val="18"/>
              </w:rPr>
            </w:pPr>
          </w:p>
          <w:p w14:paraId="08E178A6" w14:textId="77777777" w:rsidR="00993AC0" w:rsidRPr="000D1C0B" w:rsidRDefault="00993AC0" w:rsidP="00993AC0">
            <w:pPr>
              <w:pStyle w:val="Default"/>
              <w:numPr>
                <w:ilvl w:val="0"/>
                <w:numId w:val="30"/>
              </w:numPr>
              <w:jc w:val="both"/>
              <w:rPr>
                <w:sz w:val="18"/>
                <w:szCs w:val="18"/>
              </w:rPr>
            </w:pPr>
            <w:r w:rsidRPr="000D1C0B">
              <w:rPr>
                <w:sz w:val="18"/>
                <w:szCs w:val="18"/>
              </w:rPr>
              <w:t xml:space="preserve">A más tardar, </w:t>
            </w:r>
            <w:r w:rsidRPr="000D1C0B">
              <w:rPr>
                <w:b/>
                <w:bCs/>
                <w:sz w:val="18"/>
                <w:szCs w:val="18"/>
              </w:rPr>
              <w:t>el día 15 de cada mes</w:t>
            </w:r>
            <w:r w:rsidRPr="000D1C0B">
              <w:rPr>
                <w:sz w:val="18"/>
                <w:szCs w:val="18"/>
              </w:rPr>
              <w:t xml:space="preserve"> o el día hábil siguiente si aquel fuere inhábil, las sociedades operadoras deberán remitir a la Superintendencia de Casinos de Juego la información operacional correspondiente al mes inmediatamente anterior, utilizando para ello el Sistema de Información Operacional de Casinos de Juego (SIOC) de este Organismo de Control, </w:t>
            </w:r>
            <w:proofErr w:type="gramStart"/>
            <w:r w:rsidRPr="000D1C0B">
              <w:rPr>
                <w:sz w:val="18"/>
                <w:szCs w:val="18"/>
              </w:rPr>
              <w:t>de acuerdo a</w:t>
            </w:r>
            <w:proofErr w:type="gramEnd"/>
            <w:r w:rsidRPr="000D1C0B">
              <w:rPr>
                <w:sz w:val="18"/>
                <w:szCs w:val="18"/>
              </w:rPr>
              <w:t xml:space="preserve"> las especificaciones contenidas en los anexos 1 al 7 de la presente circular.</w:t>
            </w:r>
          </w:p>
          <w:p w14:paraId="718A7FD0" w14:textId="77777777" w:rsidR="00C33175" w:rsidRPr="000D1C0B" w:rsidRDefault="00C33175" w:rsidP="00C33175">
            <w:pPr>
              <w:pStyle w:val="Default"/>
              <w:jc w:val="both"/>
              <w:rPr>
                <w:sz w:val="18"/>
                <w:szCs w:val="18"/>
              </w:rPr>
            </w:pPr>
          </w:p>
          <w:p w14:paraId="2EA9041F" w14:textId="1D6D4E02" w:rsidR="00C33175" w:rsidRPr="000D1C0B" w:rsidRDefault="00C33175" w:rsidP="00C33175">
            <w:pPr>
              <w:pStyle w:val="Default"/>
              <w:jc w:val="both"/>
              <w:rPr>
                <w:b/>
                <w:bCs/>
                <w:sz w:val="18"/>
                <w:szCs w:val="18"/>
              </w:rPr>
            </w:pPr>
            <w:r w:rsidRPr="000D1C0B">
              <w:rPr>
                <w:b/>
                <w:bCs/>
                <w:sz w:val="18"/>
                <w:szCs w:val="18"/>
              </w:rPr>
              <w:t>Primer párrafo del numeral 3 del título III</w:t>
            </w:r>
            <w:r w:rsidR="001431C9" w:rsidRPr="000D1C0B">
              <w:rPr>
                <w:b/>
                <w:bCs/>
                <w:sz w:val="18"/>
                <w:szCs w:val="18"/>
              </w:rPr>
              <w:t>:</w:t>
            </w:r>
          </w:p>
          <w:p w14:paraId="05565AED" w14:textId="77777777" w:rsidR="001431C9" w:rsidRPr="000D1C0B" w:rsidRDefault="001431C9" w:rsidP="00C33175">
            <w:pPr>
              <w:pStyle w:val="Default"/>
              <w:jc w:val="both"/>
              <w:rPr>
                <w:b/>
                <w:bCs/>
                <w:sz w:val="18"/>
                <w:szCs w:val="18"/>
              </w:rPr>
            </w:pPr>
          </w:p>
          <w:p w14:paraId="7B42D0E3" w14:textId="19111E61" w:rsidR="001431C9" w:rsidRPr="000D1C0B" w:rsidRDefault="001431C9" w:rsidP="001431C9">
            <w:pPr>
              <w:pStyle w:val="Default"/>
              <w:jc w:val="both"/>
              <w:rPr>
                <w:sz w:val="18"/>
                <w:szCs w:val="18"/>
              </w:rPr>
            </w:pPr>
            <w:r w:rsidRPr="000D1C0B">
              <w:rPr>
                <w:sz w:val="18"/>
                <w:szCs w:val="18"/>
              </w:rPr>
              <w:t xml:space="preserve">Las sociedades </w:t>
            </w:r>
            <w:r w:rsidR="002016A7" w:rsidRPr="000D1C0B">
              <w:rPr>
                <w:sz w:val="18"/>
                <w:szCs w:val="18"/>
              </w:rPr>
              <w:t xml:space="preserve">operadoras que, cumpliendo con los requisitos legales para ello, posterguen el pago de los referidos impuestos deberán cargar en el aplicativo SIOC, hasta el </w:t>
            </w:r>
            <w:r w:rsidR="002016A7" w:rsidRPr="000D1C0B">
              <w:rPr>
                <w:b/>
                <w:bCs/>
                <w:sz w:val="18"/>
                <w:szCs w:val="18"/>
              </w:rPr>
              <w:t>día 15 o día hábil siguiente</w:t>
            </w:r>
            <w:r w:rsidR="002016A7" w:rsidRPr="000D1C0B">
              <w:rPr>
                <w:sz w:val="18"/>
                <w:szCs w:val="18"/>
              </w:rPr>
              <w:t xml:space="preserve"> del mes posterior al que se informa, en un archivo PDF, la propuesta de pagos de los impuestos (Formulario Provisorio) que correspondan declararse en el Formulario N°29 del Servicio de Impuestos Internos</w:t>
            </w:r>
            <w:r w:rsidR="00CA417F" w:rsidRPr="000D1C0B">
              <w:rPr>
                <w:sz w:val="18"/>
                <w:szCs w:val="18"/>
              </w:rPr>
              <w:t>.</w:t>
            </w:r>
          </w:p>
          <w:p w14:paraId="5C1BB1FA" w14:textId="77777777" w:rsidR="001431C9" w:rsidRPr="000D1C0B" w:rsidRDefault="001431C9" w:rsidP="001431C9">
            <w:pPr>
              <w:pStyle w:val="Default"/>
              <w:jc w:val="both"/>
              <w:rPr>
                <w:sz w:val="18"/>
                <w:szCs w:val="18"/>
              </w:rPr>
            </w:pPr>
          </w:p>
          <w:p w14:paraId="7A370B53" w14:textId="4035F339" w:rsidR="001431C9" w:rsidRPr="000D1C0B" w:rsidRDefault="001431C9" w:rsidP="001431C9">
            <w:pPr>
              <w:pStyle w:val="Default"/>
              <w:jc w:val="both"/>
              <w:rPr>
                <w:b/>
                <w:bCs/>
                <w:sz w:val="18"/>
                <w:szCs w:val="18"/>
              </w:rPr>
            </w:pPr>
            <w:r w:rsidRPr="000D1C0B">
              <w:rPr>
                <w:b/>
                <w:bCs/>
                <w:sz w:val="18"/>
                <w:szCs w:val="18"/>
              </w:rPr>
              <w:t>Tercer párrafo del numeral 3 del título III</w:t>
            </w:r>
          </w:p>
          <w:p w14:paraId="70C0B4D6" w14:textId="77777777" w:rsidR="001431C9" w:rsidRPr="000D1C0B" w:rsidRDefault="001431C9" w:rsidP="001431C9">
            <w:pPr>
              <w:pStyle w:val="Default"/>
              <w:jc w:val="both"/>
              <w:rPr>
                <w:b/>
                <w:bCs/>
                <w:sz w:val="18"/>
                <w:szCs w:val="18"/>
              </w:rPr>
            </w:pPr>
          </w:p>
          <w:p w14:paraId="0927CF3A" w14:textId="40C731B3" w:rsidR="001431C9" w:rsidRPr="000D1C0B" w:rsidRDefault="001431C9" w:rsidP="001431C9">
            <w:pPr>
              <w:pStyle w:val="Default"/>
              <w:jc w:val="both"/>
              <w:rPr>
                <w:sz w:val="18"/>
                <w:szCs w:val="18"/>
              </w:rPr>
            </w:pPr>
            <w:r w:rsidRPr="000D1C0B">
              <w:rPr>
                <w:sz w:val="18"/>
                <w:szCs w:val="18"/>
              </w:rPr>
              <w:t xml:space="preserve">A </w:t>
            </w:r>
            <w:proofErr w:type="gramStart"/>
            <w:r w:rsidRPr="000D1C0B">
              <w:rPr>
                <w:sz w:val="18"/>
                <w:szCs w:val="18"/>
              </w:rPr>
              <w:t>continuación</w:t>
            </w:r>
            <w:proofErr w:type="gramEnd"/>
            <w:r w:rsidRPr="000D1C0B">
              <w:rPr>
                <w:sz w:val="18"/>
                <w:szCs w:val="18"/>
              </w:rPr>
              <w:t xml:space="preserve"> y a más tardar </w:t>
            </w:r>
            <w:r w:rsidR="002016A7" w:rsidRPr="000D1C0B">
              <w:rPr>
                <w:sz w:val="18"/>
                <w:szCs w:val="18"/>
              </w:rPr>
              <w:t xml:space="preserve">el </w:t>
            </w:r>
            <w:r w:rsidR="002016A7" w:rsidRPr="000D1C0B">
              <w:rPr>
                <w:b/>
                <w:bCs/>
                <w:sz w:val="18"/>
                <w:szCs w:val="18"/>
              </w:rPr>
              <w:t>día hábil siguiente a la fecha en que corresponde el pago de impuestos</w:t>
            </w:r>
            <w:r w:rsidR="002016A7" w:rsidRPr="000D1C0B">
              <w:rPr>
                <w:sz w:val="18"/>
                <w:szCs w:val="18"/>
              </w:rPr>
              <w:t xml:space="preserve"> de los casinos de juego mediante internet a través del Servicio de Impuestos Internos, respecto de los contribuyentes que cumplan los requisitos para estos efectos, las sociedades operadoras deberán adjuntar en el aplicativo SIOC el archivo tipo PDF con el </w:t>
            </w:r>
            <w:r w:rsidR="0091314E" w:rsidRPr="000D1C0B">
              <w:rPr>
                <w:sz w:val="18"/>
                <w:szCs w:val="18"/>
              </w:rPr>
              <w:t>Formulario</w:t>
            </w:r>
            <w:r w:rsidR="002016A7" w:rsidRPr="000D1C0B">
              <w:rPr>
                <w:sz w:val="18"/>
                <w:szCs w:val="18"/>
              </w:rPr>
              <w:t xml:space="preserve"> N°29 en que conste la declaración y pago de los impuestos correspondientes.</w:t>
            </w:r>
          </w:p>
        </w:tc>
      </w:tr>
      <w:tr w:rsidR="007F7DDA" w:rsidRPr="000D1C0B" w14:paraId="2C257488" w14:textId="77777777" w:rsidTr="007F7DDA">
        <w:trPr>
          <w:trHeight w:val="512"/>
        </w:trPr>
        <w:tc>
          <w:tcPr>
            <w:tcW w:w="611" w:type="dxa"/>
            <w:vAlign w:val="center"/>
          </w:tcPr>
          <w:p w14:paraId="561E6452" w14:textId="77777777" w:rsidR="007F7DDA" w:rsidRPr="000D1C0B" w:rsidRDefault="007F7DDA" w:rsidP="007F7DDA">
            <w:pPr>
              <w:spacing w:line="240" w:lineRule="auto"/>
              <w:jc w:val="center"/>
              <w:rPr>
                <w:rFonts w:ascii="Arial" w:hAnsi="Arial" w:cs="Arial"/>
                <w:spacing w:val="-3"/>
                <w:sz w:val="18"/>
                <w:szCs w:val="18"/>
              </w:rPr>
            </w:pPr>
          </w:p>
        </w:tc>
        <w:tc>
          <w:tcPr>
            <w:tcW w:w="1227" w:type="dxa"/>
            <w:vAlign w:val="center"/>
          </w:tcPr>
          <w:p w14:paraId="66FB8770" w14:textId="39DD3AF4" w:rsidR="007F7DDA" w:rsidRPr="000D1C0B" w:rsidRDefault="007F7DDA" w:rsidP="007F7DDA">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N°43/2013</w:t>
            </w:r>
          </w:p>
        </w:tc>
        <w:tc>
          <w:tcPr>
            <w:tcW w:w="1843" w:type="dxa"/>
          </w:tcPr>
          <w:p w14:paraId="5A87B1DF" w14:textId="427F76D8" w:rsidR="007F7DDA" w:rsidRPr="000D1C0B" w:rsidRDefault="007F7DDA" w:rsidP="007F7DDA">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bases y/o procedimientos de promociones de casinos de juego</w:t>
            </w:r>
          </w:p>
        </w:tc>
        <w:tc>
          <w:tcPr>
            <w:tcW w:w="9497" w:type="dxa"/>
          </w:tcPr>
          <w:p w14:paraId="2EFF1E54" w14:textId="77777777" w:rsidR="007F7DDA" w:rsidRPr="000D1C0B" w:rsidRDefault="007F7DDA" w:rsidP="007F7DDA">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Primer párrafo del numeral 1:</w:t>
            </w:r>
          </w:p>
          <w:p w14:paraId="0C3B3889"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22BF9E37" w14:textId="4B9ADFEC" w:rsidR="007F7DDA" w:rsidRPr="000D1C0B" w:rsidRDefault="007F7DDA" w:rsidP="007F7DDA">
            <w:pPr>
              <w:autoSpaceDE w:val="0"/>
              <w:autoSpaceDN w:val="0"/>
              <w:adjustRightInd w:val="0"/>
              <w:spacing w:after="0" w:line="240" w:lineRule="auto"/>
              <w:jc w:val="both"/>
              <w:rPr>
                <w:rFonts w:ascii="Arial" w:hAnsi="Arial" w:cs="Arial"/>
                <w:sz w:val="18"/>
                <w:szCs w:val="18"/>
                <w:highlight w:val="yellow"/>
              </w:rPr>
            </w:pPr>
            <w:r w:rsidRPr="000D1C0B">
              <w:rPr>
                <w:rFonts w:ascii="Arial" w:hAnsi="Arial" w:cs="Arial"/>
                <w:sz w:val="18"/>
                <w:szCs w:val="18"/>
              </w:rPr>
              <w:t xml:space="preserve">Las bases de promociones; los procedimientos anexos que incidan en las promociones para efectos de su implementación u operatividad, en los que se regulan aspectos tales como la entrega, canje y uso de tickets o </w:t>
            </w:r>
            <w:proofErr w:type="spellStart"/>
            <w:r w:rsidRPr="000D1C0B">
              <w:rPr>
                <w:rFonts w:ascii="Arial" w:hAnsi="Arial" w:cs="Arial"/>
                <w:sz w:val="18"/>
                <w:szCs w:val="18"/>
              </w:rPr>
              <w:t>vouchers</w:t>
            </w:r>
            <w:proofErr w:type="spellEnd"/>
            <w:r w:rsidRPr="000D1C0B">
              <w:rPr>
                <w:rFonts w:ascii="Arial" w:hAnsi="Arial" w:cs="Arial"/>
                <w:sz w:val="18"/>
                <w:szCs w:val="18"/>
              </w:rPr>
              <w:t xml:space="preserve"> promocionales, de cupones de juego o fichas promocionales; así como, las modificaciones de aquellas o aquellos, deberán ser notificadas a la Superintendencia de Casinos de Juego </w:t>
            </w:r>
            <w:r w:rsidRPr="000D1C0B">
              <w:rPr>
                <w:rFonts w:ascii="Arial" w:hAnsi="Arial" w:cs="Arial"/>
                <w:b/>
                <w:bCs/>
                <w:sz w:val="18"/>
                <w:szCs w:val="18"/>
              </w:rPr>
              <w:t>con una anticipación</w:t>
            </w:r>
            <w:r w:rsidRPr="000D1C0B">
              <w:rPr>
                <w:rFonts w:ascii="Arial" w:hAnsi="Arial" w:cs="Arial"/>
                <w:sz w:val="18"/>
                <w:szCs w:val="18"/>
              </w:rPr>
              <w:t xml:space="preserve"> de, </w:t>
            </w:r>
            <w:r w:rsidRPr="000D1C0B">
              <w:rPr>
                <w:rFonts w:ascii="Arial" w:hAnsi="Arial" w:cs="Arial"/>
                <w:b/>
                <w:bCs/>
                <w:sz w:val="18"/>
                <w:szCs w:val="18"/>
              </w:rPr>
              <w:t>a lo menos</w:t>
            </w:r>
            <w:r w:rsidRPr="000D1C0B">
              <w:rPr>
                <w:rFonts w:ascii="Arial" w:hAnsi="Arial" w:cs="Arial"/>
                <w:sz w:val="18"/>
                <w:szCs w:val="18"/>
              </w:rPr>
              <w:t xml:space="preserve">, </w:t>
            </w:r>
            <w:r w:rsidRPr="000D1C0B">
              <w:rPr>
                <w:rFonts w:ascii="Arial" w:hAnsi="Arial" w:cs="Arial"/>
                <w:b/>
                <w:bCs/>
                <w:sz w:val="18"/>
                <w:szCs w:val="18"/>
              </w:rPr>
              <w:t>5 días hábiles</w:t>
            </w:r>
            <w:r w:rsidRPr="000D1C0B">
              <w:rPr>
                <w:rFonts w:ascii="Arial" w:hAnsi="Arial" w:cs="Arial"/>
                <w:sz w:val="18"/>
                <w:szCs w:val="18"/>
              </w:rPr>
              <w:t xml:space="preserve"> respecto de la fecha en que la sociedad operadora pretenda dar inicio a la respectiva promoción, o aplicar el procedimiento que incida en una promoción, o implementar las modificaciones a una u otro, indicando en la carta conductora la fecha prevista para ello.</w:t>
            </w:r>
          </w:p>
        </w:tc>
      </w:tr>
      <w:tr w:rsidR="007F7DDA" w:rsidRPr="000D1C0B" w14:paraId="16622FB3" w14:textId="77777777" w:rsidTr="002643A1">
        <w:trPr>
          <w:trHeight w:val="512"/>
        </w:trPr>
        <w:tc>
          <w:tcPr>
            <w:tcW w:w="611" w:type="dxa"/>
            <w:vAlign w:val="center"/>
          </w:tcPr>
          <w:p w14:paraId="2847DA0E" w14:textId="351E90CE" w:rsidR="007F7DDA" w:rsidRPr="000D1C0B" w:rsidRDefault="007F7DDA" w:rsidP="007F7DDA">
            <w:pPr>
              <w:spacing w:line="240" w:lineRule="auto"/>
              <w:jc w:val="center"/>
              <w:rPr>
                <w:rFonts w:ascii="Arial" w:hAnsi="Arial" w:cs="Arial"/>
                <w:spacing w:val="-3"/>
                <w:sz w:val="18"/>
                <w:szCs w:val="18"/>
              </w:rPr>
            </w:pPr>
            <w:r w:rsidRPr="000D1C0B">
              <w:rPr>
                <w:rFonts w:ascii="Arial" w:hAnsi="Arial" w:cs="Arial"/>
                <w:spacing w:val="-3"/>
                <w:sz w:val="18"/>
                <w:szCs w:val="18"/>
              </w:rPr>
              <w:t>6</w:t>
            </w:r>
          </w:p>
        </w:tc>
        <w:tc>
          <w:tcPr>
            <w:tcW w:w="1227" w:type="dxa"/>
            <w:vAlign w:val="center"/>
          </w:tcPr>
          <w:p w14:paraId="6F54FE64" w14:textId="77777777" w:rsidR="007F7DDA" w:rsidRPr="000D1C0B" w:rsidRDefault="007F7DDA" w:rsidP="007F7DDA">
            <w:pPr>
              <w:spacing w:line="240" w:lineRule="auto"/>
              <w:jc w:val="center"/>
              <w:rPr>
                <w:rFonts w:ascii="Arial" w:eastAsia="Times New Roman" w:hAnsi="Arial" w:cs="Arial"/>
                <w:color w:val="000000"/>
                <w:sz w:val="18"/>
                <w:szCs w:val="18"/>
                <w:lang w:eastAsia="es-CL"/>
              </w:rPr>
            </w:pPr>
            <w:r w:rsidRPr="000D1C0B">
              <w:rPr>
                <w:rFonts w:ascii="Arial" w:eastAsia="Times New Roman" w:hAnsi="Arial" w:cs="Arial"/>
                <w:color w:val="000000"/>
                <w:sz w:val="18"/>
                <w:szCs w:val="18"/>
                <w:lang w:eastAsia="es-CL"/>
              </w:rPr>
              <w:t>Circular N°57/2014</w:t>
            </w:r>
          </w:p>
          <w:p w14:paraId="67851470" w14:textId="34540F21" w:rsidR="007F7DDA" w:rsidRPr="000D1C0B" w:rsidRDefault="007F7DDA" w:rsidP="007F7DDA">
            <w:pPr>
              <w:spacing w:line="240" w:lineRule="auto"/>
              <w:jc w:val="center"/>
              <w:rPr>
                <w:rFonts w:ascii="Arial" w:hAnsi="Arial" w:cs="Arial"/>
                <w:bCs/>
                <w:spacing w:val="-3"/>
                <w:sz w:val="18"/>
                <w:szCs w:val="18"/>
              </w:rPr>
            </w:pPr>
            <w:r w:rsidRPr="000D1C0B">
              <w:rPr>
                <w:rFonts w:ascii="Arial" w:eastAsia="Times New Roman" w:hAnsi="Arial" w:cs="Arial"/>
                <w:bCs/>
                <w:color w:val="000000"/>
                <w:spacing w:val="-3"/>
                <w:sz w:val="18"/>
                <w:szCs w:val="18"/>
                <w:lang w:eastAsia="es-CL"/>
              </w:rPr>
              <w:t xml:space="preserve">modificada por la </w:t>
            </w:r>
            <w:r w:rsidRPr="000D1C0B">
              <w:rPr>
                <w:rFonts w:ascii="Arial" w:eastAsia="Times New Roman" w:hAnsi="Arial" w:cs="Arial"/>
                <w:bCs/>
                <w:color w:val="000000"/>
                <w:spacing w:val="-3"/>
                <w:sz w:val="18"/>
                <w:szCs w:val="18"/>
                <w:lang w:eastAsia="es-CL"/>
              </w:rPr>
              <w:lastRenderedPageBreak/>
              <w:t>Circular N°60/2015</w:t>
            </w:r>
          </w:p>
        </w:tc>
        <w:tc>
          <w:tcPr>
            <w:tcW w:w="1843" w:type="dxa"/>
            <w:vAlign w:val="center"/>
          </w:tcPr>
          <w:p w14:paraId="776E0638" w14:textId="34724601" w:rsidR="007F7DDA" w:rsidRPr="000D1C0B" w:rsidRDefault="007F7DDA" w:rsidP="007F7DDA">
            <w:pPr>
              <w:spacing w:after="0" w:line="240" w:lineRule="auto"/>
              <w:jc w:val="both"/>
              <w:rPr>
                <w:rFonts w:ascii="Arial" w:hAnsi="Arial" w:cs="Arial"/>
                <w:bCs/>
                <w:spacing w:val="-3"/>
                <w:sz w:val="18"/>
                <w:szCs w:val="18"/>
              </w:rPr>
            </w:pPr>
            <w:r w:rsidRPr="000D1C0B">
              <w:rPr>
                <w:rFonts w:ascii="Arial" w:hAnsi="Arial" w:cs="Arial"/>
                <w:sz w:val="18"/>
                <w:szCs w:val="18"/>
              </w:rPr>
              <w:lastRenderedPageBreak/>
              <w:t>Notificación de prevención de lavado de activos</w:t>
            </w:r>
          </w:p>
        </w:tc>
        <w:tc>
          <w:tcPr>
            <w:tcW w:w="9497" w:type="dxa"/>
            <w:vAlign w:val="center"/>
          </w:tcPr>
          <w:p w14:paraId="0B04633F" w14:textId="2B16FA7A" w:rsidR="007F7DDA" w:rsidRPr="000D1C0B" w:rsidRDefault="007F7DDA" w:rsidP="007F7DDA">
            <w:pPr>
              <w:autoSpaceDE w:val="0"/>
              <w:autoSpaceDN w:val="0"/>
              <w:adjustRightInd w:val="0"/>
              <w:spacing w:after="0" w:line="240" w:lineRule="auto"/>
              <w:jc w:val="both"/>
              <w:rPr>
                <w:rFonts w:ascii="Arial" w:hAnsi="Arial" w:cs="Arial"/>
                <w:b/>
                <w:bCs/>
                <w:color w:val="000000"/>
                <w:sz w:val="18"/>
                <w:szCs w:val="18"/>
              </w:rPr>
            </w:pPr>
            <w:r w:rsidRPr="000D1C0B">
              <w:rPr>
                <w:rFonts w:ascii="Arial" w:hAnsi="Arial" w:cs="Arial"/>
                <w:b/>
                <w:bCs/>
                <w:color w:val="000000"/>
                <w:sz w:val="18"/>
                <w:szCs w:val="18"/>
              </w:rPr>
              <w:t>Tercer párrafo del numeral 2:</w:t>
            </w:r>
          </w:p>
          <w:p w14:paraId="426026C0" w14:textId="77777777" w:rsidR="007F7DDA" w:rsidRPr="000D1C0B" w:rsidRDefault="007F7DDA" w:rsidP="007F7DDA">
            <w:pPr>
              <w:autoSpaceDE w:val="0"/>
              <w:autoSpaceDN w:val="0"/>
              <w:adjustRightInd w:val="0"/>
              <w:spacing w:after="0" w:line="240" w:lineRule="auto"/>
              <w:jc w:val="both"/>
              <w:rPr>
                <w:rFonts w:ascii="Arial" w:hAnsi="Arial" w:cs="Arial"/>
                <w:color w:val="000000"/>
                <w:sz w:val="18"/>
                <w:szCs w:val="18"/>
              </w:rPr>
            </w:pPr>
          </w:p>
          <w:p w14:paraId="52F18402" w14:textId="1BCC50D7" w:rsidR="007F7DDA" w:rsidRPr="000D1C0B" w:rsidRDefault="007F7DDA" w:rsidP="007F7DDA">
            <w:pPr>
              <w:autoSpaceDE w:val="0"/>
              <w:autoSpaceDN w:val="0"/>
              <w:adjustRightInd w:val="0"/>
              <w:spacing w:after="0" w:line="240" w:lineRule="auto"/>
              <w:jc w:val="both"/>
              <w:rPr>
                <w:rFonts w:ascii="Arial" w:hAnsi="Arial" w:cs="Arial"/>
                <w:color w:val="000000"/>
                <w:sz w:val="18"/>
                <w:szCs w:val="18"/>
              </w:rPr>
            </w:pPr>
            <w:r w:rsidRPr="000D1C0B">
              <w:rPr>
                <w:rFonts w:ascii="Arial" w:hAnsi="Arial" w:cs="Arial"/>
                <w:color w:val="000000"/>
                <w:sz w:val="18"/>
                <w:szCs w:val="18"/>
              </w:rPr>
              <w:t xml:space="preserve">En este sentido, y en lo sucesivo, en las sesiones de Directorio de las sociedades que operen un casino de juego, se deberá dejar constancia en las actas correspondientes de las acciones desarrolladas, implementadas o ejecutadas en cumplimiento de lo prescrito en la presente circular. Copia auténtica de la o las actas que den cuenta de la </w:t>
            </w:r>
            <w:r w:rsidRPr="000D1C0B">
              <w:rPr>
                <w:rFonts w:ascii="Arial" w:hAnsi="Arial" w:cs="Arial"/>
                <w:color w:val="000000"/>
                <w:sz w:val="18"/>
                <w:szCs w:val="18"/>
              </w:rPr>
              <w:lastRenderedPageBreak/>
              <w:t xml:space="preserve">respectiva sesión de Directorio, deberán ser remitida (s) a la Unidad de Análisis Financiero y a la Superintendencia de Casinos de Juego, dentro del </w:t>
            </w:r>
            <w:r w:rsidRPr="000D1C0B">
              <w:rPr>
                <w:rFonts w:ascii="Arial" w:hAnsi="Arial" w:cs="Arial"/>
                <w:b/>
                <w:bCs/>
                <w:color w:val="000000"/>
                <w:sz w:val="18"/>
                <w:szCs w:val="18"/>
              </w:rPr>
              <w:t>plazo de 20 días corridos</w:t>
            </w:r>
            <w:r w:rsidRPr="000D1C0B">
              <w:rPr>
                <w:rFonts w:ascii="Arial" w:hAnsi="Arial" w:cs="Arial"/>
                <w:color w:val="000000"/>
                <w:sz w:val="18"/>
                <w:szCs w:val="18"/>
              </w:rPr>
              <w:t xml:space="preserve">, siguientes a la realización de cada una de estas sesiones. En los demás casos, el o los administradores deberán enviar un informe detallado que dé cuenta de lo antes señalado, </w:t>
            </w:r>
            <w:r w:rsidRPr="000D1C0B">
              <w:rPr>
                <w:rFonts w:ascii="Arial" w:hAnsi="Arial" w:cs="Arial"/>
                <w:b/>
                <w:bCs/>
                <w:color w:val="000000"/>
                <w:sz w:val="18"/>
                <w:szCs w:val="18"/>
              </w:rPr>
              <w:t>a lo menos dos veces en un año.</w:t>
            </w:r>
          </w:p>
        </w:tc>
      </w:tr>
      <w:tr w:rsidR="007F7DDA" w:rsidRPr="000D1C0B" w14:paraId="541496F8" w14:textId="77777777" w:rsidTr="002643A1">
        <w:trPr>
          <w:trHeight w:val="512"/>
        </w:trPr>
        <w:tc>
          <w:tcPr>
            <w:tcW w:w="611" w:type="dxa"/>
            <w:vAlign w:val="center"/>
          </w:tcPr>
          <w:p w14:paraId="5C5416CD" w14:textId="2B90D311" w:rsidR="007F7DDA" w:rsidRPr="000D1C0B" w:rsidRDefault="007F7DDA" w:rsidP="007F7DDA">
            <w:pPr>
              <w:spacing w:line="240" w:lineRule="auto"/>
              <w:jc w:val="center"/>
              <w:rPr>
                <w:rFonts w:ascii="Arial" w:hAnsi="Arial" w:cs="Arial"/>
                <w:spacing w:val="-3"/>
                <w:sz w:val="18"/>
                <w:szCs w:val="18"/>
              </w:rPr>
            </w:pPr>
            <w:r w:rsidRPr="000D1C0B">
              <w:rPr>
                <w:rFonts w:ascii="Arial" w:hAnsi="Arial" w:cs="Arial"/>
                <w:spacing w:val="-3"/>
                <w:sz w:val="18"/>
                <w:szCs w:val="18"/>
              </w:rPr>
              <w:lastRenderedPageBreak/>
              <w:t>7</w:t>
            </w:r>
          </w:p>
        </w:tc>
        <w:tc>
          <w:tcPr>
            <w:tcW w:w="1227" w:type="dxa"/>
            <w:vAlign w:val="center"/>
          </w:tcPr>
          <w:p w14:paraId="20FB93E9" w14:textId="6C25B517" w:rsidR="007F7DDA" w:rsidRPr="000D1C0B" w:rsidRDefault="007F7DDA" w:rsidP="007F7DDA">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N°86/2017</w:t>
            </w:r>
          </w:p>
        </w:tc>
        <w:tc>
          <w:tcPr>
            <w:tcW w:w="1843" w:type="dxa"/>
            <w:vAlign w:val="center"/>
          </w:tcPr>
          <w:p w14:paraId="6E661886" w14:textId="7DA12E59" w:rsidR="007F7DDA" w:rsidRPr="000D1C0B" w:rsidRDefault="007F7DDA" w:rsidP="007F7DDA">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responsable de billetes falsos</w:t>
            </w:r>
          </w:p>
        </w:tc>
        <w:tc>
          <w:tcPr>
            <w:tcW w:w="9497" w:type="dxa"/>
            <w:vAlign w:val="center"/>
          </w:tcPr>
          <w:p w14:paraId="2B7BFFA6"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Numeral 5.1</w:t>
            </w:r>
            <w:r w:rsidRPr="000D1C0B">
              <w:rPr>
                <w:rFonts w:ascii="Arial" w:hAnsi="Arial" w:cs="Arial"/>
                <w:sz w:val="18"/>
                <w:szCs w:val="18"/>
              </w:rPr>
              <w:t>:</w:t>
            </w:r>
          </w:p>
          <w:p w14:paraId="4F0B4BC2"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5DC7C670" w14:textId="7F66441D" w:rsidR="007F7DDA" w:rsidRPr="000D1C0B" w:rsidRDefault="007F7DDA" w:rsidP="007F7DDA">
            <w:pPr>
              <w:autoSpaceDE w:val="0"/>
              <w:autoSpaceDN w:val="0"/>
              <w:adjustRightInd w:val="0"/>
              <w:spacing w:after="0" w:line="240" w:lineRule="auto"/>
              <w:jc w:val="both"/>
              <w:rPr>
                <w:rFonts w:ascii="Arial" w:hAnsi="Arial" w:cs="Arial"/>
                <w:b/>
                <w:bCs/>
                <w:sz w:val="18"/>
                <w:szCs w:val="18"/>
              </w:rPr>
            </w:pPr>
            <w:r w:rsidRPr="000D1C0B">
              <w:rPr>
                <w:rFonts w:ascii="Arial" w:hAnsi="Arial" w:cs="Arial"/>
                <w:sz w:val="18"/>
                <w:szCs w:val="18"/>
              </w:rPr>
              <w:t xml:space="preserve">Coordinación: Para los efectos de coordinación, las sociedades operadoras deberán comunicar a la Gerencia de Tesorería del BCCH y a esta Superintendencia, durante el </w:t>
            </w:r>
            <w:r w:rsidRPr="000D1C0B">
              <w:rPr>
                <w:rFonts w:ascii="Arial" w:hAnsi="Arial" w:cs="Arial"/>
                <w:b/>
                <w:bCs/>
                <w:sz w:val="18"/>
                <w:szCs w:val="18"/>
              </w:rPr>
              <w:t>mes de marzo de cada año</w:t>
            </w:r>
            <w:r w:rsidRPr="000D1C0B">
              <w:rPr>
                <w:rFonts w:ascii="Arial" w:hAnsi="Arial" w:cs="Arial"/>
                <w:sz w:val="18"/>
                <w:szCs w:val="18"/>
              </w:rPr>
              <w:t xml:space="preserve">, el nombre y datos de contacto del responsable del proceso de selección y envío de la información solicitada al BCCH. En caso de nombrarse otro responsable, dicha información deberá ser actualizada dentro de los </w:t>
            </w:r>
            <w:r w:rsidRPr="000D1C0B">
              <w:rPr>
                <w:rFonts w:ascii="Arial" w:hAnsi="Arial" w:cs="Arial"/>
                <w:b/>
                <w:bCs/>
                <w:sz w:val="18"/>
                <w:szCs w:val="18"/>
              </w:rPr>
              <w:t>10 días hábiles</w:t>
            </w:r>
            <w:r w:rsidRPr="000D1C0B">
              <w:rPr>
                <w:rFonts w:ascii="Arial" w:hAnsi="Arial" w:cs="Arial"/>
                <w:sz w:val="18"/>
                <w:szCs w:val="18"/>
              </w:rPr>
              <w:t xml:space="preserve"> siguientes contados desde la fecha de su designación.</w:t>
            </w:r>
          </w:p>
        </w:tc>
      </w:tr>
      <w:tr w:rsidR="007F7DDA" w:rsidRPr="000D1C0B" w14:paraId="21E2EAF9" w14:textId="77777777" w:rsidTr="002643A1">
        <w:trPr>
          <w:trHeight w:val="512"/>
        </w:trPr>
        <w:tc>
          <w:tcPr>
            <w:tcW w:w="611" w:type="dxa"/>
            <w:vAlign w:val="center"/>
          </w:tcPr>
          <w:p w14:paraId="06F71A83" w14:textId="3E01EA60" w:rsidR="007F7DDA" w:rsidRPr="000D1C0B" w:rsidRDefault="007F7DDA" w:rsidP="007F7DDA">
            <w:pPr>
              <w:spacing w:line="240" w:lineRule="auto"/>
              <w:jc w:val="center"/>
              <w:rPr>
                <w:rFonts w:ascii="Arial" w:hAnsi="Arial" w:cs="Arial"/>
                <w:spacing w:val="-3"/>
                <w:sz w:val="18"/>
                <w:szCs w:val="18"/>
              </w:rPr>
            </w:pPr>
            <w:r w:rsidRPr="000D1C0B">
              <w:rPr>
                <w:rFonts w:ascii="Arial" w:hAnsi="Arial" w:cs="Arial"/>
                <w:spacing w:val="-3"/>
                <w:sz w:val="18"/>
                <w:szCs w:val="18"/>
              </w:rPr>
              <w:t>8</w:t>
            </w:r>
          </w:p>
        </w:tc>
        <w:tc>
          <w:tcPr>
            <w:tcW w:w="1227" w:type="dxa"/>
            <w:vAlign w:val="center"/>
          </w:tcPr>
          <w:p w14:paraId="50C0C2A5" w14:textId="3AD402B2" w:rsidR="007F7DDA" w:rsidRPr="000D1C0B" w:rsidRDefault="007F7DDA" w:rsidP="007F7DDA">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N°94/2018</w:t>
            </w:r>
          </w:p>
        </w:tc>
        <w:tc>
          <w:tcPr>
            <w:tcW w:w="1843" w:type="dxa"/>
            <w:vAlign w:val="center"/>
          </w:tcPr>
          <w:p w14:paraId="0DF8107B" w14:textId="7278460C" w:rsidR="007F7DDA" w:rsidRPr="000D1C0B" w:rsidRDefault="007F7DDA" w:rsidP="007F7DDA">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procedimientos operativos</w:t>
            </w:r>
          </w:p>
        </w:tc>
        <w:tc>
          <w:tcPr>
            <w:tcW w:w="9497" w:type="dxa"/>
            <w:vAlign w:val="center"/>
          </w:tcPr>
          <w:p w14:paraId="0B241CF8" w14:textId="77777777" w:rsidR="007F7DDA" w:rsidRPr="000D1C0B" w:rsidRDefault="007F7DDA" w:rsidP="007F7DDA">
            <w:pPr>
              <w:pStyle w:val="Default"/>
              <w:numPr>
                <w:ilvl w:val="0"/>
                <w:numId w:val="30"/>
              </w:numPr>
              <w:jc w:val="both"/>
              <w:rPr>
                <w:b/>
                <w:bCs/>
                <w:sz w:val="18"/>
                <w:szCs w:val="18"/>
              </w:rPr>
            </w:pPr>
            <w:r w:rsidRPr="000D1C0B">
              <w:rPr>
                <w:b/>
                <w:bCs/>
                <w:sz w:val="18"/>
                <w:szCs w:val="18"/>
              </w:rPr>
              <w:t>Segundo párrafo del literal c del numeral 4:</w:t>
            </w:r>
          </w:p>
          <w:p w14:paraId="03780B12" w14:textId="77777777" w:rsidR="007F7DDA" w:rsidRPr="000D1C0B" w:rsidRDefault="007F7DDA" w:rsidP="007F7DDA">
            <w:pPr>
              <w:pStyle w:val="Default"/>
              <w:numPr>
                <w:ilvl w:val="0"/>
                <w:numId w:val="30"/>
              </w:numPr>
              <w:jc w:val="both"/>
              <w:rPr>
                <w:b/>
                <w:bCs/>
                <w:sz w:val="18"/>
                <w:szCs w:val="18"/>
              </w:rPr>
            </w:pPr>
          </w:p>
          <w:p w14:paraId="009CFEAD" w14:textId="2EFE80FB" w:rsidR="007F7DDA" w:rsidRPr="000D1C0B" w:rsidRDefault="007F7DDA" w:rsidP="007F7DDA">
            <w:pPr>
              <w:autoSpaceDE w:val="0"/>
              <w:autoSpaceDN w:val="0"/>
              <w:adjustRightInd w:val="0"/>
              <w:spacing w:after="0" w:line="240" w:lineRule="auto"/>
              <w:jc w:val="both"/>
              <w:rPr>
                <w:rFonts w:ascii="Arial" w:hAnsi="Arial" w:cs="Arial"/>
                <w:b/>
                <w:bCs/>
                <w:sz w:val="18"/>
                <w:szCs w:val="18"/>
              </w:rPr>
            </w:pPr>
            <w:r w:rsidRPr="000D1C0B">
              <w:rPr>
                <w:rFonts w:ascii="Arial" w:hAnsi="Arial" w:cs="Arial"/>
                <w:sz w:val="18"/>
                <w:szCs w:val="18"/>
              </w:rPr>
              <w:t xml:space="preserve">Este procedimiento, en su primera versión deberá ser enviado a esta Superintendencia dentro de los 30 días hábiles posteriores a la </w:t>
            </w:r>
            <w:proofErr w:type="gramStart"/>
            <w:r w:rsidRPr="000D1C0B">
              <w:rPr>
                <w:rFonts w:ascii="Arial" w:hAnsi="Arial" w:cs="Arial"/>
                <w:sz w:val="18"/>
                <w:szCs w:val="18"/>
              </w:rPr>
              <w:t>entrada en vigencia</w:t>
            </w:r>
            <w:proofErr w:type="gramEnd"/>
            <w:r w:rsidRPr="000D1C0B">
              <w:rPr>
                <w:rFonts w:ascii="Arial" w:hAnsi="Arial" w:cs="Arial"/>
                <w:sz w:val="18"/>
                <w:szCs w:val="18"/>
              </w:rPr>
              <w:t xml:space="preserve"> de esta circular. Toda modificación o actualización del procedimiento definido para el sistema de CCTV deberá registrarse en una nueva versión, la cual deberá ser enviada a esta Superintendencia a más tardar dentro del plazo de </w:t>
            </w:r>
            <w:r w:rsidRPr="000D1C0B">
              <w:rPr>
                <w:rFonts w:ascii="Arial" w:hAnsi="Arial" w:cs="Arial"/>
                <w:b/>
                <w:bCs/>
                <w:sz w:val="18"/>
                <w:szCs w:val="18"/>
              </w:rPr>
              <w:t>10 días hábiles</w:t>
            </w:r>
            <w:r w:rsidRPr="000D1C0B">
              <w:rPr>
                <w:rFonts w:ascii="Arial" w:hAnsi="Arial" w:cs="Arial"/>
                <w:sz w:val="18"/>
                <w:szCs w:val="18"/>
              </w:rPr>
              <w:t xml:space="preserve"> posteriores a su fecha de vigencia. El documento deberá contar con un control de cambios donde al menos se defina:</w:t>
            </w:r>
          </w:p>
        </w:tc>
      </w:tr>
      <w:tr w:rsidR="007F7DDA" w:rsidRPr="000D1C0B" w14:paraId="0E2574A0" w14:textId="0D9EED8A" w:rsidTr="002643A1">
        <w:trPr>
          <w:trHeight w:val="512"/>
        </w:trPr>
        <w:tc>
          <w:tcPr>
            <w:tcW w:w="611" w:type="dxa"/>
            <w:vAlign w:val="center"/>
          </w:tcPr>
          <w:p w14:paraId="76874C86" w14:textId="2C8E574B" w:rsidR="007F7DDA" w:rsidRPr="000D1C0B" w:rsidRDefault="007F7DDA" w:rsidP="007F7DDA">
            <w:pPr>
              <w:spacing w:line="240" w:lineRule="auto"/>
              <w:jc w:val="center"/>
              <w:rPr>
                <w:rFonts w:ascii="Arial" w:hAnsi="Arial" w:cs="Arial"/>
                <w:bCs/>
                <w:spacing w:val="-3"/>
                <w:sz w:val="18"/>
                <w:szCs w:val="18"/>
              </w:rPr>
            </w:pPr>
            <w:r w:rsidRPr="000D1C0B">
              <w:rPr>
                <w:rFonts w:ascii="Arial" w:hAnsi="Arial" w:cs="Arial"/>
                <w:bCs/>
                <w:spacing w:val="-3"/>
                <w:sz w:val="18"/>
                <w:szCs w:val="18"/>
              </w:rPr>
              <w:t>9</w:t>
            </w:r>
          </w:p>
        </w:tc>
        <w:tc>
          <w:tcPr>
            <w:tcW w:w="1227" w:type="dxa"/>
            <w:vAlign w:val="center"/>
          </w:tcPr>
          <w:p w14:paraId="3F8F954F" w14:textId="0B610B87" w:rsidR="007F7DDA" w:rsidRPr="000D1C0B" w:rsidRDefault="007F7DDA" w:rsidP="007F7DDA">
            <w:pPr>
              <w:spacing w:line="240" w:lineRule="auto"/>
              <w:jc w:val="center"/>
              <w:rPr>
                <w:rFonts w:ascii="Arial" w:hAnsi="Arial" w:cs="Arial"/>
                <w:bCs/>
                <w:spacing w:val="-3"/>
                <w:sz w:val="18"/>
                <w:szCs w:val="18"/>
              </w:rPr>
            </w:pPr>
            <w:r w:rsidRPr="000D1C0B">
              <w:rPr>
                <w:rFonts w:ascii="Arial" w:hAnsi="Arial" w:cs="Arial"/>
                <w:bCs/>
                <w:spacing w:val="-3"/>
                <w:sz w:val="18"/>
                <w:szCs w:val="18"/>
              </w:rPr>
              <w:t>Circular N°96/2018</w:t>
            </w:r>
          </w:p>
        </w:tc>
        <w:tc>
          <w:tcPr>
            <w:tcW w:w="1843" w:type="dxa"/>
            <w:vAlign w:val="center"/>
          </w:tcPr>
          <w:p w14:paraId="025FCF72" w14:textId="5BEB3377" w:rsidR="007F7DDA" w:rsidRPr="000D1C0B" w:rsidRDefault="007F7DDA" w:rsidP="007F7DDA">
            <w:pPr>
              <w:spacing w:line="240" w:lineRule="auto"/>
              <w:jc w:val="both"/>
              <w:rPr>
                <w:rFonts w:ascii="Arial" w:hAnsi="Arial" w:cs="Arial"/>
                <w:bCs/>
                <w:spacing w:val="-3"/>
                <w:sz w:val="18"/>
                <w:szCs w:val="18"/>
              </w:rPr>
            </w:pPr>
            <w:r w:rsidRPr="000D1C0B">
              <w:rPr>
                <w:rFonts w:ascii="Arial" w:hAnsi="Arial" w:cs="Arial"/>
                <w:bCs/>
                <w:spacing w:val="-3"/>
                <w:sz w:val="18"/>
                <w:szCs w:val="18"/>
              </w:rPr>
              <w:t>Notificación de coordinador/a de casino municipal</w:t>
            </w:r>
          </w:p>
        </w:tc>
        <w:tc>
          <w:tcPr>
            <w:tcW w:w="9497" w:type="dxa"/>
            <w:vAlign w:val="center"/>
          </w:tcPr>
          <w:p w14:paraId="32C5A278" w14:textId="3FB17D31"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Quinto párrafo del numeral 3</w:t>
            </w:r>
            <w:r w:rsidRPr="000D1C0B">
              <w:rPr>
                <w:rFonts w:ascii="Arial" w:hAnsi="Arial" w:cs="Arial"/>
                <w:sz w:val="18"/>
                <w:szCs w:val="18"/>
              </w:rPr>
              <w:t>:</w:t>
            </w:r>
          </w:p>
          <w:p w14:paraId="22EE82ED"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30A5F06D" w14:textId="20A82828"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En caso de que se modifique el coordinador titular designado o su reemplazante, la sociedad concesionaria deberá comunicarlo a esta Superintendencia, dentro de los </w:t>
            </w:r>
            <w:r w:rsidRPr="000D1C0B">
              <w:rPr>
                <w:rFonts w:ascii="Arial" w:hAnsi="Arial" w:cs="Arial"/>
                <w:b/>
                <w:bCs/>
                <w:sz w:val="18"/>
                <w:szCs w:val="18"/>
              </w:rPr>
              <w:t>10 días hábiles siguientes</w:t>
            </w:r>
            <w:r w:rsidRPr="000D1C0B">
              <w:rPr>
                <w:rFonts w:ascii="Arial" w:hAnsi="Arial" w:cs="Arial"/>
                <w:sz w:val="18"/>
                <w:szCs w:val="18"/>
              </w:rPr>
              <w:t xml:space="preserve"> de ocurrido el hecho de la respectiva modificación.</w:t>
            </w:r>
          </w:p>
        </w:tc>
      </w:tr>
      <w:tr w:rsidR="007F7DDA" w:rsidRPr="000D1C0B" w14:paraId="556B85D6" w14:textId="29F1ACCB" w:rsidTr="002643A1">
        <w:trPr>
          <w:trHeight w:val="512"/>
        </w:trPr>
        <w:tc>
          <w:tcPr>
            <w:tcW w:w="611" w:type="dxa"/>
            <w:vAlign w:val="center"/>
          </w:tcPr>
          <w:p w14:paraId="23D1003C" w14:textId="57FFA07D" w:rsidR="007F7DDA" w:rsidRPr="000D1C0B" w:rsidRDefault="007F7DDA" w:rsidP="007F7DDA">
            <w:pPr>
              <w:spacing w:line="240" w:lineRule="auto"/>
              <w:jc w:val="center"/>
              <w:rPr>
                <w:rFonts w:ascii="Arial" w:hAnsi="Arial" w:cs="Arial"/>
                <w:bCs/>
                <w:spacing w:val="-3"/>
                <w:sz w:val="18"/>
                <w:szCs w:val="18"/>
              </w:rPr>
            </w:pPr>
            <w:r w:rsidRPr="000D1C0B">
              <w:rPr>
                <w:rFonts w:ascii="Arial" w:hAnsi="Arial" w:cs="Arial"/>
                <w:bCs/>
                <w:spacing w:val="-3"/>
                <w:sz w:val="18"/>
                <w:szCs w:val="18"/>
              </w:rPr>
              <w:t>10</w:t>
            </w:r>
          </w:p>
        </w:tc>
        <w:tc>
          <w:tcPr>
            <w:tcW w:w="1227" w:type="dxa"/>
            <w:vAlign w:val="center"/>
          </w:tcPr>
          <w:p w14:paraId="7D9211FA" w14:textId="7666EAFB" w:rsidR="007F7DDA" w:rsidRPr="000D1C0B" w:rsidRDefault="007F7DDA" w:rsidP="007F7DDA">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 N°105/2019</w:t>
            </w:r>
          </w:p>
          <w:p w14:paraId="13056F2E" w14:textId="77777777" w:rsidR="007F7DDA" w:rsidRPr="000D1C0B" w:rsidRDefault="007F7DDA" w:rsidP="007F7DDA">
            <w:pPr>
              <w:spacing w:after="0" w:line="240" w:lineRule="auto"/>
              <w:jc w:val="center"/>
              <w:rPr>
                <w:rFonts w:ascii="Arial" w:hAnsi="Arial" w:cs="Arial"/>
                <w:bCs/>
                <w:spacing w:val="-3"/>
                <w:sz w:val="18"/>
                <w:szCs w:val="18"/>
              </w:rPr>
            </w:pPr>
          </w:p>
          <w:p w14:paraId="37F99CFC" w14:textId="14F5A818" w:rsidR="007F7DDA" w:rsidRPr="000D1C0B" w:rsidRDefault="007F7DDA" w:rsidP="007F7DDA">
            <w:pPr>
              <w:spacing w:after="0" w:line="240" w:lineRule="auto"/>
              <w:jc w:val="center"/>
              <w:rPr>
                <w:rFonts w:ascii="Arial" w:hAnsi="Arial" w:cs="Arial"/>
                <w:bCs/>
                <w:spacing w:val="-3"/>
                <w:sz w:val="18"/>
                <w:szCs w:val="18"/>
              </w:rPr>
            </w:pPr>
            <w:r w:rsidRPr="000D1C0B">
              <w:rPr>
                <w:rFonts w:ascii="Arial" w:hAnsi="Arial" w:cs="Arial"/>
                <w:bCs/>
                <w:spacing w:val="-3"/>
                <w:sz w:val="18"/>
                <w:szCs w:val="18"/>
              </w:rPr>
              <w:t>modificada por la</w:t>
            </w:r>
          </w:p>
          <w:p w14:paraId="2D00104B" w14:textId="77777777" w:rsidR="007F7DDA" w:rsidRPr="000D1C0B" w:rsidRDefault="007F7DDA" w:rsidP="007F7DDA">
            <w:pPr>
              <w:spacing w:after="0" w:line="240" w:lineRule="auto"/>
              <w:jc w:val="center"/>
              <w:rPr>
                <w:rFonts w:ascii="Arial" w:hAnsi="Arial" w:cs="Arial"/>
                <w:bCs/>
                <w:spacing w:val="-3"/>
                <w:sz w:val="18"/>
                <w:szCs w:val="18"/>
              </w:rPr>
            </w:pPr>
          </w:p>
          <w:p w14:paraId="62ECEBEA" w14:textId="2C720394" w:rsidR="007F7DDA" w:rsidRPr="000D1C0B" w:rsidRDefault="007F7DDA" w:rsidP="007F7DDA">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 N°109/2020</w:t>
            </w:r>
          </w:p>
          <w:p w14:paraId="2402D22B" w14:textId="77777777" w:rsidR="007F7DDA" w:rsidRPr="000D1C0B" w:rsidRDefault="007F7DDA" w:rsidP="007F7DDA">
            <w:pPr>
              <w:spacing w:line="240" w:lineRule="auto"/>
              <w:jc w:val="center"/>
              <w:rPr>
                <w:rFonts w:ascii="Arial" w:hAnsi="Arial" w:cs="Arial"/>
                <w:bCs/>
                <w:spacing w:val="-3"/>
                <w:sz w:val="18"/>
                <w:szCs w:val="18"/>
              </w:rPr>
            </w:pPr>
          </w:p>
        </w:tc>
        <w:tc>
          <w:tcPr>
            <w:tcW w:w="1843" w:type="dxa"/>
            <w:vAlign w:val="center"/>
          </w:tcPr>
          <w:p w14:paraId="1B458354" w14:textId="362361C0" w:rsidR="007F7DDA" w:rsidRPr="000D1C0B" w:rsidRDefault="007F7DDA" w:rsidP="007F7DDA">
            <w:pPr>
              <w:spacing w:after="0" w:line="240" w:lineRule="auto"/>
              <w:jc w:val="both"/>
              <w:rPr>
                <w:rFonts w:ascii="Arial" w:hAnsi="Arial" w:cs="Arial"/>
                <w:bCs/>
                <w:spacing w:val="-3"/>
                <w:sz w:val="18"/>
                <w:szCs w:val="18"/>
              </w:rPr>
            </w:pPr>
            <w:r w:rsidRPr="000D1C0B">
              <w:rPr>
                <w:rFonts w:ascii="Arial" w:hAnsi="Arial" w:cs="Arial"/>
                <w:bCs/>
                <w:spacing w:val="-3"/>
                <w:sz w:val="18"/>
                <w:szCs w:val="18"/>
              </w:rPr>
              <w:t>Notificación de baja definitiva de máquinas de azar</w:t>
            </w:r>
          </w:p>
        </w:tc>
        <w:tc>
          <w:tcPr>
            <w:tcW w:w="9497" w:type="dxa"/>
            <w:vAlign w:val="center"/>
          </w:tcPr>
          <w:p w14:paraId="0669D241" w14:textId="0AC71DA7"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Numeral 5.1.2 del título II</w:t>
            </w:r>
            <w:r w:rsidRPr="000D1C0B">
              <w:rPr>
                <w:rFonts w:ascii="Arial" w:hAnsi="Arial" w:cs="Arial"/>
                <w:sz w:val="18"/>
                <w:szCs w:val="18"/>
              </w:rPr>
              <w:t>:</w:t>
            </w:r>
          </w:p>
          <w:p w14:paraId="24B3B060"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0FBEA768" w14:textId="4E74CF38"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Las actividades que concluyan en la baja de una máquina de azar del parque de juego deberán someterse al procedimiento antes descrito y, las actas de baja deberán ser suscritas por el Gerente General y </w:t>
            </w:r>
            <w:proofErr w:type="gramStart"/>
            <w:r w:rsidRPr="000D1C0B">
              <w:rPr>
                <w:rFonts w:ascii="Arial" w:hAnsi="Arial" w:cs="Arial"/>
                <w:sz w:val="18"/>
                <w:szCs w:val="18"/>
              </w:rPr>
              <w:t>Director</w:t>
            </w:r>
            <w:proofErr w:type="gramEnd"/>
            <w:r w:rsidRPr="000D1C0B">
              <w:rPr>
                <w:rFonts w:ascii="Arial" w:hAnsi="Arial" w:cs="Arial"/>
                <w:sz w:val="18"/>
                <w:szCs w:val="18"/>
              </w:rPr>
              <w:t xml:space="preserve"> de Máquinas de Azar de la sociedad operadora. Una copia digital de dicho documento deberá ser enviada a esta Superintendencia, dentro del </w:t>
            </w:r>
            <w:r w:rsidRPr="000D1C0B">
              <w:rPr>
                <w:rFonts w:ascii="Arial" w:hAnsi="Arial" w:cs="Arial"/>
                <w:b/>
                <w:bCs/>
                <w:sz w:val="18"/>
                <w:szCs w:val="18"/>
              </w:rPr>
              <w:t>plazo de 10 días hábiles</w:t>
            </w:r>
            <w:r w:rsidRPr="000D1C0B">
              <w:rPr>
                <w:rFonts w:ascii="Arial" w:hAnsi="Arial" w:cs="Arial"/>
                <w:sz w:val="18"/>
                <w:szCs w:val="18"/>
              </w:rPr>
              <w:t xml:space="preserve"> siguientes contados desde la fecha en que se llevó a cabo dicho procedimiento, en los términos ya indicados.</w:t>
            </w:r>
          </w:p>
          <w:p w14:paraId="2029074B" w14:textId="77777777" w:rsidR="007F7DDA" w:rsidRPr="000D1C0B" w:rsidRDefault="007F7DDA" w:rsidP="007F7DDA">
            <w:pPr>
              <w:autoSpaceDE w:val="0"/>
              <w:autoSpaceDN w:val="0"/>
              <w:adjustRightInd w:val="0"/>
              <w:spacing w:after="0" w:line="240" w:lineRule="auto"/>
              <w:jc w:val="both"/>
              <w:rPr>
                <w:rFonts w:ascii="Arial" w:hAnsi="Arial" w:cs="Arial"/>
                <w:color w:val="010000"/>
                <w:sz w:val="18"/>
                <w:szCs w:val="18"/>
              </w:rPr>
            </w:pPr>
          </w:p>
          <w:p w14:paraId="4B021295" w14:textId="7B70205F"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Además de la obligación establecida en el párrafo anterior, cuando la baja de una máquina de azar implique su transferencia a otra sociedad operadora o a un tercero, se deberá remitir una notificación a esta Superintendencia dentro del </w:t>
            </w:r>
            <w:r w:rsidRPr="000D1C0B">
              <w:rPr>
                <w:rFonts w:ascii="Arial" w:hAnsi="Arial" w:cs="Arial"/>
                <w:b/>
                <w:bCs/>
                <w:sz w:val="18"/>
                <w:szCs w:val="18"/>
              </w:rPr>
              <w:t>plazo de</w:t>
            </w:r>
            <w:r w:rsidRPr="000D1C0B">
              <w:rPr>
                <w:rFonts w:ascii="Arial" w:hAnsi="Arial" w:cs="Arial"/>
                <w:sz w:val="18"/>
                <w:szCs w:val="18"/>
              </w:rPr>
              <w:t xml:space="preserve"> </w:t>
            </w:r>
            <w:r w:rsidRPr="000D1C0B">
              <w:rPr>
                <w:rFonts w:ascii="Arial" w:hAnsi="Arial" w:cs="Arial"/>
                <w:b/>
                <w:bCs/>
                <w:sz w:val="18"/>
                <w:szCs w:val="18"/>
              </w:rPr>
              <w:t>10 días hábiles</w:t>
            </w:r>
            <w:r w:rsidRPr="000D1C0B">
              <w:rPr>
                <w:rFonts w:ascii="Arial" w:hAnsi="Arial" w:cs="Arial"/>
                <w:sz w:val="18"/>
                <w:szCs w:val="18"/>
              </w:rPr>
              <w:t xml:space="preserve"> siguientes contados desde el día siguiente a la fecha de celebración del correspondiente contrato, cualquier operación comercial que diga relación con la venta, arriendo, leasing o comodato de máquinas de azar. En dicha notificación se deberán indicar las partes que celebran el contrato, la individualización de las máquinas que son objeto </w:t>
            </w:r>
            <w:proofErr w:type="gramStart"/>
            <w:r w:rsidRPr="000D1C0B">
              <w:rPr>
                <w:rFonts w:ascii="Arial" w:hAnsi="Arial" w:cs="Arial"/>
                <w:sz w:val="18"/>
                <w:szCs w:val="18"/>
              </w:rPr>
              <w:t>del mismo</w:t>
            </w:r>
            <w:proofErr w:type="gramEnd"/>
            <w:r w:rsidRPr="000D1C0B">
              <w:rPr>
                <w:rFonts w:ascii="Arial" w:hAnsi="Arial" w:cs="Arial"/>
                <w:sz w:val="18"/>
                <w:szCs w:val="18"/>
              </w:rPr>
              <w:t xml:space="preserve"> y su destino, tanto físico (país y ciudad) como de uso final.</w:t>
            </w:r>
          </w:p>
          <w:p w14:paraId="298FA9A9" w14:textId="77777777" w:rsidR="007F7DDA" w:rsidRPr="000D1C0B" w:rsidRDefault="007F7DDA" w:rsidP="007F7DDA">
            <w:pPr>
              <w:autoSpaceDE w:val="0"/>
              <w:autoSpaceDN w:val="0"/>
              <w:adjustRightInd w:val="0"/>
              <w:spacing w:after="0" w:line="240" w:lineRule="auto"/>
              <w:jc w:val="both"/>
              <w:rPr>
                <w:rFonts w:ascii="Arial" w:hAnsi="Arial" w:cs="Arial"/>
                <w:color w:val="010000"/>
                <w:sz w:val="18"/>
                <w:szCs w:val="18"/>
              </w:rPr>
            </w:pPr>
          </w:p>
          <w:p w14:paraId="076C6F78" w14:textId="69BA033A" w:rsidR="007F7DDA" w:rsidRPr="000D1C0B" w:rsidRDefault="007F7DDA" w:rsidP="007F7DDA">
            <w:pPr>
              <w:autoSpaceDE w:val="0"/>
              <w:autoSpaceDN w:val="0"/>
              <w:adjustRightInd w:val="0"/>
              <w:spacing w:after="0" w:line="240" w:lineRule="auto"/>
              <w:jc w:val="both"/>
              <w:rPr>
                <w:rFonts w:ascii="Arial" w:hAnsi="Arial" w:cs="Arial"/>
                <w:color w:val="010000"/>
                <w:sz w:val="18"/>
                <w:szCs w:val="18"/>
              </w:rPr>
            </w:pPr>
            <w:r w:rsidRPr="000D1C0B">
              <w:rPr>
                <w:rFonts w:ascii="Arial" w:hAnsi="Arial" w:cs="Arial"/>
                <w:b/>
                <w:bCs/>
                <w:color w:val="010000"/>
                <w:sz w:val="18"/>
                <w:szCs w:val="18"/>
              </w:rPr>
              <w:t>Primer párrafo del numeral 5.1.3 del título II</w:t>
            </w:r>
            <w:r w:rsidRPr="000D1C0B">
              <w:rPr>
                <w:rFonts w:ascii="Arial" w:hAnsi="Arial" w:cs="Arial"/>
                <w:color w:val="010000"/>
                <w:sz w:val="18"/>
                <w:szCs w:val="18"/>
              </w:rPr>
              <w:t>:</w:t>
            </w:r>
          </w:p>
          <w:p w14:paraId="65FD1579" w14:textId="77777777" w:rsidR="007F7DDA" w:rsidRPr="000D1C0B" w:rsidRDefault="007F7DDA" w:rsidP="007F7DDA">
            <w:pPr>
              <w:autoSpaceDE w:val="0"/>
              <w:autoSpaceDN w:val="0"/>
              <w:adjustRightInd w:val="0"/>
              <w:spacing w:after="0" w:line="240" w:lineRule="auto"/>
              <w:jc w:val="both"/>
              <w:rPr>
                <w:rFonts w:ascii="Arial" w:hAnsi="Arial" w:cs="Arial"/>
                <w:color w:val="010000"/>
                <w:sz w:val="18"/>
                <w:szCs w:val="18"/>
              </w:rPr>
            </w:pPr>
          </w:p>
          <w:p w14:paraId="54CC00D6" w14:textId="347884B9"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Para la destrucción de máquinas de azar, las sociedades operadoras podrán considerar la intervención de un gestor de residuos previsto en la Ley </w:t>
            </w:r>
            <w:proofErr w:type="spellStart"/>
            <w:r w:rsidRPr="000D1C0B">
              <w:rPr>
                <w:rFonts w:ascii="Arial" w:hAnsi="Arial" w:cs="Arial"/>
                <w:sz w:val="18"/>
                <w:szCs w:val="18"/>
              </w:rPr>
              <w:t>N°</w:t>
            </w:r>
            <w:proofErr w:type="spellEnd"/>
            <w:r w:rsidRPr="000D1C0B">
              <w:rPr>
                <w:rFonts w:ascii="Arial" w:hAnsi="Arial" w:cs="Arial"/>
                <w:sz w:val="18"/>
                <w:szCs w:val="18"/>
              </w:rPr>
              <w:t xml:space="preserve"> 20.920, que cuente con las autorizaciones correspondientes, ya sean sanitarias, ambientales o las que sean pertinentes, de manera que el respectivo proceso de destrucción permita contar con la debida certificación. Una copia digital de la respectiva certificación de gestión de residuos y del documento en que conste la destrucción de máquinas de azar deberán ser presentadas a esta Superintendencia por el Gerente General de la sociedad operadora, dentro de los </w:t>
            </w:r>
            <w:r w:rsidRPr="000D1C0B">
              <w:rPr>
                <w:rFonts w:ascii="Arial" w:hAnsi="Arial" w:cs="Arial"/>
                <w:b/>
                <w:bCs/>
                <w:sz w:val="18"/>
                <w:szCs w:val="18"/>
              </w:rPr>
              <w:t>10 días hábiles</w:t>
            </w:r>
            <w:r w:rsidRPr="000D1C0B">
              <w:rPr>
                <w:rFonts w:ascii="Arial" w:hAnsi="Arial" w:cs="Arial"/>
                <w:sz w:val="18"/>
                <w:szCs w:val="18"/>
              </w:rPr>
              <w:t xml:space="preserve"> siguientes a su realización.</w:t>
            </w:r>
          </w:p>
        </w:tc>
      </w:tr>
      <w:tr w:rsidR="007F7DDA" w:rsidRPr="000D1C0B" w14:paraId="0B9A8B83" w14:textId="4535F2DE" w:rsidTr="002643A1">
        <w:trPr>
          <w:trHeight w:val="20"/>
        </w:trPr>
        <w:tc>
          <w:tcPr>
            <w:tcW w:w="611" w:type="dxa"/>
            <w:vAlign w:val="center"/>
          </w:tcPr>
          <w:p w14:paraId="6781BA34" w14:textId="5742CCB8" w:rsidR="007F7DDA" w:rsidRPr="000D1C0B" w:rsidRDefault="007F7DDA" w:rsidP="007F7DDA">
            <w:pPr>
              <w:spacing w:after="0" w:line="240" w:lineRule="auto"/>
              <w:jc w:val="center"/>
              <w:rPr>
                <w:rFonts w:ascii="Arial" w:hAnsi="Arial" w:cs="Arial"/>
                <w:bCs/>
                <w:spacing w:val="-3"/>
                <w:sz w:val="18"/>
                <w:szCs w:val="18"/>
              </w:rPr>
            </w:pPr>
            <w:r w:rsidRPr="000D1C0B">
              <w:rPr>
                <w:rFonts w:ascii="Arial" w:hAnsi="Arial" w:cs="Arial"/>
                <w:bCs/>
                <w:spacing w:val="-3"/>
                <w:sz w:val="18"/>
                <w:szCs w:val="18"/>
              </w:rPr>
              <w:lastRenderedPageBreak/>
              <w:t>11</w:t>
            </w:r>
          </w:p>
        </w:tc>
        <w:tc>
          <w:tcPr>
            <w:tcW w:w="1227" w:type="dxa"/>
            <w:vAlign w:val="center"/>
          </w:tcPr>
          <w:p w14:paraId="3DDEDEF2" w14:textId="17214413" w:rsidR="007F7DDA" w:rsidRPr="000D1C0B" w:rsidRDefault="007F7DDA" w:rsidP="007F7DDA">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 N°113/2020</w:t>
            </w:r>
          </w:p>
        </w:tc>
        <w:tc>
          <w:tcPr>
            <w:tcW w:w="1843" w:type="dxa"/>
            <w:vAlign w:val="center"/>
          </w:tcPr>
          <w:p w14:paraId="21B1C83E"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6F1A0908" w14:textId="05605B4E"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Notificación del pago anual de la oferta económica, sobre permisos de operación de casinos de juego</w:t>
            </w:r>
          </w:p>
        </w:tc>
        <w:tc>
          <w:tcPr>
            <w:tcW w:w="9497" w:type="dxa"/>
            <w:vAlign w:val="center"/>
          </w:tcPr>
          <w:p w14:paraId="2A7DB5F9" w14:textId="4607FF3E" w:rsidR="007F7DDA" w:rsidRPr="000D1C0B" w:rsidRDefault="007F7DDA" w:rsidP="007F7DDA">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Primer párrafo del numeral 1:</w:t>
            </w:r>
          </w:p>
          <w:p w14:paraId="3F0B500D"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1D35E0AD"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Cada vez que una sociedad operadora realice el pago de la oferta económica deberá notificar por medio del Sistema de Autorizaciones y Notificaciones (SAYN) a la Superintendencia de la realización de éste, con </w:t>
            </w:r>
            <w:r w:rsidRPr="000D1C0B">
              <w:rPr>
                <w:rFonts w:ascii="Arial" w:hAnsi="Arial" w:cs="Arial"/>
                <w:b/>
                <w:bCs/>
                <w:sz w:val="18"/>
                <w:szCs w:val="18"/>
              </w:rPr>
              <w:t>plazo máximo</w:t>
            </w:r>
            <w:r w:rsidRPr="000D1C0B">
              <w:rPr>
                <w:rFonts w:ascii="Arial" w:hAnsi="Arial" w:cs="Arial"/>
                <w:sz w:val="18"/>
                <w:szCs w:val="18"/>
              </w:rPr>
              <w:t xml:space="preserve"> </w:t>
            </w:r>
            <w:r w:rsidRPr="000D1C0B">
              <w:rPr>
                <w:rFonts w:ascii="Arial" w:hAnsi="Arial" w:cs="Arial"/>
                <w:b/>
                <w:bCs/>
                <w:sz w:val="18"/>
                <w:szCs w:val="18"/>
              </w:rPr>
              <w:t>hasta el último día del mes</w:t>
            </w:r>
            <w:r w:rsidRPr="000D1C0B">
              <w:rPr>
                <w:rFonts w:ascii="Arial" w:hAnsi="Arial" w:cs="Arial"/>
                <w:sz w:val="18"/>
                <w:szCs w:val="18"/>
              </w:rPr>
              <w:t xml:space="preserve"> en que debe efectuar el pago, de acuerdo con lo señalado en el artículo 15 del Decreto Supremo Nº1722, del Ministerio de Hacienda, de 2015.</w:t>
            </w:r>
          </w:p>
          <w:p w14:paraId="2A1BCC99" w14:textId="26B65395" w:rsidR="007F7DDA" w:rsidRPr="000D1C0B" w:rsidRDefault="007F7DDA" w:rsidP="007F7DDA">
            <w:pPr>
              <w:autoSpaceDE w:val="0"/>
              <w:autoSpaceDN w:val="0"/>
              <w:adjustRightInd w:val="0"/>
              <w:spacing w:after="0" w:line="240" w:lineRule="auto"/>
              <w:jc w:val="both"/>
              <w:rPr>
                <w:rFonts w:ascii="Arial" w:hAnsi="Arial" w:cs="Arial"/>
                <w:sz w:val="18"/>
                <w:szCs w:val="18"/>
              </w:rPr>
            </w:pPr>
          </w:p>
        </w:tc>
      </w:tr>
      <w:tr w:rsidR="007F7DDA" w:rsidRPr="000D1C0B" w14:paraId="4352BB78" w14:textId="4F5D6D86" w:rsidTr="002643A1">
        <w:trPr>
          <w:trHeight w:val="20"/>
        </w:trPr>
        <w:tc>
          <w:tcPr>
            <w:tcW w:w="611" w:type="dxa"/>
            <w:vAlign w:val="center"/>
          </w:tcPr>
          <w:p w14:paraId="1FECE7FD" w14:textId="04450CB6" w:rsidR="007F7DDA" w:rsidRPr="000D1C0B" w:rsidRDefault="007F7DDA" w:rsidP="007F7DDA">
            <w:pPr>
              <w:spacing w:after="0" w:line="240" w:lineRule="auto"/>
              <w:jc w:val="center"/>
              <w:rPr>
                <w:rFonts w:ascii="Arial" w:hAnsi="Arial" w:cs="Arial"/>
                <w:bCs/>
                <w:spacing w:val="-3"/>
                <w:sz w:val="18"/>
                <w:szCs w:val="18"/>
              </w:rPr>
            </w:pPr>
            <w:r w:rsidRPr="000D1C0B">
              <w:rPr>
                <w:rFonts w:ascii="Arial" w:hAnsi="Arial" w:cs="Arial"/>
                <w:bCs/>
                <w:spacing w:val="-3"/>
                <w:sz w:val="18"/>
                <w:szCs w:val="18"/>
              </w:rPr>
              <w:t>12</w:t>
            </w:r>
          </w:p>
        </w:tc>
        <w:tc>
          <w:tcPr>
            <w:tcW w:w="1227" w:type="dxa"/>
            <w:vAlign w:val="center"/>
          </w:tcPr>
          <w:p w14:paraId="5E8C90DB" w14:textId="40C483E3" w:rsidR="007F7DDA" w:rsidRPr="000D1C0B" w:rsidRDefault="007F7DDA" w:rsidP="007F7DDA">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 N°121/2021</w:t>
            </w:r>
          </w:p>
        </w:tc>
        <w:tc>
          <w:tcPr>
            <w:tcW w:w="1843" w:type="dxa"/>
            <w:vAlign w:val="center"/>
          </w:tcPr>
          <w:p w14:paraId="519DF806" w14:textId="1466C63A"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bCs/>
                <w:spacing w:val="-3"/>
                <w:sz w:val="18"/>
                <w:szCs w:val="18"/>
              </w:rPr>
              <w:t>Notificación de cambios societarios en una sociedad operadora de casino de juego que se notifican</w:t>
            </w:r>
          </w:p>
        </w:tc>
        <w:tc>
          <w:tcPr>
            <w:tcW w:w="9497" w:type="dxa"/>
            <w:vAlign w:val="center"/>
          </w:tcPr>
          <w:p w14:paraId="1AEA1076" w14:textId="2E007B5B"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Primer párrafo del numeral 11.1</w:t>
            </w:r>
            <w:r w:rsidRPr="000D1C0B">
              <w:rPr>
                <w:rFonts w:ascii="Arial" w:hAnsi="Arial" w:cs="Arial"/>
                <w:sz w:val="18"/>
                <w:szCs w:val="18"/>
              </w:rPr>
              <w:t>:</w:t>
            </w:r>
          </w:p>
          <w:p w14:paraId="2086387D"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02A9CCCE" w14:textId="690850A2"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Deberán ser notificadas a esta Superintendencia en el </w:t>
            </w:r>
            <w:r w:rsidRPr="000D1C0B">
              <w:rPr>
                <w:rFonts w:ascii="Arial" w:hAnsi="Arial" w:cs="Arial"/>
                <w:b/>
                <w:bCs/>
                <w:sz w:val="18"/>
                <w:szCs w:val="18"/>
              </w:rPr>
              <w:t>plazo máximo de</w:t>
            </w:r>
            <w:r w:rsidRPr="000D1C0B">
              <w:rPr>
                <w:rFonts w:ascii="Arial" w:hAnsi="Arial" w:cs="Arial"/>
                <w:sz w:val="18"/>
                <w:szCs w:val="18"/>
              </w:rPr>
              <w:t xml:space="preserve"> </w:t>
            </w:r>
            <w:r w:rsidRPr="000D1C0B">
              <w:rPr>
                <w:rFonts w:ascii="Arial" w:hAnsi="Arial" w:cs="Arial"/>
                <w:b/>
                <w:bCs/>
                <w:sz w:val="18"/>
                <w:szCs w:val="18"/>
              </w:rPr>
              <w:t>10 días hábiles</w:t>
            </w:r>
            <w:r w:rsidRPr="000D1C0B">
              <w:rPr>
                <w:rFonts w:ascii="Arial" w:hAnsi="Arial" w:cs="Arial"/>
                <w:sz w:val="18"/>
                <w:szCs w:val="18"/>
              </w:rPr>
              <w:t xml:space="preserve"> desde que la sociedad operadora haya tomado conocimiento, las transferencias de acciones o cesiones de derechos sociales que se produzcan entre partícipes de la estructura societaria de la operadora que posean indirectamente el 5% o más de su capital consolidado o aquellas que impliquen el ingreso de un accionista indirecto (partícipe) a la estructura societaria de la sociedad operadora con un 5% o más del capital consolidado de la sociedad operadora, incluidos en ambos casos los inversionistas institucionales.</w:t>
            </w:r>
          </w:p>
          <w:p w14:paraId="3653E5DD"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1635DF61" w14:textId="37F34B24" w:rsidR="007F7DDA" w:rsidRPr="000D1C0B" w:rsidRDefault="007F7DDA" w:rsidP="007F7DDA">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Primero párrafo del numeral 11.2:</w:t>
            </w:r>
          </w:p>
          <w:p w14:paraId="2BC75B37"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0396B487" w14:textId="0F53EF98"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Deberán ser notificadas a esta Superintendencia en el </w:t>
            </w:r>
            <w:r w:rsidRPr="000D1C0B">
              <w:rPr>
                <w:rFonts w:ascii="Arial" w:hAnsi="Arial" w:cs="Arial"/>
                <w:b/>
                <w:bCs/>
                <w:sz w:val="18"/>
                <w:szCs w:val="18"/>
              </w:rPr>
              <w:t>plazo máximo de 10 días hábiles</w:t>
            </w:r>
            <w:r w:rsidRPr="000D1C0B">
              <w:rPr>
                <w:rFonts w:ascii="Arial" w:hAnsi="Arial" w:cs="Arial"/>
                <w:sz w:val="18"/>
                <w:szCs w:val="18"/>
              </w:rPr>
              <w:t xml:space="preserve"> desde que haya tomado conocimiento la sociedad operadora, la división o fusión que se produzca en la estructura societaria del 5% o más de participación en el capital consolidado de la sociedad operadora.</w:t>
            </w:r>
          </w:p>
          <w:p w14:paraId="3A51E21A" w14:textId="6ACE44BB" w:rsidR="007F7DDA" w:rsidRPr="000D1C0B" w:rsidRDefault="007F7DDA" w:rsidP="007F7DDA">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Primer párrafo del numeral 11.3:</w:t>
            </w:r>
          </w:p>
          <w:p w14:paraId="725BC3A1"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1DC0D74D" w14:textId="462E7D0C"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Se deberá notificar en el </w:t>
            </w:r>
            <w:r w:rsidRPr="000D1C0B">
              <w:rPr>
                <w:rFonts w:ascii="Arial" w:hAnsi="Arial" w:cs="Arial"/>
                <w:b/>
                <w:bCs/>
                <w:sz w:val="18"/>
                <w:szCs w:val="18"/>
              </w:rPr>
              <w:t>plazo máximo de</w:t>
            </w:r>
            <w:r w:rsidRPr="000D1C0B">
              <w:rPr>
                <w:rFonts w:ascii="Arial" w:hAnsi="Arial" w:cs="Arial"/>
                <w:sz w:val="18"/>
                <w:szCs w:val="18"/>
              </w:rPr>
              <w:t xml:space="preserve"> </w:t>
            </w:r>
            <w:r w:rsidRPr="000D1C0B">
              <w:rPr>
                <w:rFonts w:ascii="Arial" w:hAnsi="Arial" w:cs="Arial"/>
                <w:b/>
                <w:bCs/>
                <w:sz w:val="18"/>
                <w:szCs w:val="18"/>
              </w:rPr>
              <w:t>10 días hábiles</w:t>
            </w:r>
            <w:r w:rsidRPr="000D1C0B">
              <w:rPr>
                <w:rFonts w:ascii="Arial" w:hAnsi="Arial" w:cs="Arial"/>
                <w:sz w:val="18"/>
                <w:szCs w:val="18"/>
              </w:rPr>
              <w:t xml:space="preserve"> desde que haya tomado conocimiento la operadora, las transformaciones societarias (art.99 de la Ley N°18.046) y cambios de razón social de aquellos accionistas o partícipes que posean directa o indirectamente el 5% o más del capital consolidado de la sociedad operadora.</w:t>
            </w:r>
          </w:p>
          <w:p w14:paraId="0A105A8D"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306E81D4" w14:textId="22DC3A9C" w:rsidR="007F7DDA" w:rsidRPr="000D1C0B" w:rsidRDefault="007F7DDA" w:rsidP="007F7DDA">
            <w:pPr>
              <w:spacing w:after="0" w:line="240" w:lineRule="auto"/>
              <w:jc w:val="both"/>
              <w:rPr>
                <w:rFonts w:ascii="Arial" w:hAnsi="Arial" w:cs="Arial"/>
                <w:sz w:val="18"/>
                <w:szCs w:val="18"/>
              </w:rPr>
            </w:pPr>
            <w:r w:rsidRPr="000D1C0B">
              <w:rPr>
                <w:rFonts w:ascii="Arial" w:hAnsi="Arial" w:cs="Arial"/>
                <w:b/>
                <w:bCs/>
                <w:sz w:val="18"/>
                <w:szCs w:val="18"/>
              </w:rPr>
              <w:t>Segundo párrafo del numeral 11.3</w:t>
            </w:r>
            <w:r w:rsidRPr="000D1C0B">
              <w:rPr>
                <w:rFonts w:ascii="Arial" w:hAnsi="Arial" w:cs="Arial"/>
                <w:sz w:val="18"/>
                <w:szCs w:val="18"/>
              </w:rPr>
              <w:t>:</w:t>
            </w:r>
          </w:p>
          <w:p w14:paraId="1A777B1C"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67699F1B" w14:textId="302AE856"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Se deberá notificar en el </w:t>
            </w:r>
            <w:r w:rsidRPr="000D1C0B">
              <w:rPr>
                <w:rFonts w:ascii="Arial" w:hAnsi="Arial" w:cs="Arial"/>
                <w:b/>
                <w:bCs/>
                <w:sz w:val="18"/>
                <w:szCs w:val="18"/>
              </w:rPr>
              <w:t>plazo de</w:t>
            </w:r>
            <w:r w:rsidRPr="000D1C0B">
              <w:rPr>
                <w:rFonts w:ascii="Arial" w:hAnsi="Arial" w:cs="Arial"/>
                <w:sz w:val="18"/>
                <w:szCs w:val="18"/>
              </w:rPr>
              <w:t xml:space="preserve"> </w:t>
            </w:r>
            <w:r w:rsidRPr="000D1C0B">
              <w:rPr>
                <w:rFonts w:ascii="Arial" w:hAnsi="Arial" w:cs="Arial"/>
                <w:b/>
                <w:bCs/>
                <w:sz w:val="18"/>
                <w:szCs w:val="18"/>
              </w:rPr>
              <w:t>10 días hábiles</w:t>
            </w:r>
            <w:r w:rsidRPr="000D1C0B">
              <w:rPr>
                <w:rFonts w:ascii="Arial" w:hAnsi="Arial" w:cs="Arial"/>
                <w:sz w:val="18"/>
                <w:szCs w:val="18"/>
              </w:rPr>
              <w:t xml:space="preserve"> desde que la sociedad operadora haya tomado conocimiento, los cambios de director(es), gerente general y/o administrador(es) y/o representante(s) legal(es) de los accionistas </w:t>
            </w:r>
            <w:r w:rsidRPr="000D1C0B">
              <w:rPr>
                <w:rFonts w:ascii="Arial" w:hAnsi="Arial" w:cs="Arial"/>
                <w:sz w:val="18"/>
                <w:szCs w:val="18"/>
              </w:rPr>
              <w:lastRenderedPageBreak/>
              <w:t>directos e indirectos o partícipes de la operadora, señalando la individualización completa, RUT, en caso de chilenos o extranjeros con residencia en Chile y pasaporte para el caso de extranjeros o chilenos que lo posean.,.</w:t>
            </w:r>
          </w:p>
          <w:p w14:paraId="12B78306" w14:textId="053CB5E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15AD4CB5" w14:textId="0F8CC440"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Numeral 11.4</w:t>
            </w:r>
            <w:r w:rsidRPr="000D1C0B">
              <w:rPr>
                <w:rFonts w:ascii="Arial" w:hAnsi="Arial" w:cs="Arial"/>
                <w:sz w:val="18"/>
                <w:szCs w:val="18"/>
              </w:rPr>
              <w:t>:</w:t>
            </w:r>
          </w:p>
          <w:p w14:paraId="34647680"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5485A3FD" w14:textId="56F8A576"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Se deberá notificar en el </w:t>
            </w:r>
            <w:r w:rsidRPr="000D1C0B">
              <w:rPr>
                <w:rFonts w:ascii="Arial" w:hAnsi="Arial" w:cs="Arial"/>
                <w:b/>
                <w:bCs/>
                <w:sz w:val="18"/>
                <w:szCs w:val="18"/>
              </w:rPr>
              <w:t>plazo máximo de</w:t>
            </w:r>
            <w:r w:rsidRPr="000D1C0B">
              <w:rPr>
                <w:rFonts w:ascii="Arial" w:hAnsi="Arial" w:cs="Arial"/>
                <w:sz w:val="18"/>
                <w:szCs w:val="18"/>
              </w:rPr>
              <w:t xml:space="preserve"> </w:t>
            </w:r>
            <w:r w:rsidRPr="000D1C0B">
              <w:rPr>
                <w:rFonts w:ascii="Arial" w:hAnsi="Arial" w:cs="Arial"/>
                <w:b/>
                <w:bCs/>
                <w:sz w:val="18"/>
                <w:szCs w:val="18"/>
              </w:rPr>
              <w:t>10 días hábiles</w:t>
            </w:r>
            <w:r w:rsidRPr="000D1C0B">
              <w:rPr>
                <w:rFonts w:ascii="Arial" w:hAnsi="Arial" w:cs="Arial"/>
                <w:sz w:val="18"/>
                <w:szCs w:val="18"/>
              </w:rPr>
              <w:t xml:space="preserve"> desde que la que sociedad operadora haya tomado conocimiento los cambios en la(s) personas naturales que ejercen el control sobre la sociedad operadora de conformidad a lo señalado en el artículo 97 de la Ley N°18.045, señalando la individualización completa de dichas personas, RUT, en caso de chilenos o extranjeros con residencia en Chile y pasaporte para el caso de extranjeros o chilenos que lo posean. Asimismo, de conformidad a las hipótesis señaladas en la normativa precedente, se deberá indicar de qué manera se ejerce el control sobre la sociedad operadora.</w:t>
            </w:r>
          </w:p>
          <w:p w14:paraId="25F107CA"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2AC492EC" w14:textId="24DED973"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b/>
                <w:bCs/>
                <w:sz w:val="18"/>
                <w:szCs w:val="18"/>
              </w:rPr>
              <w:t>Primer párrafo del numeral 11.5</w:t>
            </w:r>
            <w:r w:rsidRPr="000D1C0B">
              <w:rPr>
                <w:rFonts w:ascii="Arial" w:hAnsi="Arial" w:cs="Arial"/>
                <w:sz w:val="18"/>
                <w:szCs w:val="18"/>
              </w:rPr>
              <w:t>:</w:t>
            </w:r>
          </w:p>
          <w:p w14:paraId="52452699"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78BD87C6" w14:textId="2D8AF967"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La sociedad operadora deberá notificar en el </w:t>
            </w:r>
            <w:r w:rsidRPr="000D1C0B">
              <w:rPr>
                <w:rFonts w:ascii="Arial" w:hAnsi="Arial" w:cs="Arial"/>
                <w:b/>
                <w:bCs/>
                <w:sz w:val="18"/>
                <w:szCs w:val="18"/>
              </w:rPr>
              <w:t>plazo de</w:t>
            </w:r>
            <w:r w:rsidRPr="000D1C0B">
              <w:rPr>
                <w:rFonts w:ascii="Arial" w:hAnsi="Arial" w:cs="Arial"/>
                <w:sz w:val="18"/>
                <w:szCs w:val="18"/>
              </w:rPr>
              <w:t xml:space="preserve"> </w:t>
            </w:r>
            <w:r w:rsidRPr="000D1C0B">
              <w:rPr>
                <w:rFonts w:ascii="Arial" w:hAnsi="Arial" w:cs="Arial"/>
                <w:b/>
                <w:bCs/>
                <w:sz w:val="18"/>
                <w:szCs w:val="18"/>
              </w:rPr>
              <w:t>10 días hábiles</w:t>
            </w:r>
            <w:r w:rsidRPr="000D1C0B">
              <w:rPr>
                <w:rFonts w:ascii="Arial" w:hAnsi="Arial" w:cs="Arial"/>
                <w:sz w:val="18"/>
                <w:szCs w:val="18"/>
              </w:rPr>
              <w:t xml:space="preserve"> desde que ésta haya tomado conocimiento, los cambios que se produzcan en su diagrama societario de aquellos accionistas indirectos que posean el 5% o más de su propiedad consolidada, señalando el cambio producido y acompañando su diagrama societario actualizado, con los porcentajes de participación de aquellos accionistas directos e indirectos que integran dicho diagrama y que posean el 5% o más de su propiedad consolidada.</w:t>
            </w:r>
          </w:p>
          <w:p w14:paraId="66B438A7"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3F4FBF39" w14:textId="4FA00705" w:rsidR="007F7DDA" w:rsidRPr="000D1C0B" w:rsidRDefault="007F7DDA" w:rsidP="007F7DDA">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Primer párrafo del numeral 11.6:</w:t>
            </w:r>
          </w:p>
          <w:p w14:paraId="7167C286"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3440EF8C" w14:textId="59AF00C9"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Deberá ser notificada a esta Superintendencia la disminución de capital de la sociedad operadora de acuerdo con el artículo 24 de la Ley N°18.046, en el </w:t>
            </w:r>
            <w:r w:rsidRPr="000D1C0B">
              <w:rPr>
                <w:rFonts w:ascii="Arial" w:hAnsi="Arial" w:cs="Arial"/>
                <w:b/>
                <w:bCs/>
                <w:sz w:val="18"/>
                <w:szCs w:val="18"/>
              </w:rPr>
              <w:t>plazo máximo de 10 días hábiles</w:t>
            </w:r>
            <w:r w:rsidRPr="000D1C0B">
              <w:rPr>
                <w:rFonts w:ascii="Arial" w:hAnsi="Arial" w:cs="Arial"/>
                <w:sz w:val="18"/>
                <w:szCs w:val="18"/>
              </w:rPr>
              <w:t xml:space="preserve"> desde que:</w:t>
            </w:r>
          </w:p>
        </w:tc>
      </w:tr>
      <w:tr w:rsidR="000679ED" w:rsidRPr="000D1C0B" w14:paraId="0FEC2AE4" w14:textId="77777777" w:rsidTr="002643A1">
        <w:trPr>
          <w:trHeight w:val="20"/>
        </w:trPr>
        <w:tc>
          <w:tcPr>
            <w:tcW w:w="611" w:type="dxa"/>
            <w:vAlign w:val="center"/>
          </w:tcPr>
          <w:p w14:paraId="1965CBBD" w14:textId="77777777" w:rsidR="000679ED" w:rsidRPr="000D1C0B" w:rsidRDefault="000679ED" w:rsidP="007F7DDA">
            <w:pPr>
              <w:spacing w:after="0" w:line="240" w:lineRule="auto"/>
              <w:jc w:val="center"/>
              <w:rPr>
                <w:rFonts w:ascii="Arial" w:hAnsi="Arial" w:cs="Arial"/>
                <w:bCs/>
                <w:spacing w:val="-3"/>
                <w:sz w:val="18"/>
                <w:szCs w:val="18"/>
              </w:rPr>
            </w:pPr>
          </w:p>
        </w:tc>
        <w:tc>
          <w:tcPr>
            <w:tcW w:w="1227" w:type="dxa"/>
            <w:vAlign w:val="center"/>
          </w:tcPr>
          <w:p w14:paraId="7145D013" w14:textId="19B9BC21" w:rsidR="000679ED" w:rsidRPr="000D1C0B" w:rsidRDefault="000679ED" w:rsidP="007F7DDA">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 N°126/2022</w:t>
            </w:r>
          </w:p>
        </w:tc>
        <w:tc>
          <w:tcPr>
            <w:tcW w:w="1843" w:type="dxa"/>
            <w:vAlign w:val="center"/>
          </w:tcPr>
          <w:p w14:paraId="1E4C4E82" w14:textId="393C59D0" w:rsidR="000679ED" w:rsidRPr="000D1C0B" w:rsidRDefault="000679ED" w:rsidP="007F7DDA">
            <w:pPr>
              <w:autoSpaceDE w:val="0"/>
              <w:autoSpaceDN w:val="0"/>
              <w:adjustRightInd w:val="0"/>
              <w:spacing w:after="0" w:line="240" w:lineRule="auto"/>
              <w:jc w:val="both"/>
              <w:rPr>
                <w:rFonts w:ascii="Arial" w:hAnsi="Arial" w:cs="Arial"/>
                <w:bCs/>
                <w:spacing w:val="-3"/>
                <w:sz w:val="18"/>
                <w:szCs w:val="18"/>
              </w:rPr>
            </w:pPr>
            <w:r w:rsidRPr="000D1C0B">
              <w:rPr>
                <w:rFonts w:ascii="Arial" w:hAnsi="Arial" w:cs="Arial"/>
                <w:bCs/>
                <w:spacing w:val="-3"/>
                <w:sz w:val="18"/>
                <w:szCs w:val="18"/>
              </w:rPr>
              <w:t xml:space="preserve">Notificación de infraestructura </w:t>
            </w:r>
          </w:p>
        </w:tc>
        <w:tc>
          <w:tcPr>
            <w:tcW w:w="9497" w:type="dxa"/>
            <w:vAlign w:val="center"/>
          </w:tcPr>
          <w:p w14:paraId="2624A2EE" w14:textId="079B322C" w:rsidR="000679ED" w:rsidRPr="000D1C0B" w:rsidRDefault="000679ED" w:rsidP="007F7DDA">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Primer y segundo párrafo del numeral 3.1.4</w:t>
            </w:r>
          </w:p>
          <w:p w14:paraId="6BB3F13B" w14:textId="77777777" w:rsidR="000679ED" w:rsidRPr="000D1C0B" w:rsidRDefault="000679ED" w:rsidP="007F7DDA">
            <w:pPr>
              <w:autoSpaceDE w:val="0"/>
              <w:autoSpaceDN w:val="0"/>
              <w:adjustRightInd w:val="0"/>
              <w:spacing w:after="0" w:line="240" w:lineRule="auto"/>
              <w:jc w:val="both"/>
              <w:rPr>
                <w:rFonts w:ascii="Arial" w:hAnsi="Arial" w:cs="Arial"/>
                <w:sz w:val="18"/>
                <w:szCs w:val="18"/>
              </w:rPr>
            </w:pPr>
          </w:p>
          <w:p w14:paraId="706C9063" w14:textId="5E5CB8A6" w:rsidR="000679ED" w:rsidRPr="000D1C0B" w:rsidRDefault="000679ED" w:rsidP="007F7DDA">
            <w:pPr>
              <w:autoSpaceDE w:val="0"/>
              <w:autoSpaceDN w:val="0"/>
              <w:adjustRightInd w:val="0"/>
              <w:spacing w:after="0" w:line="240" w:lineRule="auto"/>
              <w:jc w:val="both"/>
              <w:rPr>
                <w:rFonts w:ascii="Arial" w:hAnsi="Arial" w:cs="Arial"/>
                <w:b/>
                <w:bCs/>
                <w:sz w:val="18"/>
                <w:szCs w:val="18"/>
              </w:rPr>
            </w:pPr>
            <w:r w:rsidRPr="000D1C0B">
              <w:rPr>
                <w:rFonts w:ascii="Arial" w:hAnsi="Arial" w:cs="Arial"/>
                <w:sz w:val="18"/>
                <w:szCs w:val="18"/>
              </w:rPr>
              <w:t xml:space="preserve">Todas las modificaciones en infraestructura que no sean calificadas como sustanciales conforme a lo señalado en los numerales 3.1.1 y 3.1.2, serán notificadas a la SCJ con un mínimo </w:t>
            </w:r>
            <w:r w:rsidRPr="000D1C0B">
              <w:rPr>
                <w:rFonts w:ascii="Arial" w:hAnsi="Arial" w:cs="Arial"/>
                <w:b/>
                <w:bCs/>
                <w:sz w:val="18"/>
                <w:szCs w:val="18"/>
              </w:rPr>
              <w:t>de 5 días hábiles de antelación</w:t>
            </w:r>
            <w:r w:rsidRPr="000D1C0B">
              <w:rPr>
                <w:rFonts w:ascii="Arial" w:hAnsi="Arial" w:cs="Arial"/>
                <w:sz w:val="18"/>
                <w:szCs w:val="18"/>
              </w:rPr>
              <w:t xml:space="preserve"> a su concreción, a través del Sistema de Autorizaciones y Notificaciones (SAYN), utilizando el Formulario de Solicitud de Modificaciones que se describe en el numeral 4.1. La notificación se entenderá válida para todos los efectos a contar del quinto día hábil desde su recepción.</w:t>
            </w:r>
          </w:p>
        </w:tc>
      </w:tr>
      <w:tr w:rsidR="007F7DDA" w:rsidRPr="000D1C0B" w14:paraId="60766CB2" w14:textId="314C94DD" w:rsidTr="002643A1">
        <w:trPr>
          <w:trHeight w:val="20"/>
        </w:trPr>
        <w:tc>
          <w:tcPr>
            <w:tcW w:w="611" w:type="dxa"/>
            <w:vAlign w:val="center"/>
          </w:tcPr>
          <w:p w14:paraId="7FED0B71" w14:textId="2F8EFB72" w:rsidR="007F7DDA" w:rsidRPr="000D1C0B" w:rsidRDefault="007F7DDA" w:rsidP="007F7DDA">
            <w:pPr>
              <w:spacing w:after="0" w:line="240" w:lineRule="auto"/>
              <w:jc w:val="center"/>
              <w:rPr>
                <w:rFonts w:ascii="Arial" w:hAnsi="Arial" w:cs="Arial"/>
                <w:bCs/>
                <w:spacing w:val="-3"/>
                <w:sz w:val="18"/>
                <w:szCs w:val="18"/>
              </w:rPr>
            </w:pPr>
            <w:r w:rsidRPr="000D1C0B">
              <w:rPr>
                <w:rFonts w:ascii="Arial" w:hAnsi="Arial" w:cs="Arial"/>
                <w:bCs/>
                <w:spacing w:val="-3"/>
                <w:sz w:val="18"/>
                <w:szCs w:val="18"/>
              </w:rPr>
              <w:t>13</w:t>
            </w:r>
          </w:p>
        </w:tc>
        <w:tc>
          <w:tcPr>
            <w:tcW w:w="1227" w:type="dxa"/>
            <w:vAlign w:val="center"/>
          </w:tcPr>
          <w:p w14:paraId="43DCDCB8" w14:textId="177A72F9" w:rsidR="007F7DDA" w:rsidRPr="000D1C0B" w:rsidRDefault="007F7DDA" w:rsidP="007F7DDA">
            <w:pPr>
              <w:spacing w:after="0" w:line="240" w:lineRule="auto"/>
              <w:jc w:val="center"/>
              <w:rPr>
                <w:rFonts w:ascii="Arial" w:hAnsi="Arial" w:cs="Arial"/>
                <w:bCs/>
                <w:spacing w:val="-3"/>
                <w:sz w:val="18"/>
                <w:szCs w:val="18"/>
              </w:rPr>
            </w:pPr>
            <w:r w:rsidRPr="000D1C0B">
              <w:rPr>
                <w:rFonts w:ascii="Arial" w:hAnsi="Arial" w:cs="Arial"/>
                <w:bCs/>
                <w:spacing w:val="-3"/>
                <w:sz w:val="18"/>
                <w:szCs w:val="18"/>
              </w:rPr>
              <w:t>Circular N°127/2022</w:t>
            </w:r>
          </w:p>
        </w:tc>
        <w:tc>
          <w:tcPr>
            <w:tcW w:w="1843" w:type="dxa"/>
            <w:vAlign w:val="center"/>
          </w:tcPr>
          <w:p w14:paraId="0B0C63A0" w14:textId="1FE0EEBE"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bCs/>
                <w:spacing w:val="-3"/>
                <w:sz w:val="18"/>
                <w:szCs w:val="18"/>
              </w:rPr>
              <w:t>Notificación de información financiera de sociedades concesionarias</w:t>
            </w:r>
          </w:p>
        </w:tc>
        <w:tc>
          <w:tcPr>
            <w:tcW w:w="9497" w:type="dxa"/>
            <w:vAlign w:val="center"/>
          </w:tcPr>
          <w:p w14:paraId="607A496D" w14:textId="52D49CDA" w:rsidR="007F7DDA" w:rsidRPr="000D1C0B" w:rsidRDefault="007F7DDA" w:rsidP="007F7DDA">
            <w:pPr>
              <w:autoSpaceDE w:val="0"/>
              <w:autoSpaceDN w:val="0"/>
              <w:adjustRightInd w:val="0"/>
              <w:spacing w:after="0" w:line="240" w:lineRule="auto"/>
              <w:jc w:val="both"/>
              <w:rPr>
                <w:rFonts w:ascii="Arial" w:hAnsi="Arial" w:cs="Arial"/>
                <w:b/>
                <w:bCs/>
                <w:sz w:val="18"/>
                <w:szCs w:val="18"/>
              </w:rPr>
            </w:pPr>
            <w:r w:rsidRPr="000D1C0B">
              <w:rPr>
                <w:rFonts w:ascii="Arial" w:hAnsi="Arial" w:cs="Arial"/>
                <w:b/>
                <w:bCs/>
                <w:sz w:val="18"/>
                <w:szCs w:val="18"/>
              </w:rPr>
              <w:t xml:space="preserve">Numeral 4 del título IV: </w:t>
            </w:r>
          </w:p>
          <w:p w14:paraId="4E5FBB54" w14:textId="77777777" w:rsidR="007F7DDA" w:rsidRPr="000D1C0B" w:rsidRDefault="007F7DDA" w:rsidP="007F7DDA">
            <w:pPr>
              <w:autoSpaceDE w:val="0"/>
              <w:autoSpaceDN w:val="0"/>
              <w:adjustRightInd w:val="0"/>
              <w:spacing w:after="0" w:line="240" w:lineRule="auto"/>
              <w:jc w:val="both"/>
              <w:rPr>
                <w:rFonts w:ascii="Arial" w:hAnsi="Arial" w:cs="Arial"/>
                <w:sz w:val="18"/>
                <w:szCs w:val="18"/>
              </w:rPr>
            </w:pPr>
          </w:p>
          <w:p w14:paraId="7556B05D" w14:textId="49A27276" w:rsidR="007F7DDA" w:rsidRPr="000D1C0B" w:rsidRDefault="007F7DDA" w:rsidP="007F7DDA">
            <w:pPr>
              <w:autoSpaceDE w:val="0"/>
              <w:autoSpaceDN w:val="0"/>
              <w:adjustRightInd w:val="0"/>
              <w:spacing w:after="0" w:line="240" w:lineRule="auto"/>
              <w:jc w:val="both"/>
              <w:rPr>
                <w:rFonts w:ascii="Arial" w:hAnsi="Arial" w:cs="Arial"/>
                <w:sz w:val="18"/>
                <w:szCs w:val="18"/>
              </w:rPr>
            </w:pPr>
            <w:r w:rsidRPr="000D1C0B">
              <w:rPr>
                <w:rFonts w:ascii="Arial" w:hAnsi="Arial" w:cs="Arial"/>
                <w:sz w:val="18"/>
                <w:szCs w:val="18"/>
              </w:rPr>
              <w:t xml:space="preserve">Esta información deberá ser remitida anualmente </w:t>
            </w:r>
            <w:r w:rsidRPr="000D1C0B">
              <w:rPr>
                <w:rFonts w:ascii="Arial" w:hAnsi="Arial" w:cs="Arial"/>
                <w:b/>
                <w:bCs/>
                <w:sz w:val="18"/>
                <w:szCs w:val="18"/>
              </w:rPr>
              <w:t>a más tardar el 31 de marzo de cada año.</w:t>
            </w:r>
          </w:p>
        </w:tc>
      </w:tr>
      <w:bookmarkEnd w:id="0"/>
    </w:tbl>
    <w:p w14:paraId="725FF396" w14:textId="77777777" w:rsidR="00D50CFB" w:rsidRPr="000D1C0B" w:rsidRDefault="00D50CFB" w:rsidP="009D3F09">
      <w:pPr>
        <w:spacing w:after="0" w:line="240" w:lineRule="auto"/>
        <w:jc w:val="both"/>
        <w:rPr>
          <w:rFonts w:ascii="Arial" w:hAnsi="Arial" w:cs="Arial"/>
          <w:bCs/>
          <w:spacing w:val="-3"/>
          <w:sz w:val="18"/>
          <w:szCs w:val="18"/>
        </w:rPr>
        <w:sectPr w:rsidR="00D50CFB" w:rsidRPr="000D1C0B" w:rsidSect="00B463C4">
          <w:pgSz w:w="15840" w:h="12240" w:orient="landscape"/>
          <w:pgMar w:top="1701" w:right="1417" w:bottom="1701" w:left="1417" w:header="708" w:footer="708" w:gutter="0"/>
          <w:cols w:space="708"/>
          <w:docGrid w:linePitch="360"/>
        </w:sectPr>
      </w:pPr>
    </w:p>
    <w:p w14:paraId="219F37B1" w14:textId="77777777" w:rsidR="00103A17" w:rsidRPr="000D1C0B" w:rsidRDefault="00103A17" w:rsidP="009D3F09">
      <w:pPr>
        <w:spacing w:after="0" w:line="240" w:lineRule="auto"/>
        <w:jc w:val="both"/>
        <w:rPr>
          <w:rFonts w:ascii="Arial" w:hAnsi="Arial" w:cs="Arial"/>
          <w:bCs/>
          <w:spacing w:val="-3"/>
          <w:sz w:val="18"/>
          <w:szCs w:val="18"/>
        </w:rPr>
      </w:pPr>
    </w:p>
    <w:p w14:paraId="06626014" w14:textId="77777777" w:rsidR="003574A3" w:rsidRPr="000D1C0B" w:rsidRDefault="003574A3" w:rsidP="00C033AD">
      <w:pPr>
        <w:pStyle w:val="Ttulo1"/>
        <w:numPr>
          <w:ilvl w:val="0"/>
          <w:numId w:val="43"/>
        </w:numPr>
        <w:jc w:val="left"/>
        <w:rPr>
          <w:b w:val="0"/>
          <w:bCs/>
          <w:sz w:val="18"/>
          <w:szCs w:val="18"/>
        </w:rPr>
      </w:pPr>
      <w:r w:rsidRPr="000D1C0B">
        <w:rPr>
          <w:sz w:val="18"/>
          <w:szCs w:val="18"/>
        </w:rPr>
        <w:t>VIGENCIA</w:t>
      </w:r>
    </w:p>
    <w:p w14:paraId="5668B190" w14:textId="77777777" w:rsidR="003574A3" w:rsidRPr="000D1C0B" w:rsidRDefault="003574A3" w:rsidP="003574A3">
      <w:pPr>
        <w:spacing w:after="0" w:line="240" w:lineRule="auto"/>
        <w:jc w:val="both"/>
        <w:rPr>
          <w:rFonts w:ascii="Arial" w:hAnsi="Arial" w:cs="Arial"/>
          <w:bCs/>
          <w:spacing w:val="-3"/>
          <w:sz w:val="18"/>
          <w:szCs w:val="18"/>
        </w:rPr>
      </w:pPr>
    </w:p>
    <w:p w14:paraId="0970B6BC" w14:textId="470FFEB7" w:rsidR="003574A3" w:rsidRPr="000D1C0B" w:rsidRDefault="003574A3" w:rsidP="003574A3">
      <w:pPr>
        <w:spacing w:after="0" w:line="240" w:lineRule="auto"/>
        <w:jc w:val="both"/>
        <w:rPr>
          <w:rFonts w:ascii="Arial" w:hAnsi="Arial" w:cs="Arial"/>
          <w:bCs/>
          <w:spacing w:val="-3"/>
          <w:sz w:val="18"/>
          <w:szCs w:val="18"/>
        </w:rPr>
      </w:pPr>
      <w:r w:rsidRPr="000D1C0B">
        <w:rPr>
          <w:rFonts w:ascii="Arial" w:hAnsi="Arial" w:cs="Arial"/>
          <w:bCs/>
          <w:spacing w:val="-3"/>
          <w:sz w:val="18"/>
          <w:szCs w:val="18"/>
        </w:rPr>
        <w:t xml:space="preserve">Las presentes instrucciones entrarán a regir a contar de </w:t>
      </w:r>
      <w:r w:rsidR="003C761A" w:rsidRPr="000D1C0B">
        <w:rPr>
          <w:rFonts w:ascii="Arial" w:hAnsi="Arial" w:cs="Arial"/>
          <w:bCs/>
          <w:spacing w:val="-3"/>
          <w:sz w:val="18"/>
          <w:szCs w:val="18"/>
        </w:rPr>
        <w:t xml:space="preserve">los </w:t>
      </w:r>
      <w:r w:rsidR="008E43EB" w:rsidRPr="000D1C0B">
        <w:rPr>
          <w:rFonts w:ascii="Arial" w:hAnsi="Arial" w:cs="Arial"/>
          <w:bCs/>
          <w:spacing w:val="-3"/>
          <w:sz w:val="18"/>
          <w:szCs w:val="18"/>
        </w:rPr>
        <w:t>45</w:t>
      </w:r>
      <w:r w:rsidRPr="000D1C0B">
        <w:rPr>
          <w:rFonts w:ascii="Arial" w:hAnsi="Arial" w:cs="Arial"/>
          <w:bCs/>
          <w:spacing w:val="-3"/>
          <w:sz w:val="18"/>
          <w:szCs w:val="18"/>
        </w:rPr>
        <w:t xml:space="preserve"> </w:t>
      </w:r>
      <w:r w:rsidR="003C761A" w:rsidRPr="000D1C0B">
        <w:rPr>
          <w:rFonts w:ascii="Arial" w:hAnsi="Arial" w:cs="Arial"/>
          <w:bCs/>
          <w:spacing w:val="-3"/>
          <w:sz w:val="18"/>
          <w:szCs w:val="18"/>
        </w:rPr>
        <w:t xml:space="preserve">días </w:t>
      </w:r>
      <w:r w:rsidRPr="000D1C0B">
        <w:rPr>
          <w:rFonts w:ascii="Arial" w:hAnsi="Arial" w:cs="Arial"/>
          <w:bCs/>
          <w:spacing w:val="-3"/>
          <w:sz w:val="18"/>
          <w:szCs w:val="18"/>
        </w:rPr>
        <w:t xml:space="preserve">hábiles </w:t>
      </w:r>
      <w:r w:rsidR="003C761A" w:rsidRPr="000D1C0B">
        <w:rPr>
          <w:rFonts w:ascii="Arial" w:hAnsi="Arial" w:cs="Arial"/>
          <w:bCs/>
          <w:spacing w:val="-3"/>
          <w:sz w:val="18"/>
          <w:szCs w:val="18"/>
        </w:rPr>
        <w:t>siguientes a la</w:t>
      </w:r>
      <w:r w:rsidRPr="000D1C0B">
        <w:rPr>
          <w:rFonts w:ascii="Arial" w:hAnsi="Arial" w:cs="Arial"/>
          <w:bCs/>
          <w:spacing w:val="-3"/>
          <w:sz w:val="18"/>
          <w:szCs w:val="18"/>
        </w:rPr>
        <w:t xml:space="preserve"> publicación de esta circular en la página web de la Superintendencia.</w:t>
      </w:r>
    </w:p>
    <w:p w14:paraId="25E4321E" w14:textId="3E637B65" w:rsidR="007509F5" w:rsidRPr="000D1C0B" w:rsidRDefault="007509F5" w:rsidP="009D3F09">
      <w:pPr>
        <w:spacing w:after="0" w:line="240" w:lineRule="auto"/>
        <w:jc w:val="both"/>
        <w:rPr>
          <w:rFonts w:ascii="Arial" w:hAnsi="Arial" w:cs="Arial"/>
          <w:bCs/>
          <w:spacing w:val="-3"/>
          <w:sz w:val="18"/>
          <w:szCs w:val="18"/>
        </w:rPr>
      </w:pPr>
    </w:p>
    <w:p w14:paraId="398321F3" w14:textId="3E4CA618" w:rsidR="00B837A7" w:rsidRPr="000D1C0B" w:rsidRDefault="00B837A7" w:rsidP="009D3F09">
      <w:pPr>
        <w:spacing w:after="0" w:line="240" w:lineRule="auto"/>
        <w:jc w:val="both"/>
        <w:rPr>
          <w:rFonts w:ascii="Arial" w:hAnsi="Arial" w:cs="Arial"/>
          <w:bCs/>
          <w:spacing w:val="-3"/>
          <w:sz w:val="18"/>
          <w:szCs w:val="18"/>
        </w:rPr>
      </w:pPr>
    </w:p>
    <w:p w14:paraId="1D8CC25C" w14:textId="77777777" w:rsidR="00103A17" w:rsidRPr="000D1C0B" w:rsidRDefault="00103A17" w:rsidP="009D3F09">
      <w:pPr>
        <w:spacing w:after="0" w:line="240" w:lineRule="auto"/>
        <w:jc w:val="both"/>
        <w:rPr>
          <w:rFonts w:ascii="Arial" w:hAnsi="Arial" w:cs="Arial"/>
          <w:bCs/>
          <w:spacing w:val="-3"/>
          <w:sz w:val="18"/>
          <w:szCs w:val="18"/>
        </w:rPr>
      </w:pPr>
    </w:p>
    <w:p w14:paraId="3B366D1A" w14:textId="7965FC68" w:rsidR="00801F10" w:rsidRPr="000D1C0B" w:rsidRDefault="00801F10" w:rsidP="00801F10">
      <w:pPr>
        <w:widowControl w:val="0"/>
        <w:jc w:val="center"/>
        <w:rPr>
          <w:rFonts w:ascii="Arial" w:hAnsi="Arial" w:cs="Arial"/>
          <w:b/>
          <w:sz w:val="18"/>
          <w:szCs w:val="18"/>
        </w:rPr>
      </w:pPr>
      <w:r w:rsidRPr="000D1C0B">
        <w:rPr>
          <w:rFonts w:ascii="Arial" w:hAnsi="Arial" w:cs="Arial"/>
          <w:b/>
          <w:sz w:val="18"/>
          <w:szCs w:val="18"/>
        </w:rPr>
        <w:t>ANÓTESE</w:t>
      </w:r>
      <w:r w:rsidR="003C761A" w:rsidRPr="000D1C0B">
        <w:rPr>
          <w:rFonts w:ascii="Arial" w:hAnsi="Arial" w:cs="Arial"/>
          <w:b/>
          <w:sz w:val="18"/>
          <w:szCs w:val="18"/>
        </w:rPr>
        <w:t>, NOTIFÍQUESE</w:t>
      </w:r>
      <w:r w:rsidRPr="000D1C0B">
        <w:rPr>
          <w:rFonts w:ascii="Arial" w:hAnsi="Arial" w:cs="Arial"/>
          <w:b/>
          <w:sz w:val="18"/>
          <w:szCs w:val="18"/>
        </w:rPr>
        <w:t xml:space="preserve"> Y PUBLÍQUESE EN </w:t>
      </w:r>
      <w:r w:rsidR="007E509A" w:rsidRPr="000D1C0B">
        <w:rPr>
          <w:rFonts w:ascii="Arial" w:hAnsi="Arial" w:cs="Arial"/>
          <w:b/>
          <w:sz w:val="18"/>
          <w:szCs w:val="18"/>
        </w:rPr>
        <w:t>LA PÁGINA WEB DE LA SUPERINTENDENCIA</w:t>
      </w:r>
    </w:p>
    <w:p w14:paraId="3C1A211A" w14:textId="096A2051" w:rsidR="00B837A7" w:rsidRPr="000D1C0B" w:rsidRDefault="00B837A7" w:rsidP="00801F10">
      <w:pPr>
        <w:widowControl w:val="0"/>
        <w:jc w:val="center"/>
        <w:rPr>
          <w:rFonts w:ascii="Arial" w:hAnsi="Arial" w:cs="Arial"/>
          <w:b/>
          <w:sz w:val="18"/>
          <w:szCs w:val="18"/>
        </w:rPr>
      </w:pPr>
    </w:p>
    <w:p w14:paraId="476671F5" w14:textId="402E9620" w:rsidR="00D50149" w:rsidRPr="000D1C0B" w:rsidRDefault="00D50149" w:rsidP="00801F10">
      <w:pPr>
        <w:widowControl w:val="0"/>
        <w:jc w:val="center"/>
        <w:rPr>
          <w:rFonts w:ascii="Arial" w:hAnsi="Arial" w:cs="Arial"/>
          <w:b/>
          <w:sz w:val="18"/>
          <w:szCs w:val="18"/>
        </w:rPr>
      </w:pPr>
    </w:p>
    <w:p w14:paraId="56422676" w14:textId="42CA58BB" w:rsidR="00D50149" w:rsidRPr="000D1C0B" w:rsidRDefault="00D50149" w:rsidP="00801F10">
      <w:pPr>
        <w:widowControl w:val="0"/>
        <w:jc w:val="center"/>
        <w:rPr>
          <w:rFonts w:ascii="Arial" w:hAnsi="Arial" w:cs="Arial"/>
          <w:b/>
          <w:sz w:val="18"/>
          <w:szCs w:val="18"/>
        </w:rPr>
      </w:pPr>
    </w:p>
    <w:p w14:paraId="67BACBEF" w14:textId="77777777" w:rsidR="00D50149" w:rsidRPr="000D1C0B" w:rsidRDefault="00D50149" w:rsidP="00801F10">
      <w:pPr>
        <w:widowControl w:val="0"/>
        <w:jc w:val="center"/>
        <w:rPr>
          <w:rFonts w:ascii="Arial" w:hAnsi="Arial" w:cs="Arial"/>
          <w:b/>
          <w:sz w:val="18"/>
          <w:szCs w:val="18"/>
        </w:rPr>
      </w:pPr>
    </w:p>
    <w:p w14:paraId="049B6CF2" w14:textId="77777777" w:rsidR="00801F10" w:rsidRPr="000D1C0B" w:rsidRDefault="00801F10" w:rsidP="004B57ED">
      <w:pPr>
        <w:spacing w:after="0"/>
        <w:rPr>
          <w:rFonts w:ascii="Arial" w:hAnsi="Arial" w:cs="Arial"/>
          <w:sz w:val="18"/>
          <w:szCs w:val="18"/>
          <w:u w:val="single"/>
        </w:rPr>
      </w:pPr>
      <w:r w:rsidRPr="000D1C0B">
        <w:rPr>
          <w:rFonts w:ascii="Arial" w:hAnsi="Arial" w:cs="Arial"/>
          <w:sz w:val="18"/>
          <w:szCs w:val="18"/>
          <w:u w:val="single"/>
        </w:rPr>
        <w:t>Distribución:</w:t>
      </w:r>
    </w:p>
    <w:p w14:paraId="59AF2B99" w14:textId="7812E853" w:rsidR="00801F10" w:rsidRPr="000D1C0B" w:rsidRDefault="00801F10">
      <w:pPr>
        <w:numPr>
          <w:ilvl w:val="0"/>
          <w:numId w:val="19"/>
        </w:numPr>
        <w:spacing w:after="0" w:line="240" w:lineRule="auto"/>
        <w:rPr>
          <w:rFonts w:ascii="Arial" w:hAnsi="Arial" w:cs="Arial"/>
          <w:sz w:val="18"/>
          <w:szCs w:val="18"/>
        </w:rPr>
      </w:pPr>
      <w:r w:rsidRPr="000D1C0B">
        <w:rPr>
          <w:rFonts w:ascii="Arial" w:hAnsi="Arial" w:cs="Arial"/>
          <w:sz w:val="18"/>
          <w:szCs w:val="18"/>
        </w:rPr>
        <w:t>Sociedades Operadoras</w:t>
      </w:r>
    </w:p>
    <w:p w14:paraId="3BD32694" w14:textId="402A68D9" w:rsidR="00713553" w:rsidRPr="000D1C0B" w:rsidRDefault="00641724">
      <w:pPr>
        <w:numPr>
          <w:ilvl w:val="0"/>
          <w:numId w:val="19"/>
        </w:numPr>
        <w:spacing w:after="0" w:line="240" w:lineRule="auto"/>
        <w:rPr>
          <w:rFonts w:ascii="Arial" w:hAnsi="Arial" w:cs="Arial"/>
          <w:sz w:val="18"/>
          <w:szCs w:val="18"/>
        </w:rPr>
      </w:pPr>
      <w:r w:rsidRPr="000D1C0B">
        <w:rPr>
          <w:rFonts w:ascii="Arial" w:hAnsi="Arial" w:cs="Arial"/>
          <w:sz w:val="18"/>
          <w:szCs w:val="18"/>
        </w:rPr>
        <w:t>Sociedades</w:t>
      </w:r>
      <w:r w:rsidR="00713553" w:rsidRPr="000D1C0B">
        <w:rPr>
          <w:rFonts w:ascii="Arial" w:hAnsi="Arial" w:cs="Arial"/>
          <w:sz w:val="18"/>
          <w:szCs w:val="18"/>
        </w:rPr>
        <w:t xml:space="preserve"> Concesionarias</w:t>
      </w:r>
      <w:r w:rsidR="007509F5" w:rsidRPr="000D1C0B">
        <w:rPr>
          <w:rFonts w:ascii="Arial" w:hAnsi="Arial" w:cs="Arial"/>
          <w:sz w:val="18"/>
          <w:szCs w:val="18"/>
        </w:rPr>
        <w:t xml:space="preserve"> </w:t>
      </w:r>
    </w:p>
    <w:p w14:paraId="07D99D92" w14:textId="72CBC645" w:rsidR="00713553" w:rsidRPr="000D1C0B" w:rsidRDefault="00713553">
      <w:pPr>
        <w:numPr>
          <w:ilvl w:val="0"/>
          <w:numId w:val="19"/>
        </w:numPr>
        <w:spacing w:after="0" w:line="240" w:lineRule="auto"/>
        <w:rPr>
          <w:rFonts w:ascii="Arial" w:hAnsi="Arial" w:cs="Arial"/>
          <w:sz w:val="18"/>
          <w:szCs w:val="18"/>
        </w:rPr>
      </w:pPr>
      <w:r w:rsidRPr="000D1C0B">
        <w:rPr>
          <w:rFonts w:ascii="Arial" w:hAnsi="Arial" w:cs="Arial"/>
          <w:sz w:val="18"/>
          <w:szCs w:val="18"/>
        </w:rPr>
        <w:t>Laboratorios</w:t>
      </w:r>
    </w:p>
    <w:p w14:paraId="30287972" w14:textId="77777777" w:rsidR="00801F10" w:rsidRPr="000D1C0B" w:rsidRDefault="00801F10">
      <w:pPr>
        <w:numPr>
          <w:ilvl w:val="0"/>
          <w:numId w:val="19"/>
        </w:numPr>
        <w:spacing w:after="0" w:line="240" w:lineRule="auto"/>
        <w:rPr>
          <w:rFonts w:ascii="Arial" w:hAnsi="Arial" w:cs="Arial"/>
          <w:sz w:val="18"/>
          <w:szCs w:val="18"/>
        </w:rPr>
      </w:pPr>
      <w:r w:rsidRPr="000D1C0B">
        <w:rPr>
          <w:rFonts w:ascii="Arial" w:hAnsi="Arial" w:cs="Arial"/>
          <w:sz w:val="18"/>
          <w:szCs w:val="18"/>
        </w:rPr>
        <w:t>Divisiones de la SCJ</w:t>
      </w:r>
    </w:p>
    <w:p w14:paraId="3A7A09B6" w14:textId="77777777" w:rsidR="00217682" w:rsidRPr="000D1C0B" w:rsidRDefault="00801F10" w:rsidP="00217682">
      <w:pPr>
        <w:numPr>
          <w:ilvl w:val="0"/>
          <w:numId w:val="19"/>
        </w:numPr>
        <w:spacing w:after="0" w:line="240" w:lineRule="auto"/>
        <w:rPr>
          <w:rFonts w:ascii="Arial" w:hAnsi="Arial" w:cs="Arial"/>
          <w:sz w:val="18"/>
          <w:szCs w:val="18"/>
        </w:rPr>
      </w:pPr>
      <w:r w:rsidRPr="000D1C0B">
        <w:rPr>
          <w:rFonts w:ascii="Arial" w:hAnsi="Arial" w:cs="Arial"/>
          <w:sz w:val="18"/>
          <w:szCs w:val="18"/>
        </w:rPr>
        <w:t>Unidad de Asuntos Institucionales y Comunicaciones SCJ</w:t>
      </w:r>
    </w:p>
    <w:p w14:paraId="53F347D5" w14:textId="3463A1E2" w:rsidR="008A384C" w:rsidRPr="000D1C0B" w:rsidRDefault="00801F10" w:rsidP="00217682">
      <w:pPr>
        <w:numPr>
          <w:ilvl w:val="0"/>
          <w:numId w:val="19"/>
        </w:numPr>
        <w:spacing w:after="0" w:line="240" w:lineRule="auto"/>
        <w:rPr>
          <w:rFonts w:ascii="Arial" w:hAnsi="Arial" w:cs="Arial"/>
          <w:sz w:val="18"/>
          <w:szCs w:val="18"/>
        </w:rPr>
      </w:pPr>
      <w:r w:rsidRPr="000D1C0B">
        <w:rPr>
          <w:rFonts w:ascii="Arial" w:hAnsi="Arial" w:cs="Arial"/>
          <w:sz w:val="18"/>
          <w:szCs w:val="18"/>
        </w:rPr>
        <w:t>Oficina de Partes</w:t>
      </w:r>
    </w:p>
    <w:p w14:paraId="6D461FCF" w14:textId="19F94C57" w:rsidR="00A96815" w:rsidRPr="000D1C0B" w:rsidRDefault="00A96815" w:rsidP="00A96815">
      <w:pPr>
        <w:spacing w:after="0" w:line="240" w:lineRule="auto"/>
        <w:rPr>
          <w:rFonts w:ascii="Arial" w:hAnsi="Arial" w:cs="Arial"/>
          <w:sz w:val="18"/>
          <w:szCs w:val="18"/>
        </w:rPr>
      </w:pPr>
    </w:p>
    <w:p w14:paraId="0BF25EB4" w14:textId="6AA5832D" w:rsidR="00A96815" w:rsidRPr="000D1C0B" w:rsidRDefault="00A96815" w:rsidP="00A96815">
      <w:pPr>
        <w:spacing w:after="0" w:line="240" w:lineRule="auto"/>
        <w:rPr>
          <w:rFonts w:ascii="Arial" w:hAnsi="Arial" w:cs="Arial"/>
          <w:sz w:val="18"/>
          <w:szCs w:val="18"/>
        </w:rPr>
      </w:pPr>
    </w:p>
    <w:p w14:paraId="6AA65566" w14:textId="51BC9054" w:rsidR="00A96815" w:rsidRPr="000D1C0B" w:rsidRDefault="00A96815" w:rsidP="00A96815">
      <w:pPr>
        <w:spacing w:after="0" w:line="240" w:lineRule="auto"/>
        <w:rPr>
          <w:rFonts w:ascii="Arial" w:hAnsi="Arial" w:cs="Arial"/>
          <w:sz w:val="18"/>
          <w:szCs w:val="18"/>
        </w:rPr>
      </w:pPr>
    </w:p>
    <w:sectPr w:rsidR="00A96815" w:rsidRPr="000D1C0B" w:rsidSect="00D50CF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3050" w14:textId="77777777" w:rsidR="00694B42" w:rsidRDefault="00694B42" w:rsidP="00684714">
      <w:pPr>
        <w:spacing w:after="0" w:line="240" w:lineRule="auto"/>
      </w:pPr>
      <w:r>
        <w:separator/>
      </w:r>
    </w:p>
  </w:endnote>
  <w:endnote w:type="continuationSeparator" w:id="0">
    <w:p w14:paraId="1879A4A2" w14:textId="77777777" w:rsidR="00694B42" w:rsidRDefault="00694B42" w:rsidP="00684714">
      <w:pPr>
        <w:spacing w:after="0" w:line="240" w:lineRule="auto"/>
      </w:pPr>
      <w:r>
        <w:continuationSeparator/>
      </w:r>
    </w:p>
  </w:endnote>
  <w:endnote w:type="continuationNotice" w:id="1">
    <w:p w14:paraId="1E3A49AC" w14:textId="77777777" w:rsidR="00B177E0" w:rsidRDefault="00B17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38A3" w14:textId="3A5C83A7" w:rsidR="00684714" w:rsidRDefault="00684714">
    <w:pPr>
      <w:pStyle w:val="Piedepgina"/>
      <w:jc w:val="right"/>
    </w:pPr>
  </w:p>
  <w:p w14:paraId="05CB8C7B" w14:textId="77777777" w:rsidR="00684714" w:rsidRDefault="006847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F4EFF" w14:textId="77777777" w:rsidR="00694B42" w:rsidRDefault="00694B42" w:rsidP="00684714">
      <w:pPr>
        <w:spacing w:after="0" w:line="240" w:lineRule="auto"/>
      </w:pPr>
      <w:r>
        <w:separator/>
      </w:r>
    </w:p>
  </w:footnote>
  <w:footnote w:type="continuationSeparator" w:id="0">
    <w:p w14:paraId="2DBFCCAA" w14:textId="77777777" w:rsidR="00694B42" w:rsidRDefault="00694B42" w:rsidP="00684714">
      <w:pPr>
        <w:spacing w:after="0" w:line="240" w:lineRule="auto"/>
      </w:pPr>
      <w:r>
        <w:continuationSeparator/>
      </w:r>
    </w:p>
  </w:footnote>
  <w:footnote w:type="continuationNotice" w:id="1">
    <w:p w14:paraId="672FB890" w14:textId="77777777" w:rsidR="00B177E0" w:rsidRDefault="00B177E0">
      <w:pPr>
        <w:spacing w:after="0" w:line="240" w:lineRule="auto"/>
      </w:pPr>
    </w:p>
  </w:footnote>
  <w:footnote w:id="2">
    <w:p w14:paraId="039F0FFD" w14:textId="5D2BD5CB" w:rsidR="00D34A75" w:rsidRPr="003D7623" w:rsidRDefault="00D34A75">
      <w:pPr>
        <w:pStyle w:val="Textonotapie"/>
        <w:rPr>
          <w:rFonts w:ascii="Arial" w:hAnsi="Arial" w:cs="Arial"/>
          <w:sz w:val="16"/>
          <w:szCs w:val="16"/>
        </w:rPr>
      </w:pPr>
      <w:r w:rsidRPr="003D7623">
        <w:rPr>
          <w:rStyle w:val="Refdenotaalpie"/>
          <w:rFonts w:ascii="Arial" w:hAnsi="Arial" w:cs="Arial"/>
          <w:sz w:val="16"/>
          <w:szCs w:val="16"/>
        </w:rPr>
        <w:footnoteRef/>
      </w:r>
      <w:r w:rsidRPr="003D7623">
        <w:rPr>
          <w:rFonts w:ascii="Arial" w:hAnsi="Arial" w:cs="Arial"/>
          <w:sz w:val="16"/>
          <w:szCs w:val="16"/>
        </w:rPr>
        <w:t xml:space="preserve"> En paréntesis se incluyen las circulares modificatorias</w:t>
      </w:r>
      <w:r w:rsidR="00BF36FD" w:rsidRPr="003D7623">
        <w:rPr>
          <w:rFonts w:ascii="Arial" w:hAnsi="Arial" w:cs="Arial"/>
          <w:sz w:val="16"/>
          <w:szCs w:val="16"/>
        </w:rPr>
        <w:t>.</w:t>
      </w:r>
    </w:p>
  </w:footnote>
  <w:footnote w:id="3">
    <w:p w14:paraId="584367C8" w14:textId="70A425E4" w:rsidR="00D80A49" w:rsidRPr="00FF0CAA" w:rsidRDefault="00D80A49" w:rsidP="00FF0CAA">
      <w:pPr>
        <w:pStyle w:val="Textonotapie"/>
        <w:jc w:val="both"/>
        <w:rPr>
          <w:rFonts w:ascii="Arial" w:hAnsi="Arial" w:cs="Arial"/>
          <w:sz w:val="16"/>
          <w:szCs w:val="16"/>
          <w:lang w:val="es-MX"/>
        </w:rPr>
      </w:pPr>
      <w:r w:rsidRPr="00FF0CAA">
        <w:rPr>
          <w:rStyle w:val="Refdenotaalpie"/>
          <w:rFonts w:ascii="Arial" w:hAnsi="Arial" w:cs="Arial"/>
          <w:sz w:val="16"/>
          <w:szCs w:val="16"/>
        </w:rPr>
        <w:footnoteRef/>
      </w:r>
      <w:r w:rsidRPr="00FF0CAA">
        <w:rPr>
          <w:rFonts w:ascii="Arial" w:hAnsi="Arial" w:cs="Arial"/>
          <w:sz w:val="16"/>
          <w:szCs w:val="16"/>
        </w:rPr>
        <w:t xml:space="preserve"> </w:t>
      </w:r>
      <w:r w:rsidRPr="00FF0CAA">
        <w:rPr>
          <w:rFonts w:ascii="Arial" w:hAnsi="Arial" w:cs="Arial"/>
          <w:sz w:val="16"/>
          <w:szCs w:val="16"/>
          <w:lang w:val="es-MX"/>
        </w:rPr>
        <w:t xml:space="preserve">Solo se elimina la obligación de informar de forma </w:t>
      </w:r>
      <w:r w:rsidRPr="00FF0CAA">
        <w:rPr>
          <w:rFonts w:ascii="Arial" w:hAnsi="Arial" w:cs="Arial"/>
          <w:b/>
          <w:bCs/>
          <w:sz w:val="16"/>
          <w:szCs w:val="16"/>
          <w:lang w:val="es-MX"/>
        </w:rPr>
        <w:t>previa</w:t>
      </w:r>
      <w:r w:rsidRPr="00FF0CAA">
        <w:rPr>
          <w:rFonts w:ascii="Arial" w:hAnsi="Arial" w:cs="Arial"/>
          <w:sz w:val="16"/>
          <w:szCs w:val="16"/>
          <w:lang w:val="es-MX"/>
        </w:rPr>
        <w:t xml:space="preserve"> l</w:t>
      </w:r>
      <w:r w:rsidR="00E41C84">
        <w:rPr>
          <w:rFonts w:ascii="Arial" w:hAnsi="Arial" w:cs="Arial"/>
          <w:sz w:val="16"/>
          <w:szCs w:val="16"/>
          <w:lang w:val="es-MX"/>
        </w:rPr>
        <w:t>o</w:t>
      </w:r>
      <w:r w:rsidRPr="00FF0CAA">
        <w:rPr>
          <w:rFonts w:ascii="Arial" w:hAnsi="Arial" w:cs="Arial"/>
          <w:sz w:val="16"/>
          <w:szCs w:val="16"/>
          <w:lang w:val="es-MX"/>
        </w:rPr>
        <w:t xml:space="preserve">s </w:t>
      </w:r>
      <w:r w:rsidR="00E41C84" w:rsidRPr="00E41C84">
        <w:rPr>
          <w:rFonts w:ascii="Arial" w:hAnsi="Arial" w:cs="Arial"/>
          <w:sz w:val="16"/>
          <w:szCs w:val="16"/>
          <w:lang w:val="es-MX"/>
        </w:rPr>
        <w:t>movimientos de parque que no impliquen nuevas mesas de juego o máquinas de azar</w:t>
      </w:r>
      <w:r w:rsidRPr="00FF0CAA">
        <w:rPr>
          <w:rFonts w:ascii="Arial" w:hAnsi="Arial" w:cs="Arial"/>
          <w:sz w:val="16"/>
          <w:szCs w:val="16"/>
          <w:lang w:val="es-MX"/>
        </w:rPr>
        <w:t>. Se mantiene el resto de las notificaciones previas descritas en la respectiva circular.</w:t>
      </w:r>
      <w:r w:rsidR="00E41C84">
        <w:rPr>
          <w:rFonts w:ascii="Arial" w:hAnsi="Arial" w:cs="Arial"/>
          <w:sz w:val="16"/>
          <w:szCs w:val="16"/>
          <w:lang w:val="es-MX"/>
        </w:rPr>
        <w:t xml:space="preserve"> </w:t>
      </w:r>
    </w:p>
  </w:footnote>
  <w:footnote w:id="4">
    <w:p w14:paraId="383A405E" w14:textId="06E3D6CB" w:rsidR="00BA4DFE" w:rsidRPr="008F4583" w:rsidRDefault="00BA4DFE">
      <w:pPr>
        <w:pStyle w:val="Textonotapie"/>
        <w:rPr>
          <w:lang w:val="es-MX"/>
        </w:rPr>
      </w:pPr>
      <w:r>
        <w:rPr>
          <w:rStyle w:val="Refdenotaalpie"/>
        </w:rPr>
        <w:footnoteRef/>
      </w:r>
      <w:r>
        <w:t xml:space="preserve"> </w:t>
      </w:r>
      <w:r w:rsidR="000D49FF">
        <w:t>En este cuadro la</w:t>
      </w:r>
      <w:r w:rsidR="008F4583">
        <w:t xml:space="preserve">s circulares </w:t>
      </w:r>
      <w:r w:rsidR="000D49FF">
        <w:t>citadas</w:t>
      </w:r>
      <w:r w:rsidR="008F4583">
        <w:t xml:space="preserve"> se repiten tantas veces como plazos </w:t>
      </w:r>
      <w:r w:rsidR="000D49FF">
        <w:t>estas señalen</w:t>
      </w:r>
      <w:r w:rsidR="008F4583">
        <w:t>.</w:t>
      </w:r>
    </w:p>
  </w:footnote>
  <w:footnote w:id="5">
    <w:p w14:paraId="062213DC" w14:textId="77777777" w:rsidR="00F35623" w:rsidRPr="00A729E6" w:rsidRDefault="00F35623" w:rsidP="00F35623">
      <w:pPr>
        <w:pStyle w:val="Textonotapie"/>
        <w:rPr>
          <w:rFonts w:ascii="Arial" w:hAnsi="Arial" w:cs="Arial"/>
          <w:sz w:val="16"/>
          <w:szCs w:val="16"/>
        </w:rPr>
      </w:pPr>
      <w:r w:rsidRPr="00A729E6">
        <w:rPr>
          <w:rStyle w:val="Refdenotaalpie"/>
          <w:rFonts w:ascii="Arial" w:hAnsi="Arial" w:cs="Arial"/>
          <w:sz w:val="16"/>
          <w:szCs w:val="16"/>
        </w:rPr>
        <w:footnoteRef/>
      </w:r>
      <w:r w:rsidRPr="00A729E6">
        <w:rPr>
          <w:rFonts w:ascii="Arial" w:hAnsi="Arial" w:cs="Arial"/>
          <w:sz w:val="16"/>
          <w:szCs w:val="16"/>
        </w:rPr>
        <w:t xml:space="preserve"> Excepcionalmente se mantiene</w:t>
      </w:r>
      <w:r>
        <w:rPr>
          <w:rFonts w:ascii="Arial" w:hAnsi="Arial" w:cs="Arial"/>
          <w:sz w:val="16"/>
          <w:szCs w:val="16"/>
        </w:rPr>
        <w:t>n</w:t>
      </w:r>
      <w:r w:rsidRPr="00A729E6">
        <w:rPr>
          <w:rFonts w:ascii="Arial" w:hAnsi="Arial" w:cs="Arial"/>
          <w:sz w:val="16"/>
          <w:szCs w:val="16"/>
        </w:rPr>
        <w:t xml:space="preserve"> los días corridos.</w:t>
      </w:r>
    </w:p>
  </w:footnote>
  <w:footnote w:id="6">
    <w:p w14:paraId="44517B21" w14:textId="12870312" w:rsidR="00840F35" w:rsidRPr="00424B56" w:rsidRDefault="00840F35">
      <w:pPr>
        <w:pStyle w:val="Textonotapie"/>
        <w:rPr>
          <w:rFonts w:ascii="Arial" w:hAnsi="Arial" w:cs="Arial"/>
          <w:sz w:val="16"/>
          <w:szCs w:val="16"/>
        </w:rPr>
      </w:pPr>
      <w:r w:rsidRPr="00424B56">
        <w:rPr>
          <w:rStyle w:val="Refdenotaalpie"/>
          <w:rFonts w:ascii="Arial" w:hAnsi="Arial" w:cs="Arial"/>
          <w:sz w:val="16"/>
          <w:szCs w:val="16"/>
        </w:rPr>
        <w:footnoteRef/>
      </w:r>
      <w:r w:rsidRPr="00424B56">
        <w:rPr>
          <w:rFonts w:ascii="Arial" w:hAnsi="Arial" w:cs="Arial"/>
          <w:sz w:val="16"/>
          <w:szCs w:val="16"/>
        </w:rPr>
        <w:t xml:space="preserve"> Lo subrayado en negro</w:t>
      </w:r>
      <w:r w:rsidR="007A5896" w:rsidRPr="00424B56">
        <w:rPr>
          <w:rFonts w:ascii="Arial" w:hAnsi="Arial" w:cs="Arial"/>
          <w:sz w:val="16"/>
          <w:szCs w:val="16"/>
        </w:rPr>
        <w:t xml:space="preserve"> en los aparatados “</w:t>
      </w:r>
      <w:r w:rsidR="00424B56" w:rsidRPr="00424B56">
        <w:rPr>
          <w:rFonts w:ascii="Arial" w:hAnsi="Arial" w:cs="Arial"/>
          <w:sz w:val="16"/>
          <w:szCs w:val="16"/>
        </w:rPr>
        <w:t>Articulado actual</w:t>
      </w:r>
      <w:r w:rsidR="007A5896" w:rsidRPr="00424B56">
        <w:rPr>
          <w:rFonts w:ascii="Arial" w:hAnsi="Arial" w:cs="Arial"/>
          <w:sz w:val="16"/>
          <w:szCs w:val="16"/>
        </w:rPr>
        <w:t>” y “modificación”</w:t>
      </w:r>
      <w:r w:rsidR="008E141F">
        <w:rPr>
          <w:rFonts w:ascii="Arial" w:hAnsi="Arial" w:cs="Arial"/>
          <w:sz w:val="16"/>
          <w:szCs w:val="16"/>
        </w:rPr>
        <w:t xml:space="preserve"> del</w:t>
      </w:r>
      <w:r w:rsidR="008E141F" w:rsidRPr="008E141F">
        <w:rPr>
          <w:rFonts w:ascii="Arial" w:hAnsi="Arial" w:cs="Arial"/>
          <w:sz w:val="16"/>
          <w:szCs w:val="16"/>
        </w:rPr>
        <w:t xml:space="preserve"> </w:t>
      </w:r>
      <w:r w:rsidR="008E141F" w:rsidRPr="00424B56">
        <w:rPr>
          <w:rFonts w:ascii="Arial" w:hAnsi="Arial" w:cs="Arial"/>
          <w:sz w:val="16"/>
          <w:szCs w:val="16"/>
        </w:rPr>
        <w:t xml:space="preserve">Cuadro </w:t>
      </w:r>
      <w:proofErr w:type="spellStart"/>
      <w:r w:rsidR="008E141F" w:rsidRPr="00424B56">
        <w:rPr>
          <w:rFonts w:ascii="Arial" w:hAnsi="Arial" w:cs="Arial"/>
          <w:sz w:val="16"/>
          <w:szCs w:val="16"/>
        </w:rPr>
        <w:t>N°</w:t>
      </w:r>
      <w:proofErr w:type="spellEnd"/>
      <w:r w:rsidR="008E141F" w:rsidRPr="00424B56">
        <w:rPr>
          <w:rFonts w:ascii="Arial" w:hAnsi="Arial" w:cs="Arial"/>
          <w:sz w:val="16"/>
          <w:szCs w:val="16"/>
        </w:rPr>
        <w:t xml:space="preserve"> 4</w:t>
      </w:r>
      <w:r w:rsidR="005650EC" w:rsidRPr="00424B56">
        <w:rPr>
          <w:rFonts w:ascii="Arial" w:hAnsi="Arial" w:cs="Arial"/>
          <w:sz w:val="16"/>
          <w:szCs w:val="16"/>
        </w:rPr>
        <w:t xml:space="preserve"> </w:t>
      </w:r>
      <w:r w:rsidRPr="00424B56">
        <w:rPr>
          <w:rFonts w:ascii="Arial" w:hAnsi="Arial" w:cs="Arial"/>
          <w:sz w:val="16"/>
          <w:szCs w:val="16"/>
        </w:rPr>
        <w:t>solo es referencial y no será parte integrante de la versión modificada.</w:t>
      </w:r>
    </w:p>
  </w:footnote>
  <w:footnote w:id="7">
    <w:p w14:paraId="15829906" w14:textId="79905BDE" w:rsidR="008325E9" w:rsidRPr="008325E9" w:rsidRDefault="008325E9">
      <w:pPr>
        <w:pStyle w:val="Textonotapie"/>
        <w:rPr>
          <w:lang w:val="es-MX"/>
        </w:rPr>
      </w:pPr>
      <w:r w:rsidRPr="00A729E6">
        <w:rPr>
          <w:rStyle w:val="Refdenotaalpie"/>
          <w:sz w:val="16"/>
          <w:szCs w:val="16"/>
        </w:rPr>
        <w:footnoteRef/>
      </w:r>
      <w:r w:rsidRPr="00A729E6">
        <w:rPr>
          <w:sz w:val="16"/>
          <w:szCs w:val="16"/>
        </w:rPr>
        <w:t xml:space="preserve"> </w:t>
      </w:r>
      <w:r w:rsidRPr="00A729E6">
        <w:rPr>
          <w:rFonts w:ascii="Arial" w:hAnsi="Arial" w:cs="Arial"/>
          <w:sz w:val="16"/>
          <w:szCs w:val="16"/>
        </w:rPr>
        <w:t xml:space="preserve">Según señala el inciso segundo del artículo 17 del </w:t>
      </w:r>
      <w:r w:rsidR="00E12D74" w:rsidRPr="00E12D74">
        <w:rPr>
          <w:rFonts w:ascii="Arial" w:hAnsi="Arial" w:cs="Arial"/>
          <w:sz w:val="16"/>
          <w:szCs w:val="16"/>
        </w:rPr>
        <w:t xml:space="preserve">Decreto Supremo </w:t>
      </w:r>
      <w:proofErr w:type="spellStart"/>
      <w:r w:rsidR="00E12D74" w:rsidRPr="00E12D74">
        <w:rPr>
          <w:rFonts w:ascii="Arial" w:hAnsi="Arial" w:cs="Arial"/>
          <w:sz w:val="16"/>
          <w:szCs w:val="16"/>
        </w:rPr>
        <w:t>N°</w:t>
      </w:r>
      <w:proofErr w:type="spellEnd"/>
      <w:r w:rsidR="00E12D74" w:rsidRPr="00E12D74">
        <w:rPr>
          <w:rFonts w:ascii="Arial" w:hAnsi="Arial" w:cs="Arial"/>
          <w:sz w:val="16"/>
          <w:szCs w:val="16"/>
        </w:rPr>
        <w:t xml:space="preserve"> 287, de 2005, del Ministerio de Hacienda</w:t>
      </w:r>
      <w:r w:rsidR="00E12D74">
        <w:rPr>
          <w:rFonts w:ascii="Arial" w:hAnsi="Arial" w:cs="Arial"/>
          <w:sz w:val="16"/>
          <w:szCs w:val="16"/>
        </w:rPr>
        <w:t>.</w:t>
      </w:r>
    </w:p>
  </w:footnote>
  <w:footnote w:id="8">
    <w:p w14:paraId="5A52187A" w14:textId="11244117" w:rsidR="00066DBA" w:rsidRPr="000546B3" w:rsidRDefault="00066DBA">
      <w:pPr>
        <w:pStyle w:val="Textonotapie"/>
        <w:rPr>
          <w:rFonts w:ascii="Arial" w:hAnsi="Arial" w:cs="Arial"/>
          <w:sz w:val="16"/>
          <w:szCs w:val="16"/>
        </w:rPr>
      </w:pPr>
      <w:r w:rsidRPr="000546B3">
        <w:rPr>
          <w:rStyle w:val="Refdenotaalpie"/>
          <w:rFonts w:ascii="Arial" w:hAnsi="Arial" w:cs="Arial"/>
          <w:sz w:val="16"/>
          <w:szCs w:val="16"/>
        </w:rPr>
        <w:footnoteRef/>
      </w:r>
      <w:r w:rsidRPr="000546B3">
        <w:rPr>
          <w:rFonts w:ascii="Arial" w:hAnsi="Arial" w:cs="Arial"/>
          <w:sz w:val="16"/>
          <w:szCs w:val="16"/>
        </w:rPr>
        <w:t xml:space="preserve"> Se hace presente que solo se elimina </w:t>
      </w:r>
      <w:proofErr w:type="gramStart"/>
      <w:r w:rsidRPr="000546B3">
        <w:rPr>
          <w:rFonts w:ascii="Arial" w:hAnsi="Arial" w:cs="Arial"/>
          <w:sz w:val="16"/>
          <w:szCs w:val="16"/>
        </w:rPr>
        <w:t xml:space="preserve">la </w:t>
      </w:r>
      <w:r w:rsidR="00417FC1">
        <w:rPr>
          <w:rFonts w:ascii="Arial" w:hAnsi="Arial" w:cs="Arial"/>
          <w:sz w:val="16"/>
          <w:szCs w:val="16"/>
        </w:rPr>
        <w:t xml:space="preserve"> remisión</w:t>
      </w:r>
      <w:proofErr w:type="gramEnd"/>
      <w:r w:rsidR="00417FC1">
        <w:rPr>
          <w:rFonts w:ascii="Arial" w:hAnsi="Arial" w:cs="Arial"/>
          <w:sz w:val="16"/>
          <w:szCs w:val="16"/>
        </w:rPr>
        <w:t xml:space="preserve"> </w:t>
      </w:r>
      <w:r w:rsidRPr="000546B3">
        <w:rPr>
          <w:rFonts w:ascii="Arial" w:hAnsi="Arial" w:cs="Arial"/>
          <w:sz w:val="16"/>
          <w:szCs w:val="16"/>
        </w:rPr>
        <w:t xml:space="preserve">a la Circular N°98, </w:t>
      </w:r>
      <w:r w:rsidR="00D22A1D" w:rsidRPr="000546B3">
        <w:rPr>
          <w:rFonts w:ascii="Arial" w:hAnsi="Arial" w:cs="Arial"/>
          <w:sz w:val="16"/>
          <w:szCs w:val="16"/>
        </w:rPr>
        <w:t>no se deroga la circular.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85207"/>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430510"/>
    <w:multiLevelType w:val="hybridMultilevel"/>
    <w:tmpl w:val="B7ACE59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40C92"/>
    <w:multiLevelType w:val="hybridMultilevel"/>
    <w:tmpl w:val="E5B4B16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6272400"/>
    <w:multiLevelType w:val="hybridMultilevel"/>
    <w:tmpl w:val="2E42E384"/>
    <w:lvl w:ilvl="0" w:tplc="5882C940">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71B4D34"/>
    <w:multiLevelType w:val="hybridMultilevel"/>
    <w:tmpl w:val="6C7A22B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0B09060B"/>
    <w:multiLevelType w:val="hybridMultilevel"/>
    <w:tmpl w:val="06487228"/>
    <w:lvl w:ilvl="0" w:tplc="CF28AC5C">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7A7428"/>
    <w:multiLevelType w:val="hybridMultilevel"/>
    <w:tmpl w:val="C4E2CE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D0767D6"/>
    <w:multiLevelType w:val="hybridMultilevel"/>
    <w:tmpl w:val="B2CE2B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EBE3268"/>
    <w:multiLevelType w:val="hybridMultilevel"/>
    <w:tmpl w:val="55D679D2"/>
    <w:lvl w:ilvl="0" w:tplc="45F651B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01A6FFC"/>
    <w:multiLevelType w:val="hybridMultilevel"/>
    <w:tmpl w:val="E690CE1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12B15333"/>
    <w:multiLevelType w:val="hybridMultilevel"/>
    <w:tmpl w:val="4B7655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6D362C4"/>
    <w:multiLevelType w:val="hybridMultilevel"/>
    <w:tmpl w:val="7DEAF88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18287164"/>
    <w:multiLevelType w:val="hybridMultilevel"/>
    <w:tmpl w:val="AE86E40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183431A3"/>
    <w:multiLevelType w:val="hybridMultilevel"/>
    <w:tmpl w:val="CBA29456"/>
    <w:lvl w:ilvl="0" w:tplc="340A000F">
      <w:start w:val="1"/>
      <w:numFmt w:val="decimal"/>
      <w:lvlText w:val="%1."/>
      <w:lvlJc w:val="left"/>
      <w:pPr>
        <w:ind w:left="1080" w:hanging="720"/>
      </w:pPr>
      <w:rPr>
        <w:rFonts w:hint="default"/>
        <w:b/>
        <w:i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DC6FCF"/>
    <w:multiLevelType w:val="hybridMultilevel"/>
    <w:tmpl w:val="14D81B22"/>
    <w:lvl w:ilvl="0" w:tplc="FFFFFFFF">
      <w:start w:val="1"/>
      <w:numFmt w:val="decimal"/>
      <w:lvlText w:val="%1."/>
      <w:lvlJc w:val="left"/>
      <w:pPr>
        <w:ind w:left="1080" w:hanging="720"/>
      </w:pPr>
      <w:rPr>
        <w:rFonts w:hint="default"/>
        <w:b/>
        <w:i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195B51"/>
    <w:multiLevelType w:val="hybridMultilevel"/>
    <w:tmpl w:val="1A06B81C"/>
    <w:lvl w:ilvl="0" w:tplc="3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7BA4F3D"/>
    <w:multiLevelType w:val="hybridMultilevel"/>
    <w:tmpl w:val="B2107ED4"/>
    <w:lvl w:ilvl="0" w:tplc="BBA8BE72">
      <w:start w:val="1"/>
      <w:numFmt w:val="decimal"/>
      <w:lvlText w:val="%1."/>
      <w:lvlJc w:val="left"/>
      <w:pPr>
        <w:ind w:left="4613" w:hanging="360"/>
      </w:pPr>
      <w:rPr>
        <w:rFonts w:hint="default"/>
      </w:rPr>
    </w:lvl>
    <w:lvl w:ilvl="1" w:tplc="340A0019" w:tentative="1">
      <w:start w:val="1"/>
      <w:numFmt w:val="lowerLetter"/>
      <w:lvlText w:val="%2."/>
      <w:lvlJc w:val="left"/>
      <w:pPr>
        <w:ind w:left="5333" w:hanging="360"/>
      </w:pPr>
    </w:lvl>
    <w:lvl w:ilvl="2" w:tplc="340A001B" w:tentative="1">
      <w:start w:val="1"/>
      <w:numFmt w:val="lowerRoman"/>
      <w:lvlText w:val="%3."/>
      <w:lvlJc w:val="right"/>
      <w:pPr>
        <w:ind w:left="6053" w:hanging="180"/>
      </w:pPr>
    </w:lvl>
    <w:lvl w:ilvl="3" w:tplc="340A000F" w:tentative="1">
      <w:start w:val="1"/>
      <w:numFmt w:val="decimal"/>
      <w:lvlText w:val="%4."/>
      <w:lvlJc w:val="left"/>
      <w:pPr>
        <w:ind w:left="6773" w:hanging="360"/>
      </w:pPr>
    </w:lvl>
    <w:lvl w:ilvl="4" w:tplc="340A0019" w:tentative="1">
      <w:start w:val="1"/>
      <w:numFmt w:val="lowerLetter"/>
      <w:lvlText w:val="%5."/>
      <w:lvlJc w:val="left"/>
      <w:pPr>
        <w:ind w:left="7493" w:hanging="360"/>
      </w:pPr>
    </w:lvl>
    <w:lvl w:ilvl="5" w:tplc="340A001B" w:tentative="1">
      <w:start w:val="1"/>
      <w:numFmt w:val="lowerRoman"/>
      <w:lvlText w:val="%6."/>
      <w:lvlJc w:val="right"/>
      <w:pPr>
        <w:ind w:left="8213" w:hanging="180"/>
      </w:pPr>
    </w:lvl>
    <w:lvl w:ilvl="6" w:tplc="340A000F" w:tentative="1">
      <w:start w:val="1"/>
      <w:numFmt w:val="decimal"/>
      <w:lvlText w:val="%7."/>
      <w:lvlJc w:val="left"/>
      <w:pPr>
        <w:ind w:left="8933" w:hanging="360"/>
      </w:pPr>
    </w:lvl>
    <w:lvl w:ilvl="7" w:tplc="340A0019" w:tentative="1">
      <w:start w:val="1"/>
      <w:numFmt w:val="lowerLetter"/>
      <w:lvlText w:val="%8."/>
      <w:lvlJc w:val="left"/>
      <w:pPr>
        <w:ind w:left="9653" w:hanging="360"/>
      </w:pPr>
    </w:lvl>
    <w:lvl w:ilvl="8" w:tplc="340A001B" w:tentative="1">
      <w:start w:val="1"/>
      <w:numFmt w:val="lowerRoman"/>
      <w:lvlText w:val="%9."/>
      <w:lvlJc w:val="right"/>
      <w:pPr>
        <w:ind w:left="10373" w:hanging="180"/>
      </w:pPr>
    </w:lvl>
  </w:abstractNum>
  <w:abstractNum w:abstractNumId="17" w15:restartNumberingAfterBreak="0">
    <w:nsid w:val="2C920C49"/>
    <w:multiLevelType w:val="hybridMultilevel"/>
    <w:tmpl w:val="35D471A0"/>
    <w:lvl w:ilvl="0" w:tplc="FFFFFFFF">
      <w:start w:val="1"/>
      <w:numFmt w:val="decimal"/>
      <w:lvlText w:val="%1."/>
      <w:lvlJc w:val="left"/>
      <w:pPr>
        <w:ind w:left="4613" w:hanging="360"/>
      </w:pPr>
      <w:rPr>
        <w:rFonts w:hint="default"/>
      </w:rPr>
    </w:lvl>
    <w:lvl w:ilvl="1" w:tplc="FFFFFFFF" w:tentative="1">
      <w:start w:val="1"/>
      <w:numFmt w:val="lowerLetter"/>
      <w:lvlText w:val="%2."/>
      <w:lvlJc w:val="left"/>
      <w:pPr>
        <w:ind w:left="5333" w:hanging="360"/>
      </w:pPr>
    </w:lvl>
    <w:lvl w:ilvl="2" w:tplc="FFFFFFFF" w:tentative="1">
      <w:start w:val="1"/>
      <w:numFmt w:val="lowerRoman"/>
      <w:lvlText w:val="%3."/>
      <w:lvlJc w:val="right"/>
      <w:pPr>
        <w:ind w:left="6053" w:hanging="180"/>
      </w:pPr>
    </w:lvl>
    <w:lvl w:ilvl="3" w:tplc="FFFFFFFF" w:tentative="1">
      <w:start w:val="1"/>
      <w:numFmt w:val="decimal"/>
      <w:lvlText w:val="%4."/>
      <w:lvlJc w:val="left"/>
      <w:pPr>
        <w:ind w:left="6773" w:hanging="360"/>
      </w:pPr>
    </w:lvl>
    <w:lvl w:ilvl="4" w:tplc="FFFFFFFF" w:tentative="1">
      <w:start w:val="1"/>
      <w:numFmt w:val="lowerLetter"/>
      <w:lvlText w:val="%5."/>
      <w:lvlJc w:val="left"/>
      <w:pPr>
        <w:ind w:left="7493" w:hanging="360"/>
      </w:pPr>
    </w:lvl>
    <w:lvl w:ilvl="5" w:tplc="FFFFFFFF" w:tentative="1">
      <w:start w:val="1"/>
      <w:numFmt w:val="lowerRoman"/>
      <w:lvlText w:val="%6."/>
      <w:lvlJc w:val="right"/>
      <w:pPr>
        <w:ind w:left="8213" w:hanging="180"/>
      </w:pPr>
    </w:lvl>
    <w:lvl w:ilvl="6" w:tplc="FFFFFFFF" w:tentative="1">
      <w:start w:val="1"/>
      <w:numFmt w:val="decimal"/>
      <w:lvlText w:val="%7."/>
      <w:lvlJc w:val="left"/>
      <w:pPr>
        <w:ind w:left="8933" w:hanging="360"/>
      </w:pPr>
    </w:lvl>
    <w:lvl w:ilvl="7" w:tplc="FFFFFFFF" w:tentative="1">
      <w:start w:val="1"/>
      <w:numFmt w:val="lowerLetter"/>
      <w:lvlText w:val="%8."/>
      <w:lvlJc w:val="left"/>
      <w:pPr>
        <w:ind w:left="9653" w:hanging="360"/>
      </w:pPr>
    </w:lvl>
    <w:lvl w:ilvl="8" w:tplc="FFFFFFFF" w:tentative="1">
      <w:start w:val="1"/>
      <w:numFmt w:val="lowerRoman"/>
      <w:lvlText w:val="%9."/>
      <w:lvlJc w:val="right"/>
      <w:pPr>
        <w:ind w:left="10373" w:hanging="180"/>
      </w:pPr>
    </w:lvl>
  </w:abstractNum>
  <w:abstractNum w:abstractNumId="18" w15:restartNumberingAfterBreak="0">
    <w:nsid w:val="2F436221"/>
    <w:multiLevelType w:val="hybridMultilevel"/>
    <w:tmpl w:val="2090B66A"/>
    <w:lvl w:ilvl="0" w:tplc="E3AA8ABE">
      <w:start w:val="1"/>
      <w:numFmt w:val="upperRoman"/>
      <w:lvlText w:val="%1."/>
      <w:lvlJc w:val="left"/>
      <w:pPr>
        <w:ind w:left="1080" w:hanging="720"/>
      </w:pPr>
      <w:rPr>
        <w:rFonts w:hint="default"/>
        <w:b/>
        <w:i w:val="0"/>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0A27334"/>
    <w:multiLevelType w:val="hybridMultilevel"/>
    <w:tmpl w:val="E358660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3BE5777F"/>
    <w:multiLevelType w:val="hybridMultilevel"/>
    <w:tmpl w:val="1076BC6A"/>
    <w:lvl w:ilvl="0" w:tplc="340A000D">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1" w15:restartNumberingAfterBreak="0">
    <w:nsid w:val="3CD1BD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175604A"/>
    <w:multiLevelType w:val="hybridMultilevel"/>
    <w:tmpl w:val="6FCC61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2807AC3"/>
    <w:multiLevelType w:val="hybridMultilevel"/>
    <w:tmpl w:val="B99C22DE"/>
    <w:lvl w:ilvl="0" w:tplc="FC804022">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4" w15:restartNumberingAfterBreak="0">
    <w:nsid w:val="43ED2E59"/>
    <w:multiLevelType w:val="hybridMultilevel"/>
    <w:tmpl w:val="9EFCAF52"/>
    <w:lvl w:ilvl="0" w:tplc="4680185C">
      <w:start w:val="4"/>
      <w:numFmt w:val="bullet"/>
      <w:lvlText w:val="-"/>
      <w:lvlJc w:val="left"/>
      <w:pPr>
        <w:ind w:left="1440" w:hanging="360"/>
      </w:pPr>
      <w:rPr>
        <w:rFonts w:ascii="Arial" w:eastAsiaTheme="minorHAnsi" w:hAnsi="Arial" w:cs="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5" w15:restartNumberingAfterBreak="0">
    <w:nsid w:val="4B001432"/>
    <w:multiLevelType w:val="hybridMultilevel"/>
    <w:tmpl w:val="0690420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4CDD6F0D"/>
    <w:multiLevelType w:val="hybridMultilevel"/>
    <w:tmpl w:val="12A0E5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316465E"/>
    <w:multiLevelType w:val="hybridMultilevel"/>
    <w:tmpl w:val="26B69A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8DC3159"/>
    <w:multiLevelType w:val="hybridMultilevel"/>
    <w:tmpl w:val="5336B14E"/>
    <w:lvl w:ilvl="0" w:tplc="B2B0BF1E">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932147B"/>
    <w:multiLevelType w:val="hybridMultilevel"/>
    <w:tmpl w:val="67FE0948"/>
    <w:lvl w:ilvl="0" w:tplc="B7D88BF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A873784"/>
    <w:multiLevelType w:val="hybridMultilevel"/>
    <w:tmpl w:val="21D657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0DA48DD"/>
    <w:multiLevelType w:val="hybridMultilevel"/>
    <w:tmpl w:val="E11C7326"/>
    <w:lvl w:ilvl="0" w:tplc="4680185C">
      <w:start w:val="4"/>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648B6B2B"/>
    <w:multiLevelType w:val="hybridMultilevel"/>
    <w:tmpl w:val="3B3021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8060B5F"/>
    <w:multiLevelType w:val="hybridMultilevel"/>
    <w:tmpl w:val="DDB4D5E0"/>
    <w:lvl w:ilvl="0" w:tplc="34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EA16824"/>
    <w:multiLevelType w:val="hybridMultilevel"/>
    <w:tmpl w:val="14D81B22"/>
    <w:lvl w:ilvl="0" w:tplc="FFFFFFFF">
      <w:start w:val="1"/>
      <w:numFmt w:val="decimal"/>
      <w:lvlText w:val="%1."/>
      <w:lvlJc w:val="left"/>
      <w:pPr>
        <w:ind w:left="1080" w:hanging="720"/>
      </w:pPr>
      <w:rPr>
        <w:rFonts w:hint="default"/>
        <w:b/>
        <w:i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D81560"/>
    <w:multiLevelType w:val="hybridMultilevel"/>
    <w:tmpl w:val="619275D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70454540"/>
    <w:multiLevelType w:val="hybridMultilevel"/>
    <w:tmpl w:val="12A0E5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14129DF"/>
    <w:multiLevelType w:val="hybridMultilevel"/>
    <w:tmpl w:val="09242240"/>
    <w:lvl w:ilvl="0" w:tplc="34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3CF2458"/>
    <w:multiLevelType w:val="hybridMultilevel"/>
    <w:tmpl w:val="F53C9994"/>
    <w:lvl w:ilvl="0" w:tplc="565A15DE">
      <w:start w:val="1"/>
      <w:numFmt w:val="decimal"/>
      <w:lvlText w:val="%1."/>
      <w:lvlJc w:val="left"/>
      <w:pPr>
        <w:ind w:left="360" w:hanging="360"/>
      </w:pPr>
      <w:rPr>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9" w15:restartNumberingAfterBreak="0">
    <w:nsid w:val="74A234AA"/>
    <w:multiLevelType w:val="hybridMultilevel"/>
    <w:tmpl w:val="CC02DF6E"/>
    <w:lvl w:ilvl="0" w:tplc="340A0001">
      <w:start w:val="1"/>
      <w:numFmt w:val="bullet"/>
      <w:lvlText w:val=""/>
      <w:lvlJc w:val="left"/>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0" w15:restartNumberingAfterBreak="0">
    <w:nsid w:val="75A34408"/>
    <w:multiLevelType w:val="hybridMultilevel"/>
    <w:tmpl w:val="3D8EEF0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1" w15:restartNumberingAfterBreak="0">
    <w:nsid w:val="77FB1837"/>
    <w:multiLevelType w:val="hybridMultilevel"/>
    <w:tmpl w:val="B99C22DE"/>
    <w:lvl w:ilvl="0" w:tplc="FC804022">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42" w15:restartNumberingAfterBreak="0">
    <w:nsid w:val="78C20E50"/>
    <w:multiLevelType w:val="hybridMultilevel"/>
    <w:tmpl w:val="9C5274D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3" w15:restartNumberingAfterBreak="0">
    <w:nsid w:val="78FF1BCD"/>
    <w:multiLevelType w:val="hybridMultilevel"/>
    <w:tmpl w:val="A182AA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907617E"/>
    <w:multiLevelType w:val="hybridMultilevel"/>
    <w:tmpl w:val="55D679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5047750">
    <w:abstractNumId w:val="20"/>
  </w:num>
  <w:num w:numId="2" w16cid:durableId="595404020">
    <w:abstractNumId w:val="4"/>
  </w:num>
  <w:num w:numId="3" w16cid:durableId="1169831969">
    <w:abstractNumId w:val="26"/>
  </w:num>
  <w:num w:numId="4" w16cid:durableId="113409849">
    <w:abstractNumId w:val="43"/>
  </w:num>
  <w:num w:numId="5" w16cid:durableId="875240274">
    <w:abstractNumId w:val="30"/>
  </w:num>
  <w:num w:numId="6" w16cid:durableId="1228952315">
    <w:abstractNumId w:val="36"/>
  </w:num>
  <w:num w:numId="7" w16cid:durableId="1510562958">
    <w:abstractNumId w:val="18"/>
  </w:num>
  <w:num w:numId="8" w16cid:durableId="2018847814">
    <w:abstractNumId w:val="16"/>
  </w:num>
  <w:num w:numId="9" w16cid:durableId="843324427">
    <w:abstractNumId w:val="12"/>
  </w:num>
  <w:num w:numId="10" w16cid:durableId="1570844522">
    <w:abstractNumId w:val="19"/>
  </w:num>
  <w:num w:numId="11" w16cid:durableId="878080704">
    <w:abstractNumId w:val="6"/>
  </w:num>
  <w:num w:numId="12" w16cid:durableId="978680701">
    <w:abstractNumId w:val="22"/>
  </w:num>
  <w:num w:numId="13" w16cid:durableId="1499077247">
    <w:abstractNumId w:val="31"/>
  </w:num>
  <w:num w:numId="14" w16cid:durableId="238517458">
    <w:abstractNumId w:val="24"/>
  </w:num>
  <w:num w:numId="15" w16cid:durableId="242880979">
    <w:abstractNumId w:val="41"/>
  </w:num>
  <w:num w:numId="16" w16cid:durableId="543256058">
    <w:abstractNumId w:val="23"/>
  </w:num>
  <w:num w:numId="17" w16cid:durableId="1854607205">
    <w:abstractNumId w:val="40"/>
  </w:num>
  <w:num w:numId="18" w16cid:durableId="1990551548">
    <w:abstractNumId w:val="9"/>
  </w:num>
  <w:num w:numId="19" w16cid:durableId="1894845199">
    <w:abstractNumId w:val="35"/>
  </w:num>
  <w:num w:numId="20" w16cid:durableId="134109936">
    <w:abstractNumId w:val="27"/>
  </w:num>
  <w:num w:numId="21" w16cid:durableId="1246962286">
    <w:abstractNumId w:val="39"/>
  </w:num>
  <w:num w:numId="22" w16cid:durableId="215361423">
    <w:abstractNumId w:val="7"/>
  </w:num>
  <w:num w:numId="23" w16cid:durableId="1335642846">
    <w:abstractNumId w:val="2"/>
  </w:num>
  <w:num w:numId="24" w16cid:durableId="1618678400">
    <w:abstractNumId w:val="37"/>
  </w:num>
  <w:num w:numId="25" w16cid:durableId="385222964">
    <w:abstractNumId w:val="25"/>
  </w:num>
  <w:num w:numId="26" w16cid:durableId="626937307">
    <w:abstractNumId w:val="33"/>
  </w:num>
  <w:num w:numId="27" w16cid:durableId="964852832">
    <w:abstractNumId w:val="15"/>
  </w:num>
  <w:num w:numId="28" w16cid:durableId="1229073607">
    <w:abstractNumId w:val="32"/>
  </w:num>
  <w:num w:numId="29" w16cid:durableId="1811244473">
    <w:abstractNumId w:val="42"/>
  </w:num>
  <w:num w:numId="30" w16cid:durableId="2134126598">
    <w:abstractNumId w:val="1"/>
  </w:num>
  <w:num w:numId="31" w16cid:durableId="23753459">
    <w:abstractNumId w:val="3"/>
  </w:num>
  <w:num w:numId="32" w16cid:durableId="1295794662">
    <w:abstractNumId w:val="11"/>
  </w:num>
  <w:num w:numId="33" w16cid:durableId="1999730102">
    <w:abstractNumId w:val="21"/>
  </w:num>
  <w:num w:numId="34" w16cid:durableId="1960842059">
    <w:abstractNumId w:val="28"/>
  </w:num>
  <w:num w:numId="35" w16cid:durableId="1711145975">
    <w:abstractNumId w:val="29"/>
  </w:num>
  <w:num w:numId="36" w16cid:durableId="330261173">
    <w:abstractNumId w:val="5"/>
  </w:num>
  <w:num w:numId="37" w16cid:durableId="234584677">
    <w:abstractNumId w:val="17"/>
  </w:num>
  <w:num w:numId="38" w16cid:durableId="1837844704">
    <w:abstractNumId w:val="13"/>
  </w:num>
  <w:num w:numId="39" w16cid:durableId="1088575496">
    <w:abstractNumId w:val="0"/>
  </w:num>
  <w:num w:numId="40" w16cid:durableId="875584771">
    <w:abstractNumId w:val="10"/>
  </w:num>
  <w:num w:numId="41" w16cid:durableId="463276930">
    <w:abstractNumId w:val="14"/>
  </w:num>
  <w:num w:numId="42" w16cid:durableId="1752967868">
    <w:abstractNumId w:val="34"/>
  </w:num>
  <w:num w:numId="43" w16cid:durableId="1163400796">
    <w:abstractNumId w:val="38"/>
  </w:num>
  <w:num w:numId="44" w16cid:durableId="103305211">
    <w:abstractNumId w:val="8"/>
  </w:num>
  <w:num w:numId="45" w16cid:durableId="177891003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30"/>
    <w:rsid w:val="00003958"/>
    <w:rsid w:val="0000447B"/>
    <w:rsid w:val="00010165"/>
    <w:rsid w:val="000105D9"/>
    <w:rsid w:val="00010B80"/>
    <w:rsid w:val="00017809"/>
    <w:rsid w:val="00021E7A"/>
    <w:rsid w:val="00023EBA"/>
    <w:rsid w:val="000250D1"/>
    <w:rsid w:val="000262A0"/>
    <w:rsid w:val="000274B7"/>
    <w:rsid w:val="0003061D"/>
    <w:rsid w:val="00032E26"/>
    <w:rsid w:val="000348F3"/>
    <w:rsid w:val="0003543C"/>
    <w:rsid w:val="000357C6"/>
    <w:rsid w:val="00036FAB"/>
    <w:rsid w:val="000373F9"/>
    <w:rsid w:val="000377A2"/>
    <w:rsid w:val="00041E74"/>
    <w:rsid w:val="00044C18"/>
    <w:rsid w:val="0004593F"/>
    <w:rsid w:val="00047E09"/>
    <w:rsid w:val="00050456"/>
    <w:rsid w:val="000546B3"/>
    <w:rsid w:val="00054ABC"/>
    <w:rsid w:val="00054C8A"/>
    <w:rsid w:val="000552A9"/>
    <w:rsid w:val="00055559"/>
    <w:rsid w:val="00055740"/>
    <w:rsid w:val="00056B74"/>
    <w:rsid w:val="00060792"/>
    <w:rsid w:val="00064A25"/>
    <w:rsid w:val="0006556B"/>
    <w:rsid w:val="00066DBA"/>
    <w:rsid w:val="000679ED"/>
    <w:rsid w:val="00077372"/>
    <w:rsid w:val="00080CD0"/>
    <w:rsid w:val="00082C85"/>
    <w:rsid w:val="00085318"/>
    <w:rsid w:val="00085FFF"/>
    <w:rsid w:val="00087745"/>
    <w:rsid w:val="00087B9F"/>
    <w:rsid w:val="000908E4"/>
    <w:rsid w:val="00091160"/>
    <w:rsid w:val="00091727"/>
    <w:rsid w:val="000932E0"/>
    <w:rsid w:val="000972A6"/>
    <w:rsid w:val="00097E77"/>
    <w:rsid w:val="000A5316"/>
    <w:rsid w:val="000A5790"/>
    <w:rsid w:val="000A5E92"/>
    <w:rsid w:val="000A5FBA"/>
    <w:rsid w:val="000A76A8"/>
    <w:rsid w:val="000B04A9"/>
    <w:rsid w:val="000B1403"/>
    <w:rsid w:val="000B4643"/>
    <w:rsid w:val="000B7E2B"/>
    <w:rsid w:val="000C11FA"/>
    <w:rsid w:val="000C1C42"/>
    <w:rsid w:val="000C3D4B"/>
    <w:rsid w:val="000C5A19"/>
    <w:rsid w:val="000C5E0E"/>
    <w:rsid w:val="000D0062"/>
    <w:rsid w:val="000D13B7"/>
    <w:rsid w:val="000D1C0B"/>
    <w:rsid w:val="000D2158"/>
    <w:rsid w:val="000D49FF"/>
    <w:rsid w:val="000D77E7"/>
    <w:rsid w:val="000D7CBF"/>
    <w:rsid w:val="000E168F"/>
    <w:rsid w:val="000E2BA7"/>
    <w:rsid w:val="000E495B"/>
    <w:rsid w:val="000E66FD"/>
    <w:rsid w:val="000F1B62"/>
    <w:rsid w:val="000F6AB1"/>
    <w:rsid w:val="00101C4D"/>
    <w:rsid w:val="00103A17"/>
    <w:rsid w:val="00104F8E"/>
    <w:rsid w:val="00111432"/>
    <w:rsid w:val="001125AE"/>
    <w:rsid w:val="001156B1"/>
    <w:rsid w:val="001213AB"/>
    <w:rsid w:val="001215A5"/>
    <w:rsid w:val="00122612"/>
    <w:rsid w:val="00123FEC"/>
    <w:rsid w:val="00124EBB"/>
    <w:rsid w:val="00130367"/>
    <w:rsid w:val="0013157E"/>
    <w:rsid w:val="001348C4"/>
    <w:rsid w:val="00134A2B"/>
    <w:rsid w:val="00141874"/>
    <w:rsid w:val="00141FD3"/>
    <w:rsid w:val="001431C9"/>
    <w:rsid w:val="001444A4"/>
    <w:rsid w:val="00152594"/>
    <w:rsid w:val="00154F4F"/>
    <w:rsid w:val="00155853"/>
    <w:rsid w:val="00156646"/>
    <w:rsid w:val="00157360"/>
    <w:rsid w:val="00157AD6"/>
    <w:rsid w:val="00161D7E"/>
    <w:rsid w:val="001634C0"/>
    <w:rsid w:val="00163539"/>
    <w:rsid w:val="001635C5"/>
    <w:rsid w:val="001657B0"/>
    <w:rsid w:val="0017059D"/>
    <w:rsid w:val="001721E1"/>
    <w:rsid w:val="001724F7"/>
    <w:rsid w:val="001748E4"/>
    <w:rsid w:val="00174E3D"/>
    <w:rsid w:val="00176ADF"/>
    <w:rsid w:val="00177CB5"/>
    <w:rsid w:val="00183211"/>
    <w:rsid w:val="001835CA"/>
    <w:rsid w:val="001842A5"/>
    <w:rsid w:val="00184828"/>
    <w:rsid w:val="00187C65"/>
    <w:rsid w:val="00190CC9"/>
    <w:rsid w:val="0019206C"/>
    <w:rsid w:val="001924E7"/>
    <w:rsid w:val="00193812"/>
    <w:rsid w:val="001939B5"/>
    <w:rsid w:val="00194052"/>
    <w:rsid w:val="00194B29"/>
    <w:rsid w:val="0019561E"/>
    <w:rsid w:val="00195820"/>
    <w:rsid w:val="0019687A"/>
    <w:rsid w:val="001973DE"/>
    <w:rsid w:val="001A019D"/>
    <w:rsid w:val="001A1BE6"/>
    <w:rsid w:val="001A1DD7"/>
    <w:rsid w:val="001A222C"/>
    <w:rsid w:val="001A315C"/>
    <w:rsid w:val="001A5789"/>
    <w:rsid w:val="001A5AB5"/>
    <w:rsid w:val="001B1217"/>
    <w:rsid w:val="001B1EF2"/>
    <w:rsid w:val="001B55AC"/>
    <w:rsid w:val="001B7C16"/>
    <w:rsid w:val="001C2367"/>
    <w:rsid w:val="001C7C35"/>
    <w:rsid w:val="001D00E2"/>
    <w:rsid w:val="001D2B68"/>
    <w:rsid w:val="001D3AB1"/>
    <w:rsid w:val="001D3D7E"/>
    <w:rsid w:val="001D4363"/>
    <w:rsid w:val="001E0B11"/>
    <w:rsid w:val="001E14E3"/>
    <w:rsid w:val="001E2F11"/>
    <w:rsid w:val="001E4EBB"/>
    <w:rsid w:val="001E4FE6"/>
    <w:rsid w:val="001E504C"/>
    <w:rsid w:val="001E615D"/>
    <w:rsid w:val="001F1BE3"/>
    <w:rsid w:val="001F2B46"/>
    <w:rsid w:val="001F416A"/>
    <w:rsid w:val="001F5DD0"/>
    <w:rsid w:val="001F615A"/>
    <w:rsid w:val="002016A7"/>
    <w:rsid w:val="00202005"/>
    <w:rsid w:val="0020200B"/>
    <w:rsid w:val="0020667D"/>
    <w:rsid w:val="00207F0D"/>
    <w:rsid w:val="00211335"/>
    <w:rsid w:val="00212432"/>
    <w:rsid w:val="00212EC3"/>
    <w:rsid w:val="00214B12"/>
    <w:rsid w:val="00215613"/>
    <w:rsid w:val="00217682"/>
    <w:rsid w:val="00217A67"/>
    <w:rsid w:val="00217C4B"/>
    <w:rsid w:val="002200E6"/>
    <w:rsid w:val="00220274"/>
    <w:rsid w:val="00222368"/>
    <w:rsid w:val="00223AF9"/>
    <w:rsid w:val="002247C7"/>
    <w:rsid w:val="00225BC3"/>
    <w:rsid w:val="00226143"/>
    <w:rsid w:val="002261C9"/>
    <w:rsid w:val="00232F8E"/>
    <w:rsid w:val="0023420E"/>
    <w:rsid w:val="00234BB9"/>
    <w:rsid w:val="00235785"/>
    <w:rsid w:val="002372BF"/>
    <w:rsid w:val="0023740E"/>
    <w:rsid w:val="002376F0"/>
    <w:rsid w:val="002377E5"/>
    <w:rsid w:val="00237EDF"/>
    <w:rsid w:val="00241603"/>
    <w:rsid w:val="00241D43"/>
    <w:rsid w:val="00241F31"/>
    <w:rsid w:val="00241F8E"/>
    <w:rsid w:val="002436D5"/>
    <w:rsid w:val="002454E8"/>
    <w:rsid w:val="00253DE0"/>
    <w:rsid w:val="002554F1"/>
    <w:rsid w:val="002556C2"/>
    <w:rsid w:val="0025583D"/>
    <w:rsid w:val="00255A21"/>
    <w:rsid w:val="00255BF5"/>
    <w:rsid w:val="00260810"/>
    <w:rsid w:val="00260E2B"/>
    <w:rsid w:val="002617CA"/>
    <w:rsid w:val="0026208F"/>
    <w:rsid w:val="002627E0"/>
    <w:rsid w:val="00262BCA"/>
    <w:rsid w:val="002637BC"/>
    <w:rsid w:val="002643A1"/>
    <w:rsid w:val="00264E83"/>
    <w:rsid w:val="002651B5"/>
    <w:rsid w:val="00265647"/>
    <w:rsid w:val="00266A60"/>
    <w:rsid w:val="0027015A"/>
    <w:rsid w:val="0027305C"/>
    <w:rsid w:val="002737E7"/>
    <w:rsid w:val="0027506A"/>
    <w:rsid w:val="00276143"/>
    <w:rsid w:val="00281A8A"/>
    <w:rsid w:val="0028335E"/>
    <w:rsid w:val="002835F3"/>
    <w:rsid w:val="0028413D"/>
    <w:rsid w:val="0028455C"/>
    <w:rsid w:val="0029030B"/>
    <w:rsid w:val="0029054E"/>
    <w:rsid w:val="002905EA"/>
    <w:rsid w:val="002930AF"/>
    <w:rsid w:val="00293FC9"/>
    <w:rsid w:val="00295D81"/>
    <w:rsid w:val="002962F3"/>
    <w:rsid w:val="002969FC"/>
    <w:rsid w:val="00297926"/>
    <w:rsid w:val="002A2A1F"/>
    <w:rsid w:val="002A441C"/>
    <w:rsid w:val="002A5F5B"/>
    <w:rsid w:val="002B2965"/>
    <w:rsid w:val="002B39C9"/>
    <w:rsid w:val="002B4922"/>
    <w:rsid w:val="002B6CA3"/>
    <w:rsid w:val="002C1759"/>
    <w:rsid w:val="002C1F81"/>
    <w:rsid w:val="002C26DA"/>
    <w:rsid w:val="002C471B"/>
    <w:rsid w:val="002C72F1"/>
    <w:rsid w:val="002D2B57"/>
    <w:rsid w:val="002D3BB1"/>
    <w:rsid w:val="002D5B2E"/>
    <w:rsid w:val="002D74F7"/>
    <w:rsid w:val="002D7F91"/>
    <w:rsid w:val="002E21D5"/>
    <w:rsid w:val="002E52D6"/>
    <w:rsid w:val="002E55DB"/>
    <w:rsid w:val="002E6A33"/>
    <w:rsid w:val="002F1D36"/>
    <w:rsid w:val="002F1E8A"/>
    <w:rsid w:val="002F52C2"/>
    <w:rsid w:val="002F5F32"/>
    <w:rsid w:val="002F64C7"/>
    <w:rsid w:val="002F6D5F"/>
    <w:rsid w:val="00300A99"/>
    <w:rsid w:val="00302F32"/>
    <w:rsid w:val="00313187"/>
    <w:rsid w:val="003132D8"/>
    <w:rsid w:val="003147B8"/>
    <w:rsid w:val="00314C3F"/>
    <w:rsid w:val="00316472"/>
    <w:rsid w:val="00316563"/>
    <w:rsid w:val="003168C2"/>
    <w:rsid w:val="00322185"/>
    <w:rsid w:val="003222AB"/>
    <w:rsid w:val="00323533"/>
    <w:rsid w:val="0032515D"/>
    <w:rsid w:val="0032614F"/>
    <w:rsid w:val="003333EC"/>
    <w:rsid w:val="00334760"/>
    <w:rsid w:val="00336923"/>
    <w:rsid w:val="003370DC"/>
    <w:rsid w:val="00340B44"/>
    <w:rsid w:val="00343204"/>
    <w:rsid w:val="00343C68"/>
    <w:rsid w:val="00344527"/>
    <w:rsid w:val="00344700"/>
    <w:rsid w:val="0034543F"/>
    <w:rsid w:val="003457E0"/>
    <w:rsid w:val="00346E5F"/>
    <w:rsid w:val="003503D3"/>
    <w:rsid w:val="00353266"/>
    <w:rsid w:val="00355B0B"/>
    <w:rsid w:val="003574A3"/>
    <w:rsid w:val="003576D0"/>
    <w:rsid w:val="00357BF3"/>
    <w:rsid w:val="00357CAD"/>
    <w:rsid w:val="00360057"/>
    <w:rsid w:val="00360507"/>
    <w:rsid w:val="003620E5"/>
    <w:rsid w:val="00362F84"/>
    <w:rsid w:val="0036580C"/>
    <w:rsid w:val="00365AD2"/>
    <w:rsid w:val="00365C59"/>
    <w:rsid w:val="00367317"/>
    <w:rsid w:val="00370CE1"/>
    <w:rsid w:val="003711BA"/>
    <w:rsid w:val="0037193E"/>
    <w:rsid w:val="00372DB2"/>
    <w:rsid w:val="003776D7"/>
    <w:rsid w:val="003806E5"/>
    <w:rsid w:val="00380CEA"/>
    <w:rsid w:val="0038171F"/>
    <w:rsid w:val="003840D8"/>
    <w:rsid w:val="00384148"/>
    <w:rsid w:val="00385805"/>
    <w:rsid w:val="00386B07"/>
    <w:rsid w:val="003877CB"/>
    <w:rsid w:val="00390547"/>
    <w:rsid w:val="00390BA0"/>
    <w:rsid w:val="003954E6"/>
    <w:rsid w:val="0039599D"/>
    <w:rsid w:val="003A1B33"/>
    <w:rsid w:val="003A1DB7"/>
    <w:rsid w:val="003A385E"/>
    <w:rsid w:val="003A4776"/>
    <w:rsid w:val="003A5A55"/>
    <w:rsid w:val="003B1701"/>
    <w:rsid w:val="003B52C8"/>
    <w:rsid w:val="003B5F06"/>
    <w:rsid w:val="003C027D"/>
    <w:rsid w:val="003C0BB8"/>
    <w:rsid w:val="003C48DC"/>
    <w:rsid w:val="003C4ED4"/>
    <w:rsid w:val="003C5916"/>
    <w:rsid w:val="003C761A"/>
    <w:rsid w:val="003C7A6A"/>
    <w:rsid w:val="003D08CC"/>
    <w:rsid w:val="003D093C"/>
    <w:rsid w:val="003D0BF4"/>
    <w:rsid w:val="003D159C"/>
    <w:rsid w:val="003D1FDE"/>
    <w:rsid w:val="003D2C70"/>
    <w:rsid w:val="003D4FF3"/>
    <w:rsid w:val="003D6376"/>
    <w:rsid w:val="003D7623"/>
    <w:rsid w:val="003E05BB"/>
    <w:rsid w:val="003E21CD"/>
    <w:rsid w:val="003E2425"/>
    <w:rsid w:val="003E3305"/>
    <w:rsid w:val="003E406B"/>
    <w:rsid w:val="003E4B21"/>
    <w:rsid w:val="003F003E"/>
    <w:rsid w:val="003F0AC8"/>
    <w:rsid w:val="003F1127"/>
    <w:rsid w:val="003F32FB"/>
    <w:rsid w:val="003F56A1"/>
    <w:rsid w:val="003F5BE9"/>
    <w:rsid w:val="003F733D"/>
    <w:rsid w:val="00401613"/>
    <w:rsid w:val="0040197D"/>
    <w:rsid w:val="00405698"/>
    <w:rsid w:val="00410775"/>
    <w:rsid w:val="00411709"/>
    <w:rsid w:val="00411C77"/>
    <w:rsid w:val="00414D29"/>
    <w:rsid w:val="00415485"/>
    <w:rsid w:val="00415FC4"/>
    <w:rsid w:val="00416636"/>
    <w:rsid w:val="00416F00"/>
    <w:rsid w:val="00417FC1"/>
    <w:rsid w:val="00422531"/>
    <w:rsid w:val="00424B56"/>
    <w:rsid w:val="00425576"/>
    <w:rsid w:val="004269E8"/>
    <w:rsid w:val="00426C4A"/>
    <w:rsid w:val="00431826"/>
    <w:rsid w:val="004335FD"/>
    <w:rsid w:val="00435AE4"/>
    <w:rsid w:val="00436E0C"/>
    <w:rsid w:val="00443736"/>
    <w:rsid w:val="00446367"/>
    <w:rsid w:val="00451324"/>
    <w:rsid w:val="00453270"/>
    <w:rsid w:val="00453446"/>
    <w:rsid w:val="00455ABC"/>
    <w:rsid w:val="00457BA7"/>
    <w:rsid w:val="00462097"/>
    <w:rsid w:val="004626D7"/>
    <w:rsid w:val="00462A10"/>
    <w:rsid w:val="00463523"/>
    <w:rsid w:val="00465029"/>
    <w:rsid w:val="00465713"/>
    <w:rsid w:val="00466DD5"/>
    <w:rsid w:val="00470414"/>
    <w:rsid w:val="00470C7B"/>
    <w:rsid w:val="00472074"/>
    <w:rsid w:val="00472BEB"/>
    <w:rsid w:val="00475765"/>
    <w:rsid w:val="00475F0D"/>
    <w:rsid w:val="00481F49"/>
    <w:rsid w:val="004824D0"/>
    <w:rsid w:val="004826A0"/>
    <w:rsid w:val="00483E1C"/>
    <w:rsid w:val="004868D1"/>
    <w:rsid w:val="004875B7"/>
    <w:rsid w:val="00487756"/>
    <w:rsid w:val="00487799"/>
    <w:rsid w:val="004916F7"/>
    <w:rsid w:val="004943DE"/>
    <w:rsid w:val="00496022"/>
    <w:rsid w:val="004961AE"/>
    <w:rsid w:val="00497046"/>
    <w:rsid w:val="004A0059"/>
    <w:rsid w:val="004B25E4"/>
    <w:rsid w:val="004B4550"/>
    <w:rsid w:val="004B57ED"/>
    <w:rsid w:val="004C123A"/>
    <w:rsid w:val="004C2559"/>
    <w:rsid w:val="004C3832"/>
    <w:rsid w:val="004D2CCA"/>
    <w:rsid w:val="004D35C8"/>
    <w:rsid w:val="004D5784"/>
    <w:rsid w:val="004E2F55"/>
    <w:rsid w:val="004E3992"/>
    <w:rsid w:val="004E3C20"/>
    <w:rsid w:val="004E52B6"/>
    <w:rsid w:val="004E7DD8"/>
    <w:rsid w:val="004F055B"/>
    <w:rsid w:val="004F13C3"/>
    <w:rsid w:val="004F5F38"/>
    <w:rsid w:val="004F78A2"/>
    <w:rsid w:val="00507ABF"/>
    <w:rsid w:val="00507C75"/>
    <w:rsid w:val="005100BD"/>
    <w:rsid w:val="00510B73"/>
    <w:rsid w:val="005112A8"/>
    <w:rsid w:val="005117E6"/>
    <w:rsid w:val="005129E5"/>
    <w:rsid w:val="005131E3"/>
    <w:rsid w:val="0051382E"/>
    <w:rsid w:val="00514F80"/>
    <w:rsid w:val="00515735"/>
    <w:rsid w:val="005177D5"/>
    <w:rsid w:val="00517E5D"/>
    <w:rsid w:val="005204AB"/>
    <w:rsid w:val="0052087E"/>
    <w:rsid w:val="00525200"/>
    <w:rsid w:val="00525A43"/>
    <w:rsid w:val="00526343"/>
    <w:rsid w:val="0052686D"/>
    <w:rsid w:val="00536A1F"/>
    <w:rsid w:val="00536A3C"/>
    <w:rsid w:val="00540439"/>
    <w:rsid w:val="0054125C"/>
    <w:rsid w:val="00542812"/>
    <w:rsid w:val="00543E5F"/>
    <w:rsid w:val="00544298"/>
    <w:rsid w:val="00547A30"/>
    <w:rsid w:val="00552410"/>
    <w:rsid w:val="00553AE0"/>
    <w:rsid w:val="005545D9"/>
    <w:rsid w:val="00554717"/>
    <w:rsid w:val="005619C1"/>
    <w:rsid w:val="00563D68"/>
    <w:rsid w:val="00564154"/>
    <w:rsid w:val="005642FD"/>
    <w:rsid w:val="005643D7"/>
    <w:rsid w:val="005650EC"/>
    <w:rsid w:val="00565B22"/>
    <w:rsid w:val="00570156"/>
    <w:rsid w:val="00570252"/>
    <w:rsid w:val="00570A65"/>
    <w:rsid w:val="0057242B"/>
    <w:rsid w:val="00572777"/>
    <w:rsid w:val="00574492"/>
    <w:rsid w:val="005763F7"/>
    <w:rsid w:val="00577511"/>
    <w:rsid w:val="00577892"/>
    <w:rsid w:val="005806BA"/>
    <w:rsid w:val="00584B8C"/>
    <w:rsid w:val="0058616F"/>
    <w:rsid w:val="00586E0F"/>
    <w:rsid w:val="00587455"/>
    <w:rsid w:val="0058750E"/>
    <w:rsid w:val="00590463"/>
    <w:rsid w:val="005957A9"/>
    <w:rsid w:val="005A0BC1"/>
    <w:rsid w:val="005A6DD1"/>
    <w:rsid w:val="005A7E37"/>
    <w:rsid w:val="005B3593"/>
    <w:rsid w:val="005B4B6F"/>
    <w:rsid w:val="005B6137"/>
    <w:rsid w:val="005C1836"/>
    <w:rsid w:val="005C46CB"/>
    <w:rsid w:val="005C52A5"/>
    <w:rsid w:val="005D04F9"/>
    <w:rsid w:val="005D2D45"/>
    <w:rsid w:val="005D5633"/>
    <w:rsid w:val="005D5BC9"/>
    <w:rsid w:val="005D7D8A"/>
    <w:rsid w:val="005E07A7"/>
    <w:rsid w:val="005E34FB"/>
    <w:rsid w:val="005E4CCA"/>
    <w:rsid w:val="005E6276"/>
    <w:rsid w:val="005F01F4"/>
    <w:rsid w:val="005F045B"/>
    <w:rsid w:val="005F0E19"/>
    <w:rsid w:val="005F1C3F"/>
    <w:rsid w:val="005F1C89"/>
    <w:rsid w:val="005F30D0"/>
    <w:rsid w:val="005F311E"/>
    <w:rsid w:val="00600C90"/>
    <w:rsid w:val="00601B5B"/>
    <w:rsid w:val="00604C68"/>
    <w:rsid w:val="006071A5"/>
    <w:rsid w:val="00607E6E"/>
    <w:rsid w:val="00611363"/>
    <w:rsid w:val="006117F3"/>
    <w:rsid w:val="00612C5B"/>
    <w:rsid w:val="0061429D"/>
    <w:rsid w:val="0061533B"/>
    <w:rsid w:val="00616D65"/>
    <w:rsid w:val="006171E5"/>
    <w:rsid w:val="00621705"/>
    <w:rsid w:val="006268E9"/>
    <w:rsid w:val="00626A8B"/>
    <w:rsid w:val="006304D3"/>
    <w:rsid w:val="00630B96"/>
    <w:rsid w:val="00632A05"/>
    <w:rsid w:val="006357FD"/>
    <w:rsid w:val="00637E3A"/>
    <w:rsid w:val="00640E30"/>
    <w:rsid w:val="00641614"/>
    <w:rsid w:val="00641724"/>
    <w:rsid w:val="00641C99"/>
    <w:rsid w:val="00644A29"/>
    <w:rsid w:val="006455BF"/>
    <w:rsid w:val="00645DA7"/>
    <w:rsid w:val="00650C8F"/>
    <w:rsid w:val="00651920"/>
    <w:rsid w:val="006519C7"/>
    <w:rsid w:val="00656911"/>
    <w:rsid w:val="00660131"/>
    <w:rsid w:val="00662E90"/>
    <w:rsid w:val="00663619"/>
    <w:rsid w:val="006636DD"/>
    <w:rsid w:val="00665574"/>
    <w:rsid w:val="00667C93"/>
    <w:rsid w:val="00670805"/>
    <w:rsid w:val="006734ED"/>
    <w:rsid w:val="0068081B"/>
    <w:rsid w:val="00681107"/>
    <w:rsid w:val="00684597"/>
    <w:rsid w:val="00684714"/>
    <w:rsid w:val="00685651"/>
    <w:rsid w:val="0068576E"/>
    <w:rsid w:val="00685828"/>
    <w:rsid w:val="00686601"/>
    <w:rsid w:val="00690263"/>
    <w:rsid w:val="00690A94"/>
    <w:rsid w:val="00690B30"/>
    <w:rsid w:val="006911F1"/>
    <w:rsid w:val="0069158D"/>
    <w:rsid w:val="00691D78"/>
    <w:rsid w:val="00692640"/>
    <w:rsid w:val="006932D3"/>
    <w:rsid w:val="00694B42"/>
    <w:rsid w:val="00695F7B"/>
    <w:rsid w:val="00697832"/>
    <w:rsid w:val="006A2591"/>
    <w:rsid w:val="006A4C27"/>
    <w:rsid w:val="006A5A5B"/>
    <w:rsid w:val="006A5B51"/>
    <w:rsid w:val="006A7CBA"/>
    <w:rsid w:val="006A7F0A"/>
    <w:rsid w:val="006B1EC6"/>
    <w:rsid w:val="006B2902"/>
    <w:rsid w:val="006B5338"/>
    <w:rsid w:val="006B5979"/>
    <w:rsid w:val="006B6833"/>
    <w:rsid w:val="006B7547"/>
    <w:rsid w:val="006C034E"/>
    <w:rsid w:val="006C31A8"/>
    <w:rsid w:val="006C49E7"/>
    <w:rsid w:val="006C624A"/>
    <w:rsid w:val="006D303A"/>
    <w:rsid w:val="006D3785"/>
    <w:rsid w:val="006D3D32"/>
    <w:rsid w:val="006D6A1A"/>
    <w:rsid w:val="006E0145"/>
    <w:rsid w:val="006E134A"/>
    <w:rsid w:val="006E394C"/>
    <w:rsid w:val="006E7AB6"/>
    <w:rsid w:val="006F2071"/>
    <w:rsid w:val="006F287F"/>
    <w:rsid w:val="006F3799"/>
    <w:rsid w:val="006F4F86"/>
    <w:rsid w:val="006F5364"/>
    <w:rsid w:val="006F6488"/>
    <w:rsid w:val="00700629"/>
    <w:rsid w:val="00702633"/>
    <w:rsid w:val="00704264"/>
    <w:rsid w:val="00704A82"/>
    <w:rsid w:val="00704E65"/>
    <w:rsid w:val="00706F17"/>
    <w:rsid w:val="007074A0"/>
    <w:rsid w:val="00710EC9"/>
    <w:rsid w:val="00711363"/>
    <w:rsid w:val="00713553"/>
    <w:rsid w:val="007139D4"/>
    <w:rsid w:val="007157E9"/>
    <w:rsid w:val="00715B53"/>
    <w:rsid w:val="00722AE2"/>
    <w:rsid w:val="007236CD"/>
    <w:rsid w:val="00724EF6"/>
    <w:rsid w:val="007262B0"/>
    <w:rsid w:val="00727035"/>
    <w:rsid w:val="00727E0A"/>
    <w:rsid w:val="00731D4C"/>
    <w:rsid w:val="007320EB"/>
    <w:rsid w:val="00735877"/>
    <w:rsid w:val="00740696"/>
    <w:rsid w:val="00742002"/>
    <w:rsid w:val="007422D7"/>
    <w:rsid w:val="00744EBF"/>
    <w:rsid w:val="007509D6"/>
    <w:rsid w:val="007509F5"/>
    <w:rsid w:val="007517FD"/>
    <w:rsid w:val="0075482D"/>
    <w:rsid w:val="00754A00"/>
    <w:rsid w:val="00756D0A"/>
    <w:rsid w:val="007602F4"/>
    <w:rsid w:val="00760649"/>
    <w:rsid w:val="00761280"/>
    <w:rsid w:val="007623FB"/>
    <w:rsid w:val="00767C2F"/>
    <w:rsid w:val="007704CF"/>
    <w:rsid w:val="00774CEC"/>
    <w:rsid w:val="00776797"/>
    <w:rsid w:val="0077694A"/>
    <w:rsid w:val="00780A55"/>
    <w:rsid w:val="00781497"/>
    <w:rsid w:val="00785630"/>
    <w:rsid w:val="00785F16"/>
    <w:rsid w:val="00795652"/>
    <w:rsid w:val="007962D8"/>
    <w:rsid w:val="00797E2B"/>
    <w:rsid w:val="00797F04"/>
    <w:rsid w:val="007A2C5D"/>
    <w:rsid w:val="007A38BF"/>
    <w:rsid w:val="007A5896"/>
    <w:rsid w:val="007A5CBF"/>
    <w:rsid w:val="007A6A69"/>
    <w:rsid w:val="007A7FBF"/>
    <w:rsid w:val="007B1EF5"/>
    <w:rsid w:val="007B277A"/>
    <w:rsid w:val="007B50C5"/>
    <w:rsid w:val="007B5F63"/>
    <w:rsid w:val="007B6406"/>
    <w:rsid w:val="007C0991"/>
    <w:rsid w:val="007C0C36"/>
    <w:rsid w:val="007C3CB0"/>
    <w:rsid w:val="007C4719"/>
    <w:rsid w:val="007D2F8C"/>
    <w:rsid w:val="007D3267"/>
    <w:rsid w:val="007D4405"/>
    <w:rsid w:val="007D464D"/>
    <w:rsid w:val="007D593E"/>
    <w:rsid w:val="007D6773"/>
    <w:rsid w:val="007E0041"/>
    <w:rsid w:val="007E33DB"/>
    <w:rsid w:val="007E3981"/>
    <w:rsid w:val="007E509A"/>
    <w:rsid w:val="007E690E"/>
    <w:rsid w:val="007E71C2"/>
    <w:rsid w:val="007F14CC"/>
    <w:rsid w:val="007F33DE"/>
    <w:rsid w:val="007F3D60"/>
    <w:rsid w:val="007F3D93"/>
    <w:rsid w:val="007F4532"/>
    <w:rsid w:val="007F459C"/>
    <w:rsid w:val="007F5722"/>
    <w:rsid w:val="007F59B7"/>
    <w:rsid w:val="007F63BC"/>
    <w:rsid w:val="007F6713"/>
    <w:rsid w:val="007F7347"/>
    <w:rsid w:val="007F76B5"/>
    <w:rsid w:val="007F78A3"/>
    <w:rsid w:val="007F7DDA"/>
    <w:rsid w:val="00801F10"/>
    <w:rsid w:val="008037AD"/>
    <w:rsid w:val="00805BF5"/>
    <w:rsid w:val="00807958"/>
    <w:rsid w:val="00810997"/>
    <w:rsid w:val="00812A7C"/>
    <w:rsid w:val="00814C85"/>
    <w:rsid w:val="00815E4F"/>
    <w:rsid w:val="008166C7"/>
    <w:rsid w:val="0082181F"/>
    <w:rsid w:val="00821B63"/>
    <w:rsid w:val="00824ABD"/>
    <w:rsid w:val="0082671E"/>
    <w:rsid w:val="00826E94"/>
    <w:rsid w:val="008276D8"/>
    <w:rsid w:val="00827E5F"/>
    <w:rsid w:val="008325E9"/>
    <w:rsid w:val="00832781"/>
    <w:rsid w:val="00835277"/>
    <w:rsid w:val="00835E0E"/>
    <w:rsid w:val="00836A14"/>
    <w:rsid w:val="00837D02"/>
    <w:rsid w:val="00840F35"/>
    <w:rsid w:val="00842B8E"/>
    <w:rsid w:val="008441DA"/>
    <w:rsid w:val="008451CD"/>
    <w:rsid w:val="008453DD"/>
    <w:rsid w:val="00845A43"/>
    <w:rsid w:val="00846932"/>
    <w:rsid w:val="00847712"/>
    <w:rsid w:val="0085026B"/>
    <w:rsid w:val="00851244"/>
    <w:rsid w:val="00851B83"/>
    <w:rsid w:val="00851D38"/>
    <w:rsid w:val="008543D8"/>
    <w:rsid w:val="00856BC0"/>
    <w:rsid w:val="0085713B"/>
    <w:rsid w:val="00863219"/>
    <w:rsid w:val="008638CA"/>
    <w:rsid w:val="00871891"/>
    <w:rsid w:val="00873FFD"/>
    <w:rsid w:val="0087632E"/>
    <w:rsid w:val="00880320"/>
    <w:rsid w:val="008806D8"/>
    <w:rsid w:val="008849D7"/>
    <w:rsid w:val="00884B32"/>
    <w:rsid w:val="008875BE"/>
    <w:rsid w:val="00887755"/>
    <w:rsid w:val="00890F2D"/>
    <w:rsid w:val="008910D6"/>
    <w:rsid w:val="008964E1"/>
    <w:rsid w:val="008A28BB"/>
    <w:rsid w:val="008A384C"/>
    <w:rsid w:val="008A395B"/>
    <w:rsid w:val="008A3B62"/>
    <w:rsid w:val="008A5300"/>
    <w:rsid w:val="008A6A59"/>
    <w:rsid w:val="008A7437"/>
    <w:rsid w:val="008A7DCD"/>
    <w:rsid w:val="008B189C"/>
    <w:rsid w:val="008B1EC9"/>
    <w:rsid w:val="008B7AE5"/>
    <w:rsid w:val="008C1B97"/>
    <w:rsid w:val="008C2389"/>
    <w:rsid w:val="008C31B7"/>
    <w:rsid w:val="008C3ECE"/>
    <w:rsid w:val="008C5D0D"/>
    <w:rsid w:val="008C5DB7"/>
    <w:rsid w:val="008C7D8F"/>
    <w:rsid w:val="008C7FFB"/>
    <w:rsid w:val="008D08D2"/>
    <w:rsid w:val="008D0D72"/>
    <w:rsid w:val="008D1613"/>
    <w:rsid w:val="008D62DC"/>
    <w:rsid w:val="008D6756"/>
    <w:rsid w:val="008D6AA5"/>
    <w:rsid w:val="008E141F"/>
    <w:rsid w:val="008E2101"/>
    <w:rsid w:val="008E3825"/>
    <w:rsid w:val="008E39D1"/>
    <w:rsid w:val="008E3A9F"/>
    <w:rsid w:val="008E43EB"/>
    <w:rsid w:val="008E4444"/>
    <w:rsid w:val="008E601F"/>
    <w:rsid w:val="008E6DD4"/>
    <w:rsid w:val="008E7605"/>
    <w:rsid w:val="008E7617"/>
    <w:rsid w:val="008F1F02"/>
    <w:rsid w:val="008F1FD4"/>
    <w:rsid w:val="008F20E9"/>
    <w:rsid w:val="008F4583"/>
    <w:rsid w:val="008F6661"/>
    <w:rsid w:val="008F7E87"/>
    <w:rsid w:val="00900A3E"/>
    <w:rsid w:val="0090146F"/>
    <w:rsid w:val="009029D3"/>
    <w:rsid w:val="009044D2"/>
    <w:rsid w:val="00905682"/>
    <w:rsid w:val="00907748"/>
    <w:rsid w:val="009078B0"/>
    <w:rsid w:val="009104AA"/>
    <w:rsid w:val="0091314E"/>
    <w:rsid w:val="0091332A"/>
    <w:rsid w:val="00914C76"/>
    <w:rsid w:val="00915FD2"/>
    <w:rsid w:val="00920304"/>
    <w:rsid w:val="00920DD4"/>
    <w:rsid w:val="00921DE5"/>
    <w:rsid w:val="00925722"/>
    <w:rsid w:val="00926124"/>
    <w:rsid w:val="009270DB"/>
    <w:rsid w:val="0093130F"/>
    <w:rsid w:val="00933500"/>
    <w:rsid w:val="009349BD"/>
    <w:rsid w:val="00936F6F"/>
    <w:rsid w:val="00940BD2"/>
    <w:rsid w:val="0094234A"/>
    <w:rsid w:val="0094404F"/>
    <w:rsid w:val="00946275"/>
    <w:rsid w:val="00946C9E"/>
    <w:rsid w:val="009475AB"/>
    <w:rsid w:val="009510DD"/>
    <w:rsid w:val="0095158D"/>
    <w:rsid w:val="009525CE"/>
    <w:rsid w:val="00952813"/>
    <w:rsid w:val="00952F6D"/>
    <w:rsid w:val="00954620"/>
    <w:rsid w:val="0095728F"/>
    <w:rsid w:val="00957CBD"/>
    <w:rsid w:val="00960AAA"/>
    <w:rsid w:val="009643D7"/>
    <w:rsid w:val="00964A60"/>
    <w:rsid w:val="009666B4"/>
    <w:rsid w:val="00972B6F"/>
    <w:rsid w:val="0097371A"/>
    <w:rsid w:val="009739AD"/>
    <w:rsid w:val="00976F27"/>
    <w:rsid w:val="00977A7A"/>
    <w:rsid w:val="00980888"/>
    <w:rsid w:val="0098338F"/>
    <w:rsid w:val="00983689"/>
    <w:rsid w:val="00985519"/>
    <w:rsid w:val="0099005C"/>
    <w:rsid w:val="00990082"/>
    <w:rsid w:val="009906AB"/>
    <w:rsid w:val="00993AC0"/>
    <w:rsid w:val="00995180"/>
    <w:rsid w:val="00997687"/>
    <w:rsid w:val="00997DAA"/>
    <w:rsid w:val="009A24A9"/>
    <w:rsid w:val="009A6CB0"/>
    <w:rsid w:val="009A6F17"/>
    <w:rsid w:val="009A7407"/>
    <w:rsid w:val="009B11B9"/>
    <w:rsid w:val="009B318A"/>
    <w:rsid w:val="009B3FF3"/>
    <w:rsid w:val="009B7009"/>
    <w:rsid w:val="009B714B"/>
    <w:rsid w:val="009C2DC4"/>
    <w:rsid w:val="009C32B1"/>
    <w:rsid w:val="009C5A75"/>
    <w:rsid w:val="009C62F0"/>
    <w:rsid w:val="009C762D"/>
    <w:rsid w:val="009D2A6B"/>
    <w:rsid w:val="009D3F09"/>
    <w:rsid w:val="009D6011"/>
    <w:rsid w:val="009D6E62"/>
    <w:rsid w:val="009E0B73"/>
    <w:rsid w:val="009E302F"/>
    <w:rsid w:val="009E45C8"/>
    <w:rsid w:val="009E4977"/>
    <w:rsid w:val="009E5568"/>
    <w:rsid w:val="009E717F"/>
    <w:rsid w:val="00A00C0A"/>
    <w:rsid w:val="00A03771"/>
    <w:rsid w:val="00A06584"/>
    <w:rsid w:val="00A07557"/>
    <w:rsid w:val="00A11FE3"/>
    <w:rsid w:val="00A1217E"/>
    <w:rsid w:val="00A123D1"/>
    <w:rsid w:val="00A13E22"/>
    <w:rsid w:val="00A16688"/>
    <w:rsid w:val="00A16E1F"/>
    <w:rsid w:val="00A17AD1"/>
    <w:rsid w:val="00A21C20"/>
    <w:rsid w:val="00A229B2"/>
    <w:rsid w:val="00A22F31"/>
    <w:rsid w:val="00A258C4"/>
    <w:rsid w:val="00A34483"/>
    <w:rsid w:val="00A37A4B"/>
    <w:rsid w:val="00A4164C"/>
    <w:rsid w:val="00A41721"/>
    <w:rsid w:val="00A4271E"/>
    <w:rsid w:val="00A443EE"/>
    <w:rsid w:val="00A508B1"/>
    <w:rsid w:val="00A51E2C"/>
    <w:rsid w:val="00A549D1"/>
    <w:rsid w:val="00A564AA"/>
    <w:rsid w:val="00A56C85"/>
    <w:rsid w:val="00A578E7"/>
    <w:rsid w:val="00A57F33"/>
    <w:rsid w:val="00A65802"/>
    <w:rsid w:val="00A65991"/>
    <w:rsid w:val="00A6611E"/>
    <w:rsid w:val="00A666DB"/>
    <w:rsid w:val="00A66F8E"/>
    <w:rsid w:val="00A729E6"/>
    <w:rsid w:val="00A7397E"/>
    <w:rsid w:val="00A74791"/>
    <w:rsid w:val="00A76EFB"/>
    <w:rsid w:val="00A77430"/>
    <w:rsid w:val="00A816AC"/>
    <w:rsid w:val="00A81745"/>
    <w:rsid w:val="00A81A94"/>
    <w:rsid w:val="00A82810"/>
    <w:rsid w:val="00A85824"/>
    <w:rsid w:val="00A87567"/>
    <w:rsid w:val="00A8771E"/>
    <w:rsid w:val="00A9277C"/>
    <w:rsid w:val="00A92F59"/>
    <w:rsid w:val="00A95804"/>
    <w:rsid w:val="00A95867"/>
    <w:rsid w:val="00A9648A"/>
    <w:rsid w:val="00A96815"/>
    <w:rsid w:val="00AA192B"/>
    <w:rsid w:val="00AA3C28"/>
    <w:rsid w:val="00AA6FBC"/>
    <w:rsid w:val="00AB1D79"/>
    <w:rsid w:val="00AB2F81"/>
    <w:rsid w:val="00AB333F"/>
    <w:rsid w:val="00AB3940"/>
    <w:rsid w:val="00AB4002"/>
    <w:rsid w:val="00AB5C4D"/>
    <w:rsid w:val="00AB5D89"/>
    <w:rsid w:val="00AC2B3E"/>
    <w:rsid w:val="00AC2CEE"/>
    <w:rsid w:val="00AC30F4"/>
    <w:rsid w:val="00AC4934"/>
    <w:rsid w:val="00AC63A2"/>
    <w:rsid w:val="00AD1BE0"/>
    <w:rsid w:val="00AD27AA"/>
    <w:rsid w:val="00AD352E"/>
    <w:rsid w:val="00AE027D"/>
    <w:rsid w:val="00AE1EB3"/>
    <w:rsid w:val="00AE3561"/>
    <w:rsid w:val="00AE747B"/>
    <w:rsid w:val="00AF0362"/>
    <w:rsid w:val="00AF07F2"/>
    <w:rsid w:val="00AF0ED0"/>
    <w:rsid w:val="00AF1D17"/>
    <w:rsid w:val="00AF44D6"/>
    <w:rsid w:val="00AF51CF"/>
    <w:rsid w:val="00B00C53"/>
    <w:rsid w:val="00B01804"/>
    <w:rsid w:val="00B01C09"/>
    <w:rsid w:val="00B02D33"/>
    <w:rsid w:val="00B067C0"/>
    <w:rsid w:val="00B10994"/>
    <w:rsid w:val="00B11352"/>
    <w:rsid w:val="00B12D77"/>
    <w:rsid w:val="00B148FC"/>
    <w:rsid w:val="00B177E0"/>
    <w:rsid w:val="00B17DA0"/>
    <w:rsid w:val="00B2150E"/>
    <w:rsid w:val="00B21B78"/>
    <w:rsid w:val="00B239BB"/>
    <w:rsid w:val="00B27B8F"/>
    <w:rsid w:val="00B27FE3"/>
    <w:rsid w:val="00B3088F"/>
    <w:rsid w:val="00B30E44"/>
    <w:rsid w:val="00B32A28"/>
    <w:rsid w:val="00B33776"/>
    <w:rsid w:val="00B33824"/>
    <w:rsid w:val="00B43CAE"/>
    <w:rsid w:val="00B44C2E"/>
    <w:rsid w:val="00B459B7"/>
    <w:rsid w:val="00B46143"/>
    <w:rsid w:val="00B463C4"/>
    <w:rsid w:val="00B46942"/>
    <w:rsid w:val="00B47606"/>
    <w:rsid w:val="00B505ED"/>
    <w:rsid w:val="00B52BFD"/>
    <w:rsid w:val="00B53677"/>
    <w:rsid w:val="00B55BEE"/>
    <w:rsid w:val="00B5666E"/>
    <w:rsid w:val="00B56888"/>
    <w:rsid w:val="00B573F5"/>
    <w:rsid w:val="00B640CF"/>
    <w:rsid w:val="00B6413F"/>
    <w:rsid w:val="00B64562"/>
    <w:rsid w:val="00B654AA"/>
    <w:rsid w:val="00B70442"/>
    <w:rsid w:val="00B717ED"/>
    <w:rsid w:val="00B71B4B"/>
    <w:rsid w:val="00B741A3"/>
    <w:rsid w:val="00B74851"/>
    <w:rsid w:val="00B7533D"/>
    <w:rsid w:val="00B753DA"/>
    <w:rsid w:val="00B75424"/>
    <w:rsid w:val="00B756E5"/>
    <w:rsid w:val="00B81EB8"/>
    <w:rsid w:val="00B8207C"/>
    <w:rsid w:val="00B836CF"/>
    <w:rsid w:val="00B837A7"/>
    <w:rsid w:val="00B849D8"/>
    <w:rsid w:val="00B84DCB"/>
    <w:rsid w:val="00B85FA8"/>
    <w:rsid w:val="00B86C93"/>
    <w:rsid w:val="00B874C7"/>
    <w:rsid w:val="00B90382"/>
    <w:rsid w:val="00B9191B"/>
    <w:rsid w:val="00B925B0"/>
    <w:rsid w:val="00B950C0"/>
    <w:rsid w:val="00BA05E3"/>
    <w:rsid w:val="00BA07E6"/>
    <w:rsid w:val="00BA223C"/>
    <w:rsid w:val="00BA3742"/>
    <w:rsid w:val="00BA4296"/>
    <w:rsid w:val="00BA4DFE"/>
    <w:rsid w:val="00BA5780"/>
    <w:rsid w:val="00BA63C5"/>
    <w:rsid w:val="00BB032E"/>
    <w:rsid w:val="00BB2008"/>
    <w:rsid w:val="00BB2B12"/>
    <w:rsid w:val="00BB387F"/>
    <w:rsid w:val="00BB6545"/>
    <w:rsid w:val="00BC1911"/>
    <w:rsid w:val="00BC265A"/>
    <w:rsid w:val="00BC56BD"/>
    <w:rsid w:val="00BC5CA9"/>
    <w:rsid w:val="00BC71D8"/>
    <w:rsid w:val="00BD29AA"/>
    <w:rsid w:val="00BD4A67"/>
    <w:rsid w:val="00BD5A34"/>
    <w:rsid w:val="00BD5CEA"/>
    <w:rsid w:val="00BD5E46"/>
    <w:rsid w:val="00BD6801"/>
    <w:rsid w:val="00BD6AF1"/>
    <w:rsid w:val="00BD6AF3"/>
    <w:rsid w:val="00BE05F3"/>
    <w:rsid w:val="00BE0706"/>
    <w:rsid w:val="00BE183D"/>
    <w:rsid w:val="00BE2054"/>
    <w:rsid w:val="00BE4A4F"/>
    <w:rsid w:val="00BE5DED"/>
    <w:rsid w:val="00BF23F4"/>
    <w:rsid w:val="00BF25D4"/>
    <w:rsid w:val="00BF36FD"/>
    <w:rsid w:val="00BF5630"/>
    <w:rsid w:val="00BF591C"/>
    <w:rsid w:val="00BF6DC6"/>
    <w:rsid w:val="00BF779C"/>
    <w:rsid w:val="00BF7C40"/>
    <w:rsid w:val="00C01794"/>
    <w:rsid w:val="00C02B4B"/>
    <w:rsid w:val="00C033AD"/>
    <w:rsid w:val="00C03C6E"/>
    <w:rsid w:val="00C042CE"/>
    <w:rsid w:val="00C05E06"/>
    <w:rsid w:val="00C0600F"/>
    <w:rsid w:val="00C061DA"/>
    <w:rsid w:val="00C101C2"/>
    <w:rsid w:val="00C13A5B"/>
    <w:rsid w:val="00C15012"/>
    <w:rsid w:val="00C16588"/>
    <w:rsid w:val="00C16B5A"/>
    <w:rsid w:val="00C2148C"/>
    <w:rsid w:val="00C21F9D"/>
    <w:rsid w:val="00C26741"/>
    <w:rsid w:val="00C26D96"/>
    <w:rsid w:val="00C278F5"/>
    <w:rsid w:val="00C27DF9"/>
    <w:rsid w:val="00C3180B"/>
    <w:rsid w:val="00C33175"/>
    <w:rsid w:val="00C33242"/>
    <w:rsid w:val="00C33BAE"/>
    <w:rsid w:val="00C34F6C"/>
    <w:rsid w:val="00C4540D"/>
    <w:rsid w:val="00C45895"/>
    <w:rsid w:val="00C4722A"/>
    <w:rsid w:val="00C50A91"/>
    <w:rsid w:val="00C51D1E"/>
    <w:rsid w:val="00C51D41"/>
    <w:rsid w:val="00C53353"/>
    <w:rsid w:val="00C54F22"/>
    <w:rsid w:val="00C5592D"/>
    <w:rsid w:val="00C56C47"/>
    <w:rsid w:val="00C629B2"/>
    <w:rsid w:val="00C70CC5"/>
    <w:rsid w:val="00C71613"/>
    <w:rsid w:val="00C75141"/>
    <w:rsid w:val="00C7575E"/>
    <w:rsid w:val="00C77237"/>
    <w:rsid w:val="00C77684"/>
    <w:rsid w:val="00C85A33"/>
    <w:rsid w:val="00C8685A"/>
    <w:rsid w:val="00C86880"/>
    <w:rsid w:val="00C903F4"/>
    <w:rsid w:val="00C919BF"/>
    <w:rsid w:val="00C9411C"/>
    <w:rsid w:val="00C94528"/>
    <w:rsid w:val="00C95101"/>
    <w:rsid w:val="00C96F41"/>
    <w:rsid w:val="00C97AE4"/>
    <w:rsid w:val="00CA0E8B"/>
    <w:rsid w:val="00CA343C"/>
    <w:rsid w:val="00CA397A"/>
    <w:rsid w:val="00CA417F"/>
    <w:rsid w:val="00CA5E32"/>
    <w:rsid w:val="00CA7C26"/>
    <w:rsid w:val="00CA7C46"/>
    <w:rsid w:val="00CA7CA3"/>
    <w:rsid w:val="00CB075A"/>
    <w:rsid w:val="00CB26D2"/>
    <w:rsid w:val="00CB4395"/>
    <w:rsid w:val="00CC0AA9"/>
    <w:rsid w:val="00CC1513"/>
    <w:rsid w:val="00CC6A03"/>
    <w:rsid w:val="00CC7292"/>
    <w:rsid w:val="00CC7312"/>
    <w:rsid w:val="00CD41E3"/>
    <w:rsid w:val="00CD4C1B"/>
    <w:rsid w:val="00CD529A"/>
    <w:rsid w:val="00CD5367"/>
    <w:rsid w:val="00CD55B3"/>
    <w:rsid w:val="00CD78A9"/>
    <w:rsid w:val="00CD7FC9"/>
    <w:rsid w:val="00CE1E66"/>
    <w:rsid w:val="00CE4FB3"/>
    <w:rsid w:val="00CE5AA4"/>
    <w:rsid w:val="00CE65E1"/>
    <w:rsid w:val="00CE7812"/>
    <w:rsid w:val="00CF2D5E"/>
    <w:rsid w:val="00CF4889"/>
    <w:rsid w:val="00CF5165"/>
    <w:rsid w:val="00CF7654"/>
    <w:rsid w:val="00CF77F0"/>
    <w:rsid w:val="00D01201"/>
    <w:rsid w:val="00D031B7"/>
    <w:rsid w:val="00D04398"/>
    <w:rsid w:val="00D05034"/>
    <w:rsid w:val="00D052DA"/>
    <w:rsid w:val="00D0550A"/>
    <w:rsid w:val="00D062A8"/>
    <w:rsid w:val="00D07861"/>
    <w:rsid w:val="00D07CCF"/>
    <w:rsid w:val="00D11F7B"/>
    <w:rsid w:val="00D13C57"/>
    <w:rsid w:val="00D16821"/>
    <w:rsid w:val="00D21220"/>
    <w:rsid w:val="00D223D3"/>
    <w:rsid w:val="00D2257F"/>
    <w:rsid w:val="00D22855"/>
    <w:rsid w:val="00D22A1D"/>
    <w:rsid w:val="00D2378F"/>
    <w:rsid w:val="00D25627"/>
    <w:rsid w:val="00D32F47"/>
    <w:rsid w:val="00D339F9"/>
    <w:rsid w:val="00D34A75"/>
    <w:rsid w:val="00D354F0"/>
    <w:rsid w:val="00D35E6F"/>
    <w:rsid w:val="00D40548"/>
    <w:rsid w:val="00D4407C"/>
    <w:rsid w:val="00D4437B"/>
    <w:rsid w:val="00D4516F"/>
    <w:rsid w:val="00D47744"/>
    <w:rsid w:val="00D50149"/>
    <w:rsid w:val="00D50274"/>
    <w:rsid w:val="00D50CFB"/>
    <w:rsid w:val="00D51382"/>
    <w:rsid w:val="00D51946"/>
    <w:rsid w:val="00D529E2"/>
    <w:rsid w:val="00D52E11"/>
    <w:rsid w:val="00D550C7"/>
    <w:rsid w:val="00D55F05"/>
    <w:rsid w:val="00D60D80"/>
    <w:rsid w:val="00D710E6"/>
    <w:rsid w:val="00D74070"/>
    <w:rsid w:val="00D74AAE"/>
    <w:rsid w:val="00D7618C"/>
    <w:rsid w:val="00D76557"/>
    <w:rsid w:val="00D7658F"/>
    <w:rsid w:val="00D80A49"/>
    <w:rsid w:val="00D821BB"/>
    <w:rsid w:val="00D82429"/>
    <w:rsid w:val="00D82573"/>
    <w:rsid w:val="00D82598"/>
    <w:rsid w:val="00D93A5F"/>
    <w:rsid w:val="00D9405D"/>
    <w:rsid w:val="00DA170C"/>
    <w:rsid w:val="00DA43A1"/>
    <w:rsid w:val="00DA56A9"/>
    <w:rsid w:val="00DA589D"/>
    <w:rsid w:val="00DB1DC3"/>
    <w:rsid w:val="00DB28D9"/>
    <w:rsid w:val="00DB3811"/>
    <w:rsid w:val="00DB3E6F"/>
    <w:rsid w:val="00DB549C"/>
    <w:rsid w:val="00DB6445"/>
    <w:rsid w:val="00DB69AC"/>
    <w:rsid w:val="00DB7F5A"/>
    <w:rsid w:val="00DC1397"/>
    <w:rsid w:val="00DC13CC"/>
    <w:rsid w:val="00DC1CD8"/>
    <w:rsid w:val="00DC1F15"/>
    <w:rsid w:val="00DC2286"/>
    <w:rsid w:val="00DC25EB"/>
    <w:rsid w:val="00DC2CA6"/>
    <w:rsid w:val="00DC2E17"/>
    <w:rsid w:val="00DC5A2D"/>
    <w:rsid w:val="00DD1CD0"/>
    <w:rsid w:val="00DD4D0B"/>
    <w:rsid w:val="00DD57D4"/>
    <w:rsid w:val="00DD627B"/>
    <w:rsid w:val="00DE1B7A"/>
    <w:rsid w:val="00DE3EA3"/>
    <w:rsid w:val="00DE3FDF"/>
    <w:rsid w:val="00DE6775"/>
    <w:rsid w:val="00DE6F37"/>
    <w:rsid w:val="00DF16A1"/>
    <w:rsid w:val="00DF2231"/>
    <w:rsid w:val="00DF3446"/>
    <w:rsid w:val="00DF6832"/>
    <w:rsid w:val="00DF6B17"/>
    <w:rsid w:val="00E002FA"/>
    <w:rsid w:val="00E036F9"/>
    <w:rsid w:val="00E03FDB"/>
    <w:rsid w:val="00E0738C"/>
    <w:rsid w:val="00E10785"/>
    <w:rsid w:val="00E12438"/>
    <w:rsid w:val="00E12D74"/>
    <w:rsid w:val="00E12F0E"/>
    <w:rsid w:val="00E15CD7"/>
    <w:rsid w:val="00E20802"/>
    <w:rsid w:val="00E21C8A"/>
    <w:rsid w:val="00E227F6"/>
    <w:rsid w:val="00E25F01"/>
    <w:rsid w:val="00E2763E"/>
    <w:rsid w:val="00E3003F"/>
    <w:rsid w:val="00E304E5"/>
    <w:rsid w:val="00E30BA5"/>
    <w:rsid w:val="00E30D62"/>
    <w:rsid w:val="00E315CE"/>
    <w:rsid w:val="00E31E50"/>
    <w:rsid w:val="00E32917"/>
    <w:rsid w:val="00E3712E"/>
    <w:rsid w:val="00E3772B"/>
    <w:rsid w:val="00E37A09"/>
    <w:rsid w:val="00E37E95"/>
    <w:rsid w:val="00E41C84"/>
    <w:rsid w:val="00E42D61"/>
    <w:rsid w:val="00E462F1"/>
    <w:rsid w:val="00E46B05"/>
    <w:rsid w:val="00E47FAF"/>
    <w:rsid w:val="00E50354"/>
    <w:rsid w:val="00E50A7C"/>
    <w:rsid w:val="00E536B0"/>
    <w:rsid w:val="00E536CF"/>
    <w:rsid w:val="00E53A00"/>
    <w:rsid w:val="00E53D3E"/>
    <w:rsid w:val="00E55F0F"/>
    <w:rsid w:val="00E560E1"/>
    <w:rsid w:val="00E5668B"/>
    <w:rsid w:val="00E57341"/>
    <w:rsid w:val="00E602B5"/>
    <w:rsid w:val="00E624F1"/>
    <w:rsid w:val="00E639FF"/>
    <w:rsid w:val="00E64BA5"/>
    <w:rsid w:val="00E706B7"/>
    <w:rsid w:val="00E72144"/>
    <w:rsid w:val="00E72FB6"/>
    <w:rsid w:val="00E74CE8"/>
    <w:rsid w:val="00E75491"/>
    <w:rsid w:val="00E757B3"/>
    <w:rsid w:val="00E81C86"/>
    <w:rsid w:val="00E852B0"/>
    <w:rsid w:val="00E85C0A"/>
    <w:rsid w:val="00E86633"/>
    <w:rsid w:val="00E86A04"/>
    <w:rsid w:val="00E875A2"/>
    <w:rsid w:val="00E91342"/>
    <w:rsid w:val="00E9151C"/>
    <w:rsid w:val="00E91C36"/>
    <w:rsid w:val="00E93D85"/>
    <w:rsid w:val="00E94A89"/>
    <w:rsid w:val="00E9593B"/>
    <w:rsid w:val="00EA2981"/>
    <w:rsid w:val="00EA2D6D"/>
    <w:rsid w:val="00EA30C2"/>
    <w:rsid w:val="00EA43EF"/>
    <w:rsid w:val="00EA4741"/>
    <w:rsid w:val="00EA6725"/>
    <w:rsid w:val="00EB06F3"/>
    <w:rsid w:val="00EB0E8C"/>
    <w:rsid w:val="00EB2F9C"/>
    <w:rsid w:val="00EB3DAA"/>
    <w:rsid w:val="00EB44A9"/>
    <w:rsid w:val="00EB5359"/>
    <w:rsid w:val="00EB5687"/>
    <w:rsid w:val="00EB736E"/>
    <w:rsid w:val="00EC03E2"/>
    <w:rsid w:val="00EC0A2F"/>
    <w:rsid w:val="00EC213B"/>
    <w:rsid w:val="00EC33BA"/>
    <w:rsid w:val="00EC5977"/>
    <w:rsid w:val="00EC6ED2"/>
    <w:rsid w:val="00EC7186"/>
    <w:rsid w:val="00ED131A"/>
    <w:rsid w:val="00ED1D90"/>
    <w:rsid w:val="00ED5430"/>
    <w:rsid w:val="00ED68E1"/>
    <w:rsid w:val="00ED6F93"/>
    <w:rsid w:val="00ED7C87"/>
    <w:rsid w:val="00EE0AD1"/>
    <w:rsid w:val="00EE3F6B"/>
    <w:rsid w:val="00EE5380"/>
    <w:rsid w:val="00EE5C68"/>
    <w:rsid w:val="00EE631D"/>
    <w:rsid w:val="00EE77D3"/>
    <w:rsid w:val="00EF07BE"/>
    <w:rsid w:val="00EF2055"/>
    <w:rsid w:val="00EF5BAA"/>
    <w:rsid w:val="00EF6FC8"/>
    <w:rsid w:val="00F00AA9"/>
    <w:rsid w:val="00F02B3F"/>
    <w:rsid w:val="00F0321A"/>
    <w:rsid w:val="00F03FAD"/>
    <w:rsid w:val="00F05668"/>
    <w:rsid w:val="00F11D4A"/>
    <w:rsid w:val="00F13B45"/>
    <w:rsid w:val="00F14D7A"/>
    <w:rsid w:val="00F16B56"/>
    <w:rsid w:val="00F17C29"/>
    <w:rsid w:val="00F213B0"/>
    <w:rsid w:val="00F23F16"/>
    <w:rsid w:val="00F25388"/>
    <w:rsid w:val="00F2722F"/>
    <w:rsid w:val="00F276B0"/>
    <w:rsid w:val="00F30DE0"/>
    <w:rsid w:val="00F31435"/>
    <w:rsid w:val="00F318F7"/>
    <w:rsid w:val="00F31C56"/>
    <w:rsid w:val="00F3278A"/>
    <w:rsid w:val="00F35623"/>
    <w:rsid w:val="00F35E63"/>
    <w:rsid w:val="00F364C1"/>
    <w:rsid w:val="00F408CD"/>
    <w:rsid w:val="00F45BB7"/>
    <w:rsid w:val="00F46718"/>
    <w:rsid w:val="00F474CB"/>
    <w:rsid w:val="00F47578"/>
    <w:rsid w:val="00F54C30"/>
    <w:rsid w:val="00F55028"/>
    <w:rsid w:val="00F55882"/>
    <w:rsid w:val="00F55FC2"/>
    <w:rsid w:val="00F57E3D"/>
    <w:rsid w:val="00F60C54"/>
    <w:rsid w:val="00F656F6"/>
    <w:rsid w:val="00F6770D"/>
    <w:rsid w:val="00F70056"/>
    <w:rsid w:val="00F728F1"/>
    <w:rsid w:val="00F73626"/>
    <w:rsid w:val="00F73B2C"/>
    <w:rsid w:val="00F73F79"/>
    <w:rsid w:val="00F76D5B"/>
    <w:rsid w:val="00F770FB"/>
    <w:rsid w:val="00F77D68"/>
    <w:rsid w:val="00F80AC2"/>
    <w:rsid w:val="00F84679"/>
    <w:rsid w:val="00F86771"/>
    <w:rsid w:val="00F90153"/>
    <w:rsid w:val="00F90377"/>
    <w:rsid w:val="00F93ACE"/>
    <w:rsid w:val="00F9455C"/>
    <w:rsid w:val="00FA0D73"/>
    <w:rsid w:val="00FA2832"/>
    <w:rsid w:val="00FA4DC1"/>
    <w:rsid w:val="00FA5FD8"/>
    <w:rsid w:val="00FA6EB3"/>
    <w:rsid w:val="00FB0899"/>
    <w:rsid w:val="00FB3C01"/>
    <w:rsid w:val="00FB659F"/>
    <w:rsid w:val="00FB73D9"/>
    <w:rsid w:val="00FC1C45"/>
    <w:rsid w:val="00FC236A"/>
    <w:rsid w:val="00FC562B"/>
    <w:rsid w:val="00FD08FC"/>
    <w:rsid w:val="00FD16FB"/>
    <w:rsid w:val="00FD2EA7"/>
    <w:rsid w:val="00FD2F08"/>
    <w:rsid w:val="00FD3352"/>
    <w:rsid w:val="00FD3ADF"/>
    <w:rsid w:val="00FD44BB"/>
    <w:rsid w:val="00FD4967"/>
    <w:rsid w:val="00FD4EB3"/>
    <w:rsid w:val="00FE07B5"/>
    <w:rsid w:val="00FE1838"/>
    <w:rsid w:val="00FE3E9B"/>
    <w:rsid w:val="00FE447A"/>
    <w:rsid w:val="00FE4DF2"/>
    <w:rsid w:val="00FE58B3"/>
    <w:rsid w:val="00FE59BE"/>
    <w:rsid w:val="00FE6832"/>
    <w:rsid w:val="00FF0CAA"/>
    <w:rsid w:val="00FF68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DC1C"/>
  <w15:chartTrackingRefBased/>
  <w15:docId w15:val="{C2E58BCB-8308-4877-9E74-AD1370C6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E30"/>
    <w:pPr>
      <w:spacing w:after="200" w:line="276" w:lineRule="auto"/>
    </w:pPr>
  </w:style>
  <w:style w:type="paragraph" w:styleId="Ttulo1">
    <w:name w:val="heading 1"/>
    <w:basedOn w:val="Normal"/>
    <w:next w:val="Normal"/>
    <w:link w:val="Ttulo1Car"/>
    <w:qFormat/>
    <w:rsid w:val="006C624A"/>
    <w:pPr>
      <w:keepNext/>
      <w:spacing w:after="0" w:line="240" w:lineRule="auto"/>
      <w:ind w:left="709" w:firstLine="709"/>
      <w:jc w:val="both"/>
      <w:outlineLvl w:val="0"/>
    </w:pPr>
    <w:rPr>
      <w:rFonts w:ascii="Arial" w:eastAsia="Times New Roman" w:hAnsi="Arial" w:cs="Arial"/>
      <w:b/>
      <w:spacing w:val="-3"/>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0E30"/>
    <w:pPr>
      <w:ind w:left="720"/>
      <w:contextualSpacing/>
    </w:pPr>
  </w:style>
  <w:style w:type="character" w:customStyle="1" w:styleId="Ttulo1Car">
    <w:name w:val="Título 1 Car"/>
    <w:basedOn w:val="Fuentedeprrafopredeter"/>
    <w:link w:val="Ttulo1"/>
    <w:rsid w:val="006C624A"/>
    <w:rPr>
      <w:rFonts w:ascii="Arial" w:eastAsia="Times New Roman" w:hAnsi="Arial" w:cs="Arial"/>
      <w:b/>
      <w:spacing w:val="-3"/>
      <w:lang w:val="es-ES" w:eastAsia="es-ES"/>
    </w:rPr>
  </w:style>
  <w:style w:type="character" w:styleId="Refdecomentario">
    <w:name w:val="annotation reference"/>
    <w:basedOn w:val="Fuentedeprrafopredeter"/>
    <w:uiPriority w:val="99"/>
    <w:semiHidden/>
    <w:unhideWhenUsed/>
    <w:rsid w:val="00465029"/>
    <w:rPr>
      <w:sz w:val="16"/>
      <w:szCs w:val="16"/>
    </w:rPr>
  </w:style>
  <w:style w:type="paragraph" w:styleId="Textocomentario">
    <w:name w:val="annotation text"/>
    <w:basedOn w:val="Normal"/>
    <w:link w:val="TextocomentarioCar"/>
    <w:uiPriority w:val="99"/>
    <w:unhideWhenUsed/>
    <w:rsid w:val="00465029"/>
    <w:pPr>
      <w:spacing w:line="240" w:lineRule="auto"/>
    </w:pPr>
    <w:rPr>
      <w:sz w:val="20"/>
      <w:szCs w:val="20"/>
    </w:rPr>
  </w:style>
  <w:style w:type="character" w:customStyle="1" w:styleId="TextocomentarioCar">
    <w:name w:val="Texto comentario Car"/>
    <w:basedOn w:val="Fuentedeprrafopredeter"/>
    <w:link w:val="Textocomentario"/>
    <w:uiPriority w:val="99"/>
    <w:rsid w:val="00465029"/>
    <w:rPr>
      <w:sz w:val="20"/>
      <w:szCs w:val="20"/>
    </w:rPr>
  </w:style>
  <w:style w:type="paragraph" w:styleId="Asuntodelcomentario">
    <w:name w:val="annotation subject"/>
    <w:basedOn w:val="Textocomentario"/>
    <w:next w:val="Textocomentario"/>
    <w:link w:val="AsuntodelcomentarioCar"/>
    <w:uiPriority w:val="99"/>
    <w:semiHidden/>
    <w:unhideWhenUsed/>
    <w:rsid w:val="00465029"/>
    <w:rPr>
      <w:b/>
      <w:bCs/>
    </w:rPr>
  </w:style>
  <w:style w:type="character" w:customStyle="1" w:styleId="AsuntodelcomentarioCar">
    <w:name w:val="Asunto del comentario Car"/>
    <w:basedOn w:val="TextocomentarioCar"/>
    <w:link w:val="Asuntodelcomentario"/>
    <w:uiPriority w:val="99"/>
    <w:semiHidden/>
    <w:rsid w:val="00465029"/>
    <w:rPr>
      <w:b/>
      <w:bCs/>
      <w:sz w:val="20"/>
      <w:szCs w:val="20"/>
    </w:rPr>
  </w:style>
  <w:style w:type="paragraph" w:styleId="Revisin">
    <w:name w:val="Revision"/>
    <w:hidden/>
    <w:uiPriority w:val="99"/>
    <w:semiHidden/>
    <w:rsid w:val="004916F7"/>
    <w:pPr>
      <w:spacing w:after="0" w:line="240" w:lineRule="auto"/>
    </w:pPr>
  </w:style>
  <w:style w:type="paragraph" w:styleId="Encabezado">
    <w:name w:val="header"/>
    <w:basedOn w:val="Normal"/>
    <w:link w:val="EncabezadoCar"/>
    <w:uiPriority w:val="99"/>
    <w:unhideWhenUsed/>
    <w:rsid w:val="00684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4714"/>
  </w:style>
  <w:style w:type="paragraph" w:styleId="Piedepgina">
    <w:name w:val="footer"/>
    <w:basedOn w:val="Normal"/>
    <w:link w:val="PiedepginaCar"/>
    <w:uiPriority w:val="99"/>
    <w:unhideWhenUsed/>
    <w:rsid w:val="00684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4714"/>
  </w:style>
  <w:style w:type="table" w:styleId="Tablaconcuadrcula">
    <w:name w:val="Table Grid"/>
    <w:basedOn w:val="Tablanormal"/>
    <w:uiPriority w:val="39"/>
    <w:rsid w:val="0031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29E5"/>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AE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D34A7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4A75"/>
    <w:rPr>
      <w:sz w:val="20"/>
      <w:szCs w:val="20"/>
    </w:rPr>
  </w:style>
  <w:style w:type="character" w:styleId="Refdenotaalpie">
    <w:name w:val="footnote reference"/>
    <w:basedOn w:val="Fuentedeprrafopredeter"/>
    <w:uiPriority w:val="99"/>
    <w:semiHidden/>
    <w:unhideWhenUsed/>
    <w:rsid w:val="00D34A75"/>
    <w:rPr>
      <w:vertAlign w:val="superscript"/>
    </w:rPr>
  </w:style>
  <w:style w:type="paragraph" w:styleId="Textonotaalfinal">
    <w:name w:val="endnote text"/>
    <w:basedOn w:val="Normal"/>
    <w:link w:val="TextonotaalfinalCar"/>
    <w:uiPriority w:val="99"/>
    <w:semiHidden/>
    <w:unhideWhenUsed/>
    <w:rsid w:val="000773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77372"/>
    <w:rPr>
      <w:sz w:val="20"/>
      <w:szCs w:val="20"/>
    </w:rPr>
  </w:style>
  <w:style w:type="character" w:styleId="Refdenotaalfinal">
    <w:name w:val="endnote reference"/>
    <w:basedOn w:val="Fuentedeprrafopredeter"/>
    <w:uiPriority w:val="99"/>
    <w:semiHidden/>
    <w:unhideWhenUsed/>
    <w:rsid w:val="00077372"/>
    <w:rPr>
      <w:vertAlign w:val="superscript"/>
    </w:rPr>
  </w:style>
  <w:style w:type="character" w:customStyle="1" w:styleId="cf01">
    <w:name w:val="cf01"/>
    <w:basedOn w:val="Fuentedeprrafopredeter"/>
    <w:rsid w:val="008910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0159">
      <w:bodyDiv w:val="1"/>
      <w:marLeft w:val="0"/>
      <w:marRight w:val="0"/>
      <w:marTop w:val="0"/>
      <w:marBottom w:val="0"/>
      <w:divBdr>
        <w:top w:val="none" w:sz="0" w:space="0" w:color="auto"/>
        <w:left w:val="none" w:sz="0" w:space="0" w:color="auto"/>
        <w:bottom w:val="none" w:sz="0" w:space="0" w:color="auto"/>
        <w:right w:val="none" w:sz="0" w:space="0" w:color="auto"/>
      </w:divBdr>
    </w:div>
    <w:div w:id="167601888">
      <w:bodyDiv w:val="1"/>
      <w:marLeft w:val="0"/>
      <w:marRight w:val="0"/>
      <w:marTop w:val="0"/>
      <w:marBottom w:val="0"/>
      <w:divBdr>
        <w:top w:val="none" w:sz="0" w:space="0" w:color="auto"/>
        <w:left w:val="none" w:sz="0" w:space="0" w:color="auto"/>
        <w:bottom w:val="none" w:sz="0" w:space="0" w:color="auto"/>
        <w:right w:val="none" w:sz="0" w:space="0" w:color="auto"/>
      </w:divBdr>
    </w:div>
    <w:div w:id="171451881">
      <w:bodyDiv w:val="1"/>
      <w:marLeft w:val="0"/>
      <w:marRight w:val="0"/>
      <w:marTop w:val="0"/>
      <w:marBottom w:val="0"/>
      <w:divBdr>
        <w:top w:val="none" w:sz="0" w:space="0" w:color="auto"/>
        <w:left w:val="none" w:sz="0" w:space="0" w:color="auto"/>
        <w:bottom w:val="none" w:sz="0" w:space="0" w:color="auto"/>
        <w:right w:val="none" w:sz="0" w:space="0" w:color="auto"/>
      </w:divBdr>
    </w:div>
    <w:div w:id="173302858">
      <w:bodyDiv w:val="1"/>
      <w:marLeft w:val="0"/>
      <w:marRight w:val="0"/>
      <w:marTop w:val="0"/>
      <w:marBottom w:val="0"/>
      <w:divBdr>
        <w:top w:val="none" w:sz="0" w:space="0" w:color="auto"/>
        <w:left w:val="none" w:sz="0" w:space="0" w:color="auto"/>
        <w:bottom w:val="none" w:sz="0" w:space="0" w:color="auto"/>
        <w:right w:val="none" w:sz="0" w:space="0" w:color="auto"/>
      </w:divBdr>
    </w:div>
    <w:div w:id="245117402">
      <w:bodyDiv w:val="1"/>
      <w:marLeft w:val="0"/>
      <w:marRight w:val="0"/>
      <w:marTop w:val="0"/>
      <w:marBottom w:val="0"/>
      <w:divBdr>
        <w:top w:val="none" w:sz="0" w:space="0" w:color="auto"/>
        <w:left w:val="none" w:sz="0" w:space="0" w:color="auto"/>
        <w:bottom w:val="none" w:sz="0" w:space="0" w:color="auto"/>
        <w:right w:val="none" w:sz="0" w:space="0" w:color="auto"/>
      </w:divBdr>
    </w:div>
    <w:div w:id="286738179">
      <w:bodyDiv w:val="1"/>
      <w:marLeft w:val="0"/>
      <w:marRight w:val="0"/>
      <w:marTop w:val="0"/>
      <w:marBottom w:val="0"/>
      <w:divBdr>
        <w:top w:val="none" w:sz="0" w:space="0" w:color="auto"/>
        <w:left w:val="none" w:sz="0" w:space="0" w:color="auto"/>
        <w:bottom w:val="none" w:sz="0" w:space="0" w:color="auto"/>
        <w:right w:val="none" w:sz="0" w:space="0" w:color="auto"/>
      </w:divBdr>
    </w:div>
    <w:div w:id="315187211">
      <w:bodyDiv w:val="1"/>
      <w:marLeft w:val="0"/>
      <w:marRight w:val="0"/>
      <w:marTop w:val="0"/>
      <w:marBottom w:val="0"/>
      <w:divBdr>
        <w:top w:val="none" w:sz="0" w:space="0" w:color="auto"/>
        <w:left w:val="none" w:sz="0" w:space="0" w:color="auto"/>
        <w:bottom w:val="none" w:sz="0" w:space="0" w:color="auto"/>
        <w:right w:val="none" w:sz="0" w:space="0" w:color="auto"/>
      </w:divBdr>
    </w:div>
    <w:div w:id="433593384">
      <w:bodyDiv w:val="1"/>
      <w:marLeft w:val="0"/>
      <w:marRight w:val="0"/>
      <w:marTop w:val="0"/>
      <w:marBottom w:val="0"/>
      <w:divBdr>
        <w:top w:val="none" w:sz="0" w:space="0" w:color="auto"/>
        <w:left w:val="none" w:sz="0" w:space="0" w:color="auto"/>
        <w:bottom w:val="none" w:sz="0" w:space="0" w:color="auto"/>
        <w:right w:val="none" w:sz="0" w:space="0" w:color="auto"/>
      </w:divBdr>
    </w:div>
    <w:div w:id="447042642">
      <w:bodyDiv w:val="1"/>
      <w:marLeft w:val="0"/>
      <w:marRight w:val="0"/>
      <w:marTop w:val="0"/>
      <w:marBottom w:val="0"/>
      <w:divBdr>
        <w:top w:val="none" w:sz="0" w:space="0" w:color="auto"/>
        <w:left w:val="none" w:sz="0" w:space="0" w:color="auto"/>
        <w:bottom w:val="none" w:sz="0" w:space="0" w:color="auto"/>
        <w:right w:val="none" w:sz="0" w:space="0" w:color="auto"/>
      </w:divBdr>
    </w:div>
    <w:div w:id="532964574">
      <w:bodyDiv w:val="1"/>
      <w:marLeft w:val="0"/>
      <w:marRight w:val="0"/>
      <w:marTop w:val="0"/>
      <w:marBottom w:val="0"/>
      <w:divBdr>
        <w:top w:val="none" w:sz="0" w:space="0" w:color="auto"/>
        <w:left w:val="none" w:sz="0" w:space="0" w:color="auto"/>
        <w:bottom w:val="none" w:sz="0" w:space="0" w:color="auto"/>
        <w:right w:val="none" w:sz="0" w:space="0" w:color="auto"/>
      </w:divBdr>
    </w:div>
    <w:div w:id="585849400">
      <w:bodyDiv w:val="1"/>
      <w:marLeft w:val="0"/>
      <w:marRight w:val="0"/>
      <w:marTop w:val="0"/>
      <w:marBottom w:val="0"/>
      <w:divBdr>
        <w:top w:val="none" w:sz="0" w:space="0" w:color="auto"/>
        <w:left w:val="none" w:sz="0" w:space="0" w:color="auto"/>
        <w:bottom w:val="none" w:sz="0" w:space="0" w:color="auto"/>
        <w:right w:val="none" w:sz="0" w:space="0" w:color="auto"/>
      </w:divBdr>
    </w:div>
    <w:div w:id="625236113">
      <w:bodyDiv w:val="1"/>
      <w:marLeft w:val="0"/>
      <w:marRight w:val="0"/>
      <w:marTop w:val="0"/>
      <w:marBottom w:val="0"/>
      <w:divBdr>
        <w:top w:val="none" w:sz="0" w:space="0" w:color="auto"/>
        <w:left w:val="none" w:sz="0" w:space="0" w:color="auto"/>
        <w:bottom w:val="none" w:sz="0" w:space="0" w:color="auto"/>
        <w:right w:val="none" w:sz="0" w:space="0" w:color="auto"/>
      </w:divBdr>
    </w:div>
    <w:div w:id="677390113">
      <w:bodyDiv w:val="1"/>
      <w:marLeft w:val="0"/>
      <w:marRight w:val="0"/>
      <w:marTop w:val="0"/>
      <w:marBottom w:val="0"/>
      <w:divBdr>
        <w:top w:val="none" w:sz="0" w:space="0" w:color="auto"/>
        <w:left w:val="none" w:sz="0" w:space="0" w:color="auto"/>
        <w:bottom w:val="none" w:sz="0" w:space="0" w:color="auto"/>
        <w:right w:val="none" w:sz="0" w:space="0" w:color="auto"/>
      </w:divBdr>
    </w:div>
    <w:div w:id="691568533">
      <w:bodyDiv w:val="1"/>
      <w:marLeft w:val="0"/>
      <w:marRight w:val="0"/>
      <w:marTop w:val="0"/>
      <w:marBottom w:val="0"/>
      <w:divBdr>
        <w:top w:val="none" w:sz="0" w:space="0" w:color="auto"/>
        <w:left w:val="none" w:sz="0" w:space="0" w:color="auto"/>
        <w:bottom w:val="none" w:sz="0" w:space="0" w:color="auto"/>
        <w:right w:val="none" w:sz="0" w:space="0" w:color="auto"/>
      </w:divBdr>
    </w:div>
    <w:div w:id="692147411">
      <w:bodyDiv w:val="1"/>
      <w:marLeft w:val="0"/>
      <w:marRight w:val="0"/>
      <w:marTop w:val="0"/>
      <w:marBottom w:val="0"/>
      <w:divBdr>
        <w:top w:val="none" w:sz="0" w:space="0" w:color="auto"/>
        <w:left w:val="none" w:sz="0" w:space="0" w:color="auto"/>
        <w:bottom w:val="none" w:sz="0" w:space="0" w:color="auto"/>
        <w:right w:val="none" w:sz="0" w:space="0" w:color="auto"/>
      </w:divBdr>
    </w:div>
    <w:div w:id="723064571">
      <w:bodyDiv w:val="1"/>
      <w:marLeft w:val="0"/>
      <w:marRight w:val="0"/>
      <w:marTop w:val="0"/>
      <w:marBottom w:val="0"/>
      <w:divBdr>
        <w:top w:val="none" w:sz="0" w:space="0" w:color="auto"/>
        <w:left w:val="none" w:sz="0" w:space="0" w:color="auto"/>
        <w:bottom w:val="none" w:sz="0" w:space="0" w:color="auto"/>
        <w:right w:val="none" w:sz="0" w:space="0" w:color="auto"/>
      </w:divBdr>
    </w:div>
    <w:div w:id="740952908">
      <w:bodyDiv w:val="1"/>
      <w:marLeft w:val="0"/>
      <w:marRight w:val="0"/>
      <w:marTop w:val="0"/>
      <w:marBottom w:val="0"/>
      <w:divBdr>
        <w:top w:val="none" w:sz="0" w:space="0" w:color="auto"/>
        <w:left w:val="none" w:sz="0" w:space="0" w:color="auto"/>
        <w:bottom w:val="none" w:sz="0" w:space="0" w:color="auto"/>
        <w:right w:val="none" w:sz="0" w:space="0" w:color="auto"/>
      </w:divBdr>
    </w:div>
    <w:div w:id="743263117">
      <w:bodyDiv w:val="1"/>
      <w:marLeft w:val="0"/>
      <w:marRight w:val="0"/>
      <w:marTop w:val="0"/>
      <w:marBottom w:val="0"/>
      <w:divBdr>
        <w:top w:val="none" w:sz="0" w:space="0" w:color="auto"/>
        <w:left w:val="none" w:sz="0" w:space="0" w:color="auto"/>
        <w:bottom w:val="none" w:sz="0" w:space="0" w:color="auto"/>
        <w:right w:val="none" w:sz="0" w:space="0" w:color="auto"/>
      </w:divBdr>
    </w:div>
    <w:div w:id="781875301">
      <w:bodyDiv w:val="1"/>
      <w:marLeft w:val="0"/>
      <w:marRight w:val="0"/>
      <w:marTop w:val="0"/>
      <w:marBottom w:val="0"/>
      <w:divBdr>
        <w:top w:val="none" w:sz="0" w:space="0" w:color="auto"/>
        <w:left w:val="none" w:sz="0" w:space="0" w:color="auto"/>
        <w:bottom w:val="none" w:sz="0" w:space="0" w:color="auto"/>
        <w:right w:val="none" w:sz="0" w:space="0" w:color="auto"/>
      </w:divBdr>
    </w:div>
    <w:div w:id="839124610">
      <w:bodyDiv w:val="1"/>
      <w:marLeft w:val="0"/>
      <w:marRight w:val="0"/>
      <w:marTop w:val="0"/>
      <w:marBottom w:val="0"/>
      <w:divBdr>
        <w:top w:val="none" w:sz="0" w:space="0" w:color="auto"/>
        <w:left w:val="none" w:sz="0" w:space="0" w:color="auto"/>
        <w:bottom w:val="none" w:sz="0" w:space="0" w:color="auto"/>
        <w:right w:val="none" w:sz="0" w:space="0" w:color="auto"/>
      </w:divBdr>
    </w:div>
    <w:div w:id="865141148">
      <w:bodyDiv w:val="1"/>
      <w:marLeft w:val="0"/>
      <w:marRight w:val="0"/>
      <w:marTop w:val="0"/>
      <w:marBottom w:val="0"/>
      <w:divBdr>
        <w:top w:val="none" w:sz="0" w:space="0" w:color="auto"/>
        <w:left w:val="none" w:sz="0" w:space="0" w:color="auto"/>
        <w:bottom w:val="none" w:sz="0" w:space="0" w:color="auto"/>
        <w:right w:val="none" w:sz="0" w:space="0" w:color="auto"/>
      </w:divBdr>
    </w:div>
    <w:div w:id="866917186">
      <w:bodyDiv w:val="1"/>
      <w:marLeft w:val="0"/>
      <w:marRight w:val="0"/>
      <w:marTop w:val="0"/>
      <w:marBottom w:val="0"/>
      <w:divBdr>
        <w:top w:val="none" w:sz="0" w:space="0" w:color="auto"/>
        <w:left w:val="none" w:sz="0" w:space="0" w:color="auto"/>
        <w:bottom w:val="none" w:sz="0" w:space="0" w:color="auto"/>
        <w:right w:val="none" w:sz="0" w:space="0" w:color="auto"/>
      </w:divBdr>
    </w:div>
    <w:div w:id="870731293">
      <w:bodyDiv w:val="1"/>
      <w:marLeft w:val="0"/>
      <w:marRight w:val="0"/>
      <w:marTop w:val="0"/>
      <w:marBottom w:val="0"/>
      <w:divBdr>
        <w:top w:val="none" w:sz="0" w:space="0" w:color="auto"/>
        <w:left w:val="none" w:sz="0" w:space="0" w:color="auto"/>
        <w:bottom w:val="none" w:sz="0" w:space="0" w:color="auto"/>
        <w:right w:val="none" w:sz="0" w:space="0" w:color="auto"/>
      </w:divBdr>
    </w:div>
    <w:div w:id="883635580">
      <w:bodyDiv w:val="1"/>
      <w:marLeft w:val="0"/>
      <w:marRight w:val="0"/>
      <w:marTop w:val="0"/>
      <w:marBottom w:val="0"/>
      <w:divBdr>
        <w:top w:val="none" w:sz="0" w:space="0" w:color="auto"/>
        <w:left w:val="none" w:sz="0" w:space="0" w:color="auto"/>
        <w:bottom w:val="none" w:sz="0" w:space="0" w:color="auto"/>
        <w:right w:val="none" w:sz="0" w:space="0" w:color="auto"/>
      </w:divBdr>
    </w:div>
    <w:div w:id="892154444">
      <w:bodyDiv w:val="1"/>
      <w:marLeft w:val="0"/>
      <w:marRight w:val="0"/>
      <w:marTop w:val="0"/>
      <w:marBottom w:val="0"/>
      <w:divBdr>
        <w:top w:val="none" w:sz="0" w:space="0" w:color="auto"/>
        <w:left w:val="none" w:sz="0" w:space="0" w:color="auto"/>
        <w:bottom w:val="none" w:sz="0" w:space="0" w:color="auto"/>
        <w:right w:val="none" w:sz="0" w:space="0" w:color="auto"/>
      </w:divBdr>
    </w:div>
    <w:div w:id="904878649">
      <w:bodyDiv w:val="1"/>
      <w:marLeft w:val="0"/>
      <w:marRight w:val="0"/>
      <w:marTop w:val="0"/>
      <w:marBottom w:val="0"/>
      <w:divBdr>
        <w:top w:val="none" w:sz="0" w:space="0" w:color="auto"/>
        <w:left w:val="none" w:sz="0" w:space="0" w:color="auto"/>
        <w:bottom w:val="none" w:sz="0" w:space="0" w:color="auto"/>
        <w:right w:val="none" w:sz="0" w:space="0" w:color="auto"/>
      </w:divBdr>
    </w:div>
    <w:div w:id="926039990">
      <w:bodyDiv w:val="1"/>
      <w:marLeft w:val="0"/>
      <w:marRight w:val="0"/>
      <w:marTop w:val="0"/>
      <w:marBottom w:val="0"/>
      <w:divBdr>
        <w:top w:val="none" w:sz="0" w:space="0" w:color="auto"/>
        <w:left w:val="none" w:sz="0" w:space="0" w:color="auto"/>
        <w:bottom w:val="none" w:sz="0" w:space="0" w:color="auto"/>
        <w:right w:val="none" w:sz="0" w:space="0" w:color="auto"/>
      </w:divBdr>
    </w:div>
    <w:div w:id="928855119">
      <w:bodyDiv w:val="1"/>
      <w:marLeft w:val="0"/>
      <w:marRight w:val="0"/>
      <w:marTop w:val="0"/>
      <w:marBottom w:val="0"/>
      <w:divBdr>
        <w:top w:val="none" w:sz="0" w:space="0" w:color="auto"/>
        <w:left w:val="none" w:sz="0" w:space="0" w:color="auto"/>
        <w:bottom w:val="none" w:sz="0" w:space="0" w:color="auto"/>
        <w:right w:val="none" w:sz="0" w:space="0" w:color="auto"/>
      </w:divBdr>
    </w:div>
    <w:div w:id="993334102">
      <w:bodyDiv w:val="1"/>
      <w:marLeft w:val="0"/>
      <w:marRight w:val="0"/>
      <w:marTop w:val="0"/>
      <w:marBottom w:val="0"/>
      <w:divBdr>
        <w:top w:val="none" w:sz="0" w:space="0" w:color="auto"/>
        <w:left w:val="none" w:sz="0" w:space="0" w:color="auto"/>
        <w:bottom w:val="none" w:sz="0" w:space="0" w:color="auto"/>
        <w:right w:val="none" w:sz="0" w:space="0" w:color="auto"/>
      </w:divBdr>
    </w:div>
    <w:div w:id="1033845859">
      <w:bodyDiv w:val="1"/>
      <w:marLeft w:val="0"/>
      <w:marRight w:val="0"/>
      <w:marTop w:val="0"/>
      <w:marBottom w:val="0"/>
      <w:divBdr>
        <w:top w:val="none" w:sz="0" w:space="0" w:color="auto"/>
        <w:left w:val="none" w:sz="0" w:space="0" w:color="auto"/>
        <w:bottom w:val="none" w:sz="0" w:space="0" w:color="auto"/>
        <w:right w:val="none" w:sz="0" w:space="0" w:color="auto"/>
      </w:divBdr>
    </w:div>
    <w:div w:id="1067537966">
      <w:bodyDiv w:val="1"/>
      <w:marLeft w:val="0"/>
      <w:marRight w:val="0"/>
      <w:marTop w:val="0"/>
      <w:marBottom w:val="0"/>
      <w:divBdr>
        <w:top w:val="none" w:sz="0" w:space="0" w:color="auto"/>
        <w:left w:val="none" w:sz="0" w:space="0" w:color="auto"/>
        <w:bottom w:val="none" w:sz="0" w:space="0" w:color="auto"/>
        <w:right w:val="none" w:sz="0" w:space="0" w:color="auto"/>
      </w:divBdr>
    </w:div>
    <w:div w:id="1067606192">
      <w:bodyDiv w:val="1"/>
      <w:marLeft w:val="0"/>
      <w:marRight w:val="0"/>
      <w:marTop w:val="0"/>
      <w:marBottom w:val="0"/>
      <w:divBdr>
        <w:top w:val="none" w:sz="0" w:space="0" w:color="auto"/>
        <w:left w:val="none" w:sz="0" w:space="0" w:color="auto"/>
        <w:bottom w:val="none" w:sz="0" w:space="0" w:color="auto"/>
        <w:right w:val="none" w:sz="0" w:space="0" w:color="auto"/>
      </w:divBdr>
    </w:div>
    <w:div w:id="1077675934">
      <w:bodyDiv w:val="1"/>
      <w:marLeft w:val="0"/>
      <w:marRight w:val="0"/>
      <w:marTop w:val="0"/>
      <w:marBottom w:val="0"/>
      <w:divBdr>
        <w:top w:val="none" w:sz="0" w:space="0" w:color="auto"/>
        <w:left w:val="none" w:sz="0" w:space="0" w:color="auto"/>
        <w:bottom w:val="none" w:sz="0" w:space="0" w:color="auto"/>
        <w:right w:val="none" w:sz="0" w:space="0" w:color="auto"/>
      </w:divBdr>
    </w:div>
    <w:div w:id="1083769028">
      <w:bodyDiv w:val="1"/>
      <w:marLeft w:val="0"/>
      <w:marRight w:val="0"/>
      <w:marTop w:val="0"/>
      <w:marBottom w:val="0"/>
      <w:divBdr>
        <w:top w:val="none" w:sz="0" w:space="0" w:color="auto"/>
        <w:left w:val="none" w:sz="0" w:space="0" w:color="auto"/>
        <w:bottom w:val="none" w:sz="0" w:space="0" w:color="auto"/>
        <w:right w:val="none" w:sz="0" w:space="0" w:color="auto"/>
      </w:divBdr>
    </w:div>
    <w:div w:id="1110778314">
      <w:bodyDiv w:val="1"/>
      <w:marLeft w:val="0"/>
      <w:marRight w:val="0"/>
      <w:marTop w:val="0"/>
      <w:marBottom w:val="0"/>
      <w:divBdr>
        <w:top w:val="none" w:sz="0" w:space="0" w:color="auto"/>
        <w:left w:val="none" w:sz="0" w:space="0" w:color="auto"/>
        <w:bottom w:val="none" w:sz="0" w:space="0" w:color="auto"/>
        <w:right w:val="none" w:sz="0" w:space="0" w:color="auto"/>
      </w:divBdr>
    </w:div>
    <w:div w:id="1142426004">
      <w:bodyDiv w:val="1"/>
      <w:marLeft w:val="0"/>
      <w:marRight w:val="0"/>
      <w:marTop w:val="0"/>
      <w:marBottom w:val="0"/>
      <w:divBdr>
        <w:top w:val="none" w:sz="0" w:space="0" w:color="auto"/>
        <w:left w:val="none" w:sz="0" w:space="0" w:color="auto"/>
        <w:bottom w:val="none" w:sz="0" w:space="0" w:color="auto"/>
        <w:right w:val="none" w:sz="0" w:space="0" w:color="auto"/>
      </w:divBdr>
    </w:div>
    <w:div w:id="1146052391">
      <w:bodyDiv w:val="1"/>
      <w:marLeft w:val="0"/>
      <w:marRight w:val="0"/>
      <w:marTop w:val="0"/>
      <w:marBottom w:val="0"/>
      <w:divBdr>
        <w:top w:val="none" w:sz="0" w:space="0" w:color="auto"/>
        <w:left w:val="none" w:sz="0" w:space="0" w:color="auto"/>
        <w:bottom w:val="none" w:sz="0" w:space="0" w:color="auto"/>
        <w:right w:val="none" w:sz="0" w:space="0" w:color="auto"/>
      </w:divBdr>
    </w:div>
    <w:div w:id="1220635162">
      <w:bodyDiv w:val="1"/>
      <w:marLeft w:val="0"/>
      <w:marRight w:val="0"/>
      <w:marTop w:val="0"/>
      <w:marBottom w:val="0"/>
      <w:divBdr>
        <w:top w:val="none" w:sz="0" w:space="0" w:color="auto"/>
        <w:left w:val="none" w:sz="0" w:space="0" w:color="auto"/>
        <w:bottom w:val="none" w:sz="0" w:space="0" w:color="auto"/>
        <w:right w:val="none" w:sz="0" w:space="0" w:color="auto"/>
      </w:divBdr>
    </w:div>
    <w:div w:id="1237932431">
      <w:bodyDiv w:val="1"/>
      <w:marLeft w:val="0"/>
      <w:marRight w:val="0"/>
      <w:marTop w:val="0"/>
      <w:marBottom w:val="0"/>
      <w:divBdr>
        <w:top w:val="none" w:sz="0" w:space="0" w:color="auto"/>
        <w:left w:val="none" w:sz="0" w:space="0" w:color="auto"/>
        <w:bottom w:val="none" w:sz="0" w:space="0" w:color="auto"/>
        <w:right w:val="none" w:sz="0" w:space="0" w:color="auto"/>
      </w:divBdr>
    </w:div>
    <w:div w:id="1248005836">
      <w:bodyDiv w:val="1"/>
      <w:marLeft w:val="0"/>
      <w:marRight w:val="0"/>
      <w:marTop w:val="0"/>
      <w:marBottom w:val="0"/>
      <w:divBdr>
        <w:top w:val="none" w:sz="0" w:space="0" w:color="auto"/>
        <w:left w:val="none" w:sz="0" w:space="0" w:color="auto"/>
        <w:bottom w:val="none" w:sz="0" w:space="0" w:color="auto"/>
        <w:right w:val="none" w:sz="0" w:space="0" w:color="auto"/>
      </w:divBdr>
    </w:div>
    <w:div w:id="1250432413">
      <w:bodyDiv w:val="1"/>
      <w:marLeft w:val="0"/>
      <w:marRight w:val="0"/>
      <w:marTop w:val="0"/>
      <w:marBottom w:val="0"/>
      <w:divBdr>
        <w:top w:val="none" w:sz="0" w:space="0" w:color="auto"/>
        <w:left w:val="none" w:sz="0" w:space="0" w:color="auto"/>
        <w:bottom w:val="none" w:sz="0" w:space="0" w:color="auto"/>
        <w:right w:val="none" w:sz="0" w:space="0" w:color="auto"/>
      </w:divBdr>
    </w:div>
    <w:div w:id="1267351450">
      <w:bodyDiv w:val="1"/>
      <w:marLeft w:val="0"/>
      <w:marRight w:val="0"/>
      <w:marTop w:val="0"/>
      <w:marBottom w:val="0"/>
      <w:divBdr>
        <w:top w:val="none" w:sz="0" w:space="0" w:color="auto"/>
        <w:left w:val="none" w:sz="0" w:space="0" w:color="auto"/>
        <w:bottom w:val="none" w:sz="0" w:space="0" w:color="auto"/>
        <w:right w:val="none" w:sz="0" w:space="0" w:color="auto"/>
      </w:divBdr>
    </w:div>
    <w:div w:id="1326663661">
      <w:bodyDiv w:val="1"/>
      <w:marLeft w:val="0"/>
      <w:marRight w:val="0"/>
      <w:marTop w:val="0"/>
      <w:marBottom w:val="0"/>
      <w:divBdr>
        <w:top w:val="none" w:sz="0" w:space="0" w:color="auto"/>
        <w:left w:val="none" w:sz="0" w:space="0" w:color="auto"/>
        <w:bottom w:val="none" w:sz="0" w:space="0" w:color="auto"/>
        <w:right w:val="none" w:sz="0" w:space="0" w:color="auto"/>
      </w:divBdr>
    </w:div>
    <w:div w:id="1335691270">
      <w:bodyDiv w:val="1"/>
      <w:marLeft w:val="0"/>
      <w:marRight w:val="0"/>
      <w:marTop w:val="0"/>
      <w:marBottom w:val="0"/>
      <w:divBdr>
        <w:top w:val="none" w:sz="0" w:space="0" w:color="auto"/>
        <w:left w:val="none" w:sz="0" w:space="0" w:color="auto"/>
        <w:bottom w:val="none" w:sz="0" w:space="0" w:color="auto"/>
        <w:right w:val="none" w:sz="0" w:space="0" w:color="auto"/>
      </w:divBdr>
    </w:div>
    <w:div w:id="1338996583">
      <w:bodyDiv w:val="1"/>
      <w:marLeft w:val="0"/>
      <w:marRight w:val="0"/>
      <w:marTop w:val="0"/>
      <w:marBottom w:val="0"/>
      <w:divBdr>
        <w:top w:val="none" w:sz="0" w:space="0" w:color="auto"/>
        <w:left w:val="none" w:sz="0" w:space="0" w:color="auto"/>
        <w:bottom w:val="none" w:sz="0" w:space="0" w:color="auto"/>
        <w:right w:val="none" w:sz="0" w:space="0" w:color="auto"/>
      </w:divBdr>
    </w:div>
    <w:div w:id="1380593920">
      <w:bodyDiv w:val="1"/>
      <w:marLeft w:val="0"/>
      <w:marRight w:val="0"/>
      <w:marTop w:val="0"/>
      <w:marBottom w:val="0"/>
      <w:divBdr>
        <w:top w:val="none" w:sz="0" w:space="0" w:color="auto"/>
        <w:left w:val="none" w:sz="0" w:space="0" w:color="auto"/>
        <w:bottom w:val="none" w:sz="0" w:space="0" w:color="auto"/>
        <w:right w:val="none" w:sz="0" w:space="0" w:color="auto"/>
      </w:divBdr>
    </w:div>
    <w:div w:id="1411073312">
      <w:bodyDiv w:val="1"/>
      <w:marLeft w:val="0"/>
      <w:marRight w:val="0"/>
      <w:marTop w:val="0"/>
      <w:marBottom w:val="0"/>
      <w:divBdr>
        <w:top w:val="none" w:sz="0" w:space="0" w:color="auto"/>
        <w:left w:val="none" w:sz="0" w:space="0" w:color="auto"/>
        <w:bottom w:val="none" w:sz="0" w:space="0" w:color="auto"/>
        <w:right w:val="none" w:sz="0" w:space="0" w:color="auto"/>
      </w:divBdr>
    </w:div>
    <w:div w:id="1491943620">
      <w:bodyDiv w:val="1"/>
      <w:marLeft w:val="0"/>
      <w:marRight w:val="0"/>
      <w:marTop w:val="0"/>
      <w:marBottom w:val="0"/>
      <w:divBdr>
        <w:top w:val="none" w:sz="0" w:space="0" w:color="auto"/>
        <w:left w:val="none" w:sz="0" w:space="0" w:color="auto"/>
        <w:bottom w:val="none" w:sz="0" w:space="0" w:color="auto"/>
        <w:right w:val="none" w:sz="0" w:space="0" w:color="auto"/>
      </w:divBdr>
    </w:div>
    <w:div w:id="1526941165">
      <w:bodyDiv w:val="1"/>
      <w:marLeft w:val="0"/>
      <w:marRight w:val="0"/>
      <w:marTop w:val="0"/>
      <w:marBottom w:val="0"/>
      <w:divBdr>
        <w:top w:val="none" w:sz="0" w:space="0" w:color="auto"/>
        <w:left w:val="none" w:sz="0" w:space="0" w:color="auto"/>
        <w:bottom w:val="none" w:sz="0" w:space="0" w:color="auto"/>
        <w:right w:val="none" w:sz="0" w:space="0" w:color="auto"/>
      </w:divBdr>
    </w:div>
    <w:div w:id="1551453782">
      <w:bodyDiv w:val="1"/>
      <w:marLeft w:val="0"/>
      <w:marRight w:val="0"/>
      <w:marTop w:val="0"/>
      <w:marBottom w:val="0"/>
      <w:divBdr>
        <w:top w:val="none" w:sz="0" w:space="0" w:color="auto"/>
        <w:left w:val="none" w:sz="0" w:space="0" w:color="auto"/>
        <w:bottom w:val="none" w:sz="0" w:space="0" w:color="auto"/>
        <w:right w:val="none" w:sz="0" w:space="0" w:color="auto"/>
      </w:divBdr>
    </w:div>
    <w:div w:id="1592080364">
      <w:bodyDiv w:val="1"/>
      <w:marLeft w:val="0"/>
      <w:marRight w:val="0"/>
      <w:marTop w:val="0"/>
      <w:marBottom w:val="0"/>
      <w:divBdr>
        <w:top w:val="none" w:sz="0" w:space="0" w:color="auto"/>
        <w:left w:val="none" w:sz="0" w:space="0" w:color="auto"/>
        <w:bottom w:val="none" w:sz="0" w:space="0" w:color="auto"/>
        <w:right w:val="none" w:sz="0" w:space="0" w:color="auto"/>
      </w:divBdr>
    </w:div>
    <w:div w:id="1618681460">
      <w:bodyDiv w:val="1"/>
      <w:marLeft w:val="0"/>
      <w:marRight w:val="0"/>
      <w:marTop w:val="0"/>
      <w:marBottom w:val="0"/>
      <w:divBdr>
        <w:top w:val="none" w:sz="0" w:space="0" w:color="auto"/>
        <w:left w:val="none" w:sz="0" w:space="0" w:color="auto"/>
        <w:bottom w:val="none" w:sz="0" w:space="0" w:color="auto"/>
        <w:right w:val="none" w:sz="0" w:space="0" w:color="auto"/>
      </w:divBdr>
    </w:div>
    <w:div w:id="1670060715">
      <w:bodyDiv w:val="1"/>
      <w:marLeft w:val="0"/>
      <w:marRight w:val="0"/>
      <w:marTop w:val="0"/>
      <w:marBottom w:val="0"/>
      <w:divBdr>
        <w:top w:val="none" w:sz="0" w:space="0" w:color="auto"/>
        <w:left w:val="none" w:sz="0" w:space="0" w:color="auto"/>
        <w:bottom w:val="none" w:sz="0" w:space="0" w:color="auto"/>
        <w:right w:val="none" w:sz="0" w:space="0" w:color="auto"/>
      </w:divBdr>
    </w:div>
    <w:div w:id="1702392578">
      <w:bodyDiv w:val="1"/>
      <w:marLeft w:val="0"/>
      <w:marRight w:val="0"/>
      <w:marTop w:val="0"/>
      <w:marBottom w:val="0"/>
      <w:divBdr>
        <w:top w:val="none" w:sz="0" w:space="0" w:color="auto"/>
        <w:left w:val="none" w:sz="0" w:space="0" w:color="auto"/>
        <w:bottom w:val="none" w:sz="0" w:space="0" w:color="auto"/>
        <w:right w:val="none" w:sz="0" w:space="0" w:color="auto"/>
      </w:divBdr>
    </w:div>
    <w:div w:id="1713337732">
      <w:bodyDiv w:val="1"/>
      <w:marLeft w:val="0"/>
      <w:marRight w:val="0"/>
      <w:marTop w:val="0"/>
      <w:marBottom w:val="0"/>
      <w:divBdr>
        <w:top w:val="none" w:sz="0" w:space="0" w:color="auto"/>
        <w:left w:val="none" w:sz="0" w:space="0" w:color="auto"/>
        <w:bottom w:val="none" w:sz="0" w:space="0" w:color="auto"/>
        <w:right w:val="none" w:sz="0" w:space="0" w:color="auto"/>
      </w:divBdr>
    </w:div>
    <w:div w:id="1734548957">
      <w:bodyDiv w:val="1"/>
      <w:marLeft w:val="0"/>
      <w:marRight w:val="0"/>
      <w:marTop w:val="0"/>
      <w:marBottom w:val="0"/>
      <w:divBdr>
        <w:top w:val="none" w:sz="0" w:space="0" w:color="auto"/>
        <w:left w:val="none" w:sz="0" w:space="0" w:color="auto"/>
        <w:bottom w:val="none" w:sz="0" w:space="0" w:color="auto"/>
        <w:right w:val="none" w:sz="0" w:space="0" w:color="auto"/>
      </w:divBdr>
    </w:div>
    <w:div w:id="1793404573">
      <w:bodyDiv w:val="1"/>
      <w:marLeft w:val="0"/>
      <w:marRight w:val="0"/>
      <w:marTop w:val="0"/>
      <w:marBottom w:val="0"/>
      <w:divBdr>
        <w:top w:val="none" w:sz="0" w:space="0" w:color="auto"/>
        <w:left w:val="none" w:sz="0" w:space="0" w:color="auto"/>
        <w:bottom w:val="none" w:sz="0" w:space="0" w:color="auto"/>
        <w:right w:val="none" w:sz="0" w:space="0" w:color="auto"/>
      </w:divBdr>
    </w:div>
    <w:div w:id="1803620362">
      <w:bodyDiv w:val="1"/>
      <w:marLeft w:val="0"/>
      <w:marRight w:val="0"/>
      <w:marTop w:val="0"/>
      <w:marBottom w:val="0"/>
      <w:divBdr>
        <w:top w:val="none" w:sz="0" w:space="0" w:color="auto"/>
        <w:left w:val="none" w:sz="0" w:space="0" w:color="auto"/>
        <w:bottom w:val="none" w:sz="0" w:space="0" w:color="auto"/>
        <w:right w:val="none" w:sz="0" w:space="0" w:color="auto"/>
      </w:divBdr>
    </w:div>
    <w:div w:id="1816530994">
      <w:bodyDiv w:val="1"/>
      <w:marLeft w:val="0"/>
      <w:marRight w:val="0"/>
      <w:marTop w:val="0"/>
      <w:marBottom w:val="0"/>
      <w:divBdr>
        <w:top w:val="none" w:sz="0" w:space="0" w:color="auto"/>
        <w:left w:val="none" w:sz="0" w:space="0" w:color="auto"/>
        <w:bottom w:val="none" w:sz="0" w:space="0" w:color="auto"/>
        <w:right w:val="none" w:sz="0" w:space="0" w:color="auto"/>
      </w:divBdr>
    </w:div>
    <w:div w:id="1817720165">
      <w:bodyDiv w:val="1"/>
      <w:marLeft w:val="0"/>
      <w:marRight w:val="0"/>
      <w:marTop w:val="0"/>
      <w:marBottom w:val="0"/>
      <w:divBdr>
        <w:top w:val="none" w:sz="0" w:space="0" w:color="auto"/>
        <w:left w:val="none" w:sz="0" w:space="0" w:color="auto"/>
        <w:bottom w:val="none" w:sz="0" w:space="0" w:color="auto"/>
        <w:right w:val="none" w:sz="0" w:space="0" w:color="auto"/>
      </w:divBdr>
    </w:div>
    <w:div w:id="1822037327">
      <w:bodyDiv w:val="1"/>
      <w:marLeft w:val="0"/>
      <w:marRight w:val="0"/>
      <w:marTop w:val="0"/>
      <w:marBottom w:val="0"/>
      <w:divBdr>
        <w:top w:val="none" w:sz="0" w:space="0" w:color="auto"/>
        <w:left w:val="none" w:sz="0" w:space="0" w:color="auto"/>
        <w:bottom w:val="none" w:sz="0" w:space="0" w:color="auto"/>
        <w:right w:val="none" w:sz="0" w:space="0" w:color="auto"/>
      </w:divBdr>
    </w:div>
    <w:div w:id="1824346627">
      <w:bodyDiv w:val="1"/>
      <w:marLeft w:val="0"/>
      <w:marRight w:val="0"/>
      <w:marTop w:val="0"/>
      <w:marBottom w:val="0"/>
      <w:divBdr>
        <w:top w:val="none" w:sz="0" w:space="0" w:color="auto"/>
        <w:left w:val="none" w:sz="0" w:space="0" w:color="auto"/>
        <w:bottom w:val="none" w:sz="0" w:space="0" w:color="auto"/>
        <w:right w:val="none" w:sz="0" w:space="0" w:color="auto"/>
      </w:divBdr>
    </w:div>
    <w:div w:id="1835993942">
      <w:bodyDiv w:val="1"/>
      <w:marLeft w:val="0"/>
      <w:marRight w:val="0"/>
      <w:marTop w:val="0"/>
      <w:marBottom w:val="0"/>
      <w:divBdr>
        <w:top w:val="none" w:sz="0" w:space="0" w:color="auto"/>
        <w:left w:val="none" w:sz="0" w:space="0" w:color="auto"/>
        <w:bottom w:val="none" w:sz="0" w:space="0" w:color="auto"/>
        <w:right w:val="none" w:sz="0" w:space="0" w:color="auto"/>
      </w:divBdr>
    </w:div>
    <w:div w:id="1891532492">
      <w:bodyDiv w:val="1"/>
      <w:marLeft w:val="0"/>
      <w:marRight w:val="0"/>
      <w:marTop w:val="0"/>
      <w:marBottom w:val="0"/>
      <w:divBdr>
        <w:top w:val="none" w:sz="0" w:space="0" w:color="auto"/>
        <w:left w:val="none" w:sz="0" w:space="0" w:color="auto"/>
        <w:bottom w:val="none" w:sz="0" w:space="0" w:color="auto"/>
        <w:right w:val="none" w:sz="0" w:space="0" w:color="auto"/>
      </w:divBdr>
    </w:div>
    <w:div w:id="1924678322">
      <w:bodyDiv w:val="1"/>
      <w:marLeft w:val="0"/>
      <w:marRight w:val="0"/>
      <w:marTop w:val="0"/>
      <w:marBottom w:val="0"/>
      <w:divBdr>
        <w:top w:val="none" w:sz="0" w:space="0" w:color="auto"/>
        <w:left w:val="none" w:sz="0" w:space="0" w:color="auto"/>
        <w:bottom w:val="none" w:sz="0" w:space="0" w:color="auto"/>
        <w:right w:val="none" w:sz="0" w:space="0" w:color="auto"/>
      </w:divBdr>
    </w:div>
    <w:div w:id="1946378485">
      <w:bodyDiv w:val="1"/>
      <w:marLeft w:val="0"/>
      <w:marRight w:val="0"/>
      <w:marTop w:val="0"/>
      <w:marBottom w:val="0"/>
      <w:divBdr>
        <w:top w:val="none" w:sz="0" w:space="0" w:color="auto"/>
        <w:left w:val="none" w:sz="0" w:space="0" w:color="auto"/>
        <w:bottom w:val="none" w:sz="0" w:space="0" w:color="auto"/>
        <w:right w:val="none" w:sz="0" w:space="0" w:color="auto"/>
      </w:divBdr>
    </w:div>
    <w:div w:id="1981155904">
      <w:bodyDiv w:val="1"/>
      <w:marLeft w:val="0"/>
      <w:marRight w:val="0"/>
      <w:marTop w:val="0"/>
      <w:marBottom w:val="0"/>
      <w:divBdr>
        <w:top w:val="none" w:sz="0" w:space="0" w:color="auto"/>
        <w:left w:val="none" w:sz="0" w:space="0" w:color="auto"/>
        <w:bottom w:val="none" w:sz="0" w:space="0" w:color="auto"/>
        <w:right w:val="none" w:sz="0" w:space="0" w:color="auto"/>
      </w:divBdr>
    </w:div>
    <w:div w:id="1996715609">
      <w:bodyDiv w:val="1"/>
      <w:marLeft w:val="0"/>
      <w:marRight w:val="0"/>
      <w:marTop w:val="0"/>
      <w:marBottom w:val="0"/>
      <w:divBdr>
        <w:top w:val="none" w:sz="0" w:space="0" w:color="auto"/>
        <w:left w:val="none" w:sz="0" w:space="0" w:color="auto"/>
        <w:bottom w:val="none" w:sz="0" w:space="0" w:color="auto"/>
        <w:right w:val="none" w:sz="0" w:space="0" w:color="auto"/>
      </w:divBdr>
    </w:div>
    <w:div w:id="20396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B89D0-C702-43F6-BD22-24269CDE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12701</Words>
  <Characters>69856</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Beltran</dc:creator>
  <cp:keywords/>
  <dc:description/>
  <cp:lastModifiedBy>Guillermo Schultz</cp:lastModifiedBy>
  <cp:revision>7</cp:revision>
  <dcterms:created xsi:type="dcterms:W3CDTF">2022-07-11T19:04:00Z</dcterms:created>
  <dcterms:modified xsi:type="dcterms:W3CDTF">2022-07-12T14:14:00Z</dcterms:modified>
</cp:coreProperties>
</file>